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B4" w:rsidRPr="00E75F00" w:rsidRDefault="006964B4" w:rsidP="006964B4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E75F00">
        <w:rPr>
          <w:rFonts w:ascii="Tahoma" w:hAnsi="Tahoma" w:cs="Tahoma"/>
          <w:bCs/>
          <w:sz w:val="20"/>
          <w:szCs w:val="20"/>
        </w:rPr>
        <w:t>Št</w:t>
      </w:r>
      <w:proofErr w:type="spellEnd"/>
      <w:r w:rsidRPr="00E75F00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E75F00">
        <w:rPr>
          <w:rFonts w:ascii="Tahoma" w:hAnsi="Tahoma" w:cs="Tahoma"/>
          <w:bCs/>
          <w:sz w:val="20"/>
          <w:szCs w:val="20"/>
        </w:rPr>
        <w:t>zadeve</w:t>
      </w:r>
      <w:proofErr w:type="spellEnd"/>
      <w:r w:rsidRPr="00E75F00">
        <w:rPr>
          <w:rFonts w:ascii="Tahoma" w:hAnsi="Tahoma" w:cs="Tahoma"/>
          <w:bCs/>
          <w:sz w:val="20"/>
          <w:szCs w:val="20"/>
        </w:rPr>
        <w:t xml:space="preserve">: </w:t>
      </w:r>
      <w:r w:rsidRPr="006964B4">
        <w:rPr>
          <w:rFonts w:ascii="Tahoma" w:hAnsi="Tahoma" w:cs="Tahoma"/>
          <w:bCs/>
          <w:sz w:val="20"/>
          <w:szCs w:val="20"/>
        </w:rPr>
        <w:t>354-0038/2023</w:t>
      </w:r>
    </w:p>
    <w:p w:rsidR="006964B4" w:rsidRPr="00E75F00" w:rsidRDefault="006964B4" w:rsidP="006964B4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E75F00">
        <w:rPr>
          <w:rFonts w:ascii="Tahoma" w:hAnsi="Tahoma" w:cs="Tahoma"/>
          <w:bCs/>
          <w:sz w:val="20"/>
          <w:szCs w:val="20"/>
        </w:rPr>
        <w:t xml:space="preserve">Datum: </w:t>
      </w:r>
      <w:r>
        <w:rPr>
          <w:rFonts w:ascii="Tahoma" w:hAnsi="Tahoma" w:cs="Tahoma"/>
          <w:bCs/>
          <w:sz w:val="20"/>
          <w:szCs w:val="20"/>
        </w:rPr>
        <w:t>11.04.2023</w:t>
      </w:r>
    </w:p>
    <w:p w:rsidR="006964B4" w:rsidRPr="00492EAF" w:rsidRDefault="006964B4" w:rsidP="006964B4">
      <w:pPr>
        <w:jc w:val="both"/>
        <w:rPr>
          <w:rFonts w:ascii="Tahoma" w:hAnsi="Tahoma" w:cs="Tahoma"/>
        </w:rPr>
      </w:pPr>
    </w:p>
    <w:p w:rsidR="006964B4" w:rsidRPr="00492EAF" w:rsidRDefault="006964B4" w:rsidP="006964B4">
      <w:pPr>
        <w:spacing w:after="0" w:line="240" w:lineRule="auto"/>
        <w:jc w:val="both"/>
        <w:rPr>
          <w:rFonts w:ascii="Tahoma" w:hAnsi="Tahoma" w:cs="Tahoma"/>
          <w:b/>
        </w:rPr>
      </w:pPr>
      <w:r w:rsidRPr="00492EAF">
        <w:rPr>
          <w:rFonts w:ascii="Tahoma" w:hAnsi="Tahoma" w:cs="Tahoma"/>
          <w:b/>
        </w:rPr>
        <w:t>OBČINSKI SVET</w:t>
      </w:r>
    </w:p>
    <w:p w:rsidR="006964B4" w:rsidRPr="00492EAF" w:rsidRDefault="006964B4" w:rsidP="006964B4">
      <w:pPr>
        <w:spacing w:after="0" w:line="240" w:lineRule="auto"/>
        <w:jc w:val="both"/>
        <w:rPr>
          <w:rFonts w:ascii="Tahoma" w:hAnsi="Tahoma" w:cs="Tahoma"/>
          <w:b/>
        </w:rPr>
      </w:pPr>
      <w:r w:rsidRPr="00492EAF">
        <w:rPr>
          <w:rFonts w:ascii="Tahoma" w:hAnsi="Tahoma" w:cs="Tahoma"/>
          <w:b/>
        </w:rPr>
        <w:t>OBČINE PREVALJE</w:t>
      </w:r>
    </w:p>
    <w:p w:rsidR="006964B4" w:rsidRDefault="006964B4" w:rsidP="006964B4">
      <w:pPr>
        <w:spacing w:after="0" w:line="240" w:lineRule="auto"/>
        <w:rPr>
          <w:rFonts w:ascii="Tahoma" w:hAnsi="Tahoma" w:cs="Tahoma"/>
          <w:szCs w:val="20"/>
        </w:rPr>
      </w:pPr>
    </w:p>
    <w:p w:rsidR="006964B4" w:rsidRPr="00492EAF" w:rsidRDefault="006964B4" w:rsidP="006964B4">
      <w:pPr>
        <w:spacing w:after="0" w:line="240" w:lineRule="auto"/>
        <w:rPr>
          <w:rFonts w:ascii="Tahoma" w:hAnsi="Tahoma" w:cs="Tahoma"/>
          <w:szCs w:val="20"/>
        </w:rPr>
      </w:pPr>
    </w:p>
    <w:p w:rsidR="006964B4" w:rsidRPr="00E75F00" w:rsidRDefault="006964B4" w:rsidP="006964B4">
      <w:pPr>
        <w:spacing w:after="0" w:line="240" w:lineRule="auto"/>
        <w:rPr>
          <w:rFonts w:ascii="Tahoma" w:hAnsi="Tahoma" w:cs="Tahoma"/>
          <w:szCs w:val="20"/>
        </w:rPr>
      </w:pPr>
      <w:r w:rsidRPr="00770409">
        <w:rPr>
          <w:rFonts w:ascii="Tahoma" w:hAnsi="Tahoma" w:cs="Tahoma"/>
          <w:b/>
          <w:bCs/>
          <w:szCs w:val="20"/>
        </w:rPr>
        <w:t>ZADEVA:</w:t>
      </w:r>
      <w:r w:rsidRPr="0003569A">
        <w:rPr>
          <w:rFonts w:ascii="Tahoma" w:hAnsi="Tahoma" w:cs="Tahoma"/>
          <w:szCs w:val="20"/>
        </w:rPr>
        <w:tab/>
      </w:r>
      <w:r w:rsidRPr="0003569A">
        <w:rPr>
          <w:rFonts w:ascii="Tahoma" w:hAnsi="Tahoma" w:cs="Tahoma"/>
          <w:szCs w:val="20"/>
        </w:rPr>
        <w:tab/>
      </w:r>
      <w:r w:rsidRPr="0003569A">
        <w:rPr>
          <w:rFonts w:ascii="Tahoma" w:hAnsi="Tahoma" w:cs="Tahoma"/>
          <w:szCs w:val="20"/>
        </w:rPr>
        <w:tab/>
      </w:r>
      <w:proofErr w:type="spellStart"/>
      <w:r w:rsidRPr="00E75F00">
        <w:rPr>
          <w:rFonts w:ascii="Tahoma" w:hAnsi="Tahoma" w:cs="Tahoma"/>
          <w:szCs w:val="20"/>
        </w:rPr>
        <w:t>Predlog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cen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uporabe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pokopaliških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objektov</w:t>
      </w:r>
      <w:proofErr w:type="spellEnd"/>
      <w:r w:rsidRPr="00E75F00">
        <w:rPr>
          <w:rFonts w:ascii="Tahoma" w:hAnsi="Tahoma" w:cs="Tahoma"/>
          <w:szCs w:val="20"/>
        </w:rPr>
        <w:t xml:space="preserve">, </w:t>
      </w:r>
      <w:proofErr w:type="spellStart"/>
      <w:r w:rsidRPr="00E75F00">
        <w:rPr>
          <w:rFonts w:ascii="Tahoma" w:hAnsi="Tahoma" w:cs="Tahoma"/>
          <w:szCs w:val="20"/>
        </w:rPr>
        <w:t>grobnin</w:t>
      </w:r>
      <w:proofErr w:type="spellEnd"/>
      <w:r w:rsidRPr="00E75F00">
        <w:rPr>
          <w:rFonts w:ascii="Tahoma" w:hAnsi="Tahoma" w:cs="Tahoma"/>
          <w:szCs w:val="20"/>
        </w:rPr>
        <w:t xml:space="preserve">, </w:t>
      </w:r>
      <w:proofErr w:type="spellStart"/>
      <w:r w:rsidRPr="00E75F00">
        <w:rPr>
          <w:rFonts w:ascii="Tahoma" w:hAnsi="Tahoma" w:cs="Tahoma"/>
          <w:szCs w:val="20"/>
        </w:rPr>
        <w:t>storitev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</w:p>
    <w:p w:rsidR="006964B4" w:rsidRPr="00E75F00" w:rsidRDefault="006964B4" w:rsidP="006964B4">
      <w:pPr>
        <w:spacing w:after="0" w:line="240" w:lineRule="auto"/>
        <w:ind w:left="2124" w:firstLine="708"/>
        <w:rPr>
          <w:rFonts w:ascii="Tahoma" w:hAnsi="Tahoma" w:cs="Tahoma"/>
          <w:szCs w:val="20"/>
        </w:rPr>
      </w:pPr>
      <w:proofErr w:type="spellStart"/>
      <w:r w:rsidRPr="00E75F00">
        <w:rPr>
          <w:rFonts w:ascii="Tahoma" w:hAnsi="Tahoma" w:cs="Tahoma"/>
          <w:szCs w:val="20"/>
        </w:rPr>
        <w:t>grobarjev</w:t>
      </w:r>
      <w:proofErr w:type="spellEnd"/>
      <w:r w:rsidRPr="00E75F00">
        <w:rPr>
          <w:rFonts w:ascii="Tahoma" w:hAnsi="Tahoma" w:cs="Tahoma"/>
          <w:szCs w:val="20"/>
        </w:rPr>
        <w:t xml:space="preserve"> in </w:t>
      </w:r>
      <w:proofErr w:type="spellStart"/>
      <w:r w:rsidRPr="00E75F00">
        <w:rPr>
          <w:rFonts w:ascii="Tahoma" w:hAnsi="Tahoma" w:cs="Tahoma"/>
          <w:szCs w:val="20"/>
        </w:rPr>
        <w:t>pogrebnega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moštva</w:t>
      </w:r>
      <w:proofErr w:type="spellEnd"/>
      <w:r w:rsidR="00606B81">
        <w:rPr>
          <w:rFonts w:ascii="Tahoma" w:hAnsi="Tahoma" w:cs="Tahoma"/>
          <w:szCs w:val="20"/>
        </w:rPr>
        <w:t xml:space="preserve"> za </w:t>
      </w:r>
      <w:proofErr w:type="spellStart"/>
      <w:r w:rsidR="00606B81">
        <w:rPr>
          <w:rFonts w:ascii="Tahoma" w:hAnsi="Tahoma" w:cs="Tahoma"/>
          <w:szCs w:val="20"/>
        </w:rPr>
        <w:t>leto</w:t>
      </w:r>
      <w:proofErr w:type="spellEnd"/>
      <w:r w:rsidR="00606B81">
        <w:rPr>
          <w:rFonts w:ascii="Tahoma" w:hAnsi="Tahoma" w:cs="Tahoma"/>
          <w:szCs w:val="20"/>
        </w:rPr>
        <w:t xml:space="preserve"> 2023</w:t>
      </w:r>
    </w:p>
    <w:p w:rsidR="006964B4" w:rsidRPr="00492EAF" w:rsidRDefault="006964B4" w:rsidP="006964B4">
      <w:pPr>
        <w:spacing w:after="0" w:line="240" w:lineRule="auto"/>
        <w:rPr>
          <w:rFonts w:ascii="Tahoma" w:hAnsi="Tahoma" w:cs="Tahoma"/>
          <w:szCs w:val="20"/>
        </w:rPr>
      </w:pPr>
    </w:p>
    <w:p w:rsidR="006964B4" w:rsidRPr="00770409" w:rsidRDefault="006964B4" w:rsidP="006964B4">
      <w:pPr>
        <w:spacing w:after="0" w:line="240" w:lineRule="auto"/>
        <w:jc w:val="both"/>
        <w:rPr>
          <w:rFonts w:ascii="Tahoma" w:hAnsi="Tahoma" w:cs="Tahoma"/>
          <w:b/>
          <w:lang w:val="de-AT"/>
        </w:rPr>
      </w:pPr>
      <w:r w:rsidRPr="00770409">
        <w:rPr>
          <w:rFonts w:ascii="Tahoma" w:hAnsi="Tahoma" w:cs="Tahoma"/>
          <w:b/>
          <w:lang w:val="de-AT"/>
        </w:rPr>
        <w:t>NAMEN IN CILJ:</w:t>
      </w:r>
      <w:r w:rsidRPr="00770409">
        <w:rPr>
          <w:rFonts w:ascii="Tahoma" w:hAnsi="Tahoma" w:cs="Tahoma"/>
          <w:b/>
          <w:lang w:val="de-AT"/>
        </w:rPr>
        <w:tab/>
      </w:r>
      <w:r w:rsidRPr="00770409">
        <w:rPr>
          <w:rFonts w:ascii="Tahoma" w:hAnsi="Tahoma" w:cs="Tahoma"/>
          <w:b/>
          <w:lang w:val="de-AT"/>
        </w:rPr>
        <w:tab/>
      </w:r>
      <w:proofErr w:type="spellStart"/>
      <w:r w:rsidRPr="00770409">
        <w:rPr>
          <w:rFonts w:ascii="Tahoma" w:hAnsi="Tahoma" w:cs="Tahoma"/>
          <w:bCs/>
          <w:lang w:val="de-AT"/>
        </w:rPr>
        <w:t>Sprejem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lang w:val="de-AT"/>
        </w:rPr>
        <w:t>sklepa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na </w:t>
      </w:r>
      <w:proofErr w:type="spellStart"/>
      <w:r w:rsidRPr="00770409">
        <w:rPr>
          <w:rFonts w:ascii="Tahoma" w:hAnsi="Tahoma" w:cs="Tahoma"/>
          <w:bCs/>
          <w:lang w:val="de-AT"/>
        </w:rPr>
        <w:t>občinskem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lang w:val="de-AT"/>
        </w:rPr>
        <w:t>svetu</w:t>
      </w:r>
      <w:proofErr w:type="spellEnd"/>
    </w:p>
    <w:p w:rsidR="006964B4" w:rsidRPr="00770409" w:rsidRDefault="006964B4" w:rsidP="006964B4">
      <w:pPr>
        <w:spacing w:after="0" w:line="240" w:lineRule="auto"/>
        <w:jc w:val="both"/>
        <w:rPr>
          <w:rFonts w:ascii="Tahoma" w:hAnsi="Tahoma" w:cs="Tahoma"/>
          <w:b/>
          <w:lang w:val="de-AT"/>
        </w:rPr>
      </w:pPr>
    </w:p>
    <w:p w:rsidR="006964B4" w:rsidRPr="00770409" w:rsidRDefault="006964B4" w:rsidP="006964B4">
      <w:pPr>
        <w:spacing w:after="0" w:line="240" w:lineRule="auto"/>
        <w:ind w:left="2124" w:firstLine="708"/>
        <w:jc w:val="both"/>
        <w:rPr>
          <w:rFonts w:ascii="Tahoma" w:hAnsi="Tahoma" w:cs="Tahoma"/>
          <w:b/>
          <w:lang w:val="de-AT"/>
        </w:rPr>
      </w:pPr>
    </w:p>
    <w:p w:rsidR="006964B4" w:rsidRPr="00770409" w:rsidRDefault="006964B4" w:rsidP="006964B4">
      <w:pPr>
        <w:spacing w:after="0" w:line="240" w:lineRule="auto"/>
        <w:jc w:val="both"/>
        <w:rPr>
          <w:rFonts w:ascii="Tahoma" w:hAnsi="Tahoma" w:cs="Tahoma"/>
          <w:bCs/>
          <w:lang w:val="de-AT"/>
        </w:rPr>
      </w:pPr>
      <w:r w:rsidRPr="00770409">
        <w:rPr>
          <w:rFonts w:ascii="Tahoma" w:hAnsi="Tahoma" w:cs="Tahoma"/>
          <w:b/>
          <w:lang w:val="de-AT"/>
        </w:rPr>
        <w:t>PREDLAGATELJ:</w:t>
      </w:r>
      <w:r w:rsidRPr="00770409">
        <w:rPr>
          <w:rFonts w:ascii="Tahoma" w:hAnsi="Tahoma" w:cs="Tahoma"/>
          <w:b/>
          <w:lang w:val="de-AT"/>
        </w:rPr>
        <w:tab/>
      </w:r>
      <w:r w:rsidRPr="00770409">
        <w:rPr>
          <w:rFonts w:ascii="Tahoma" w:hAnsi="Tahoma" w:cs="Tahoma"/>
          <w:b/>
          <w:lang w:val="de-AT"/>
        </w:rPr>
        <w:tab/>
      </w:r>
      <w:r w:rsidRPr="00770409">
        <w:rPr>
          <w:rFonts w:ascii="Tahoma" w:hAnsi="Tahoma" w:cs="Tahoma"/>
          <w:bCs/>
          <w:lang w:val="de-AT"/>
        </w:rPr>
        <w:t xml:space="preserve">Župan </w:t>
      </w:r>
      <w:proofErr w:type="spellStart"/>
      <w:r w:rsidRPr="00770409">
        <w:rPr>
          <w:rFonts w:ascii="Tahoma" w:hAnsi="Tahoma" w:cs="Tahoma"/>
          <w:bCs/>
          <w:lang w:val="de-AT"/>
        </w:rPr>
        <w:t>dr.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Matija Tasič</w:t>
      </w:r>
    </w:p>
    <w:p w:rsidR="006964B4" w:rsidRPr="00770409" w:rsidRDefault="006964B4" w:rsidP="006964B4">
      <w:pPr>
        <w:spacing w:after="0" w:line="240" w:lineRule="auto"/>
        <w:rPr>
          <w:rFonts w:ascii="Tahoma" w:hAnsi="Tahoma" w:cs="Tahoma"/>
          <w:szCs w:val="20"/>
          <w:lang w:val="de-AT"/>
        </w:rPr>
      </w:pPr>
    </w:p>
    <w:p w:rsidR="006964B4" w:rsidRPr="00770409" w:rsidRDefault="006964B4" w:rsidP="006964B4">
      <w:pPr>
        <w:spacing w:after="0" w:line="240" w:lineRule="auto"/>
        <w:rPr>
          <w:rFonts w:ascii="Tahoma" w:hAnsi="Tahoma" w:cs="Tahoma"/>
          <w:szCs w:val="20"/>
          <w:lang w:val="de-AT"/>
        </w:rPr>
      </w:pPr>
    </w:p>
    <w:p w:rsidR="006964B4" w:rsidRPr="00770409" w:rsidRDefault="006964B4" w:rsidP="006964B4">
      <w:pPr>
        <w:spacing w:after="0" w:line="240" w:lineRule="auto"/>
        <w:rPr>
          <w:rFonts w:ascii="Tahoma" w:hAnsi="Tahoma" w:cs="Tahoma"/>
          <w:b/>
          <w:bCs/>
          <w:szCs w:val="20"/>
          <w:lang w:val="de-AT"/>
        </w:rPr>
      </w:pPr>
      <w:proofErr w:type="spellStart"/>
      <w:r w:rsidRPr="00770409">
        <w:rPr>
          <w:rFonts w:ascii="Tahoma" w:hAnsi="Tahoma" w:cs="Tahoma"/>
          <w:b/>
          <w:bCs/>
          <w:szCs w:val="20"/>
          <w:lang w:val="de-AT"/>
        </w:rPr>
        <w:t>Obrazložitev</w:t>
      </w:r>
      <w:proofErr w:type="spellEnd"/>
      <w:r w:rsidRPr="00770409">
        <w:rPr>
          <w:rFonts w:ascii="Tahoma" w:hAnsi="Tahoma" w:cs="Tahoma"/>
          <w:b/>
          <w:bCs/>
          <w:szCs w:val="20"/>
          <w:lang w:val="de-AT"/>
        </w:rPr>
        <w:t>:</w:t>
      </w:r>
    </w:p>
    <w:p w:rsidR="006964B4" w:rsidRDefault="006964B4" w:rsidP="006964B4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>
        <w:rPr>
          <w:rFonts w:ascii="Tahoma" w:hAnsi="Tahoma" w:cs="Tahoma"/>
          <w:bCs/>
          <w:szCs w:val="20"/>
          <w:lang w:val="de-AT"/>
        </w:rPr>
        <w:t xml:space="preserve">V </w:t>
      </w:r>
      <w:proofErr w:type="spellStart"/>
      <w:r>
        <w:rPr>
          <w:rFonts w:ascii="Tahoma" w:hAnsi="Tahoma" w:cs="Tahoma"/>
          <w:bCs/>
          <w:szCs w:val="20"/>
          <w:lang w:val="de-AT"/>
        </w:rPr>
        <w:t>skladu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z </w:t>
      </w:r>
      <w:proofErr w:type="spellStart"/>
      <w:r>
        <w:rPr>
          <w:rFonts w:ascii="Tahoma" w:hAnsi="Tahoma" w:cs="Tahoma"/>
          <w:bCs/>
          <w:szCs w:val="20"/>
          <w:lang w:val="de-AT"/>
        </w:rPr>
        <w:t>določili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Zakona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o </w:t>
      </w:r>
      <w:proofErr w:type="spellStart"/>
      <w:r>
        <w:rPr>
          <w:rFonts w:ascii="Tahoma" w:hAnsi="Tahoma" w:cs="Tahoma"/>
          <w:bCs/>
          <w:szCs w:val="20"/>
          <w:lang w:val="de-AT"/>
        </w:rPr>
        <w:t>pokopališki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>
        <w:rPr>
          <w:rFonts w:ascii="Tahoma" w:hAnsi="Tahoma" w:cs="Tahoma"/>
          <w:bCs/>
          <w:szCs w:val="20"/>
          <w:lang w:val="de-AT"/>
        </w:rPr>
        <w:t>pogrebni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dejavnosti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ter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določilo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Odloka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o</w:t>
      </w:r>
      <w:r w:rsidRPr="006608A9">
        <w:rPr>
          <w:lang w:val="de-AT"/>
        </w:rPr>
        <w:t xml:space="preserve"> </w:t>
      </w:r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pokopališkem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redu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na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območju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Občin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Ravne na Koroškem in Prevalje (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Uradno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glasilo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slovenskih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občin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št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>. 10/2020</w:t>
      </w:r>
      <w:r>
        <w:rPr>
          <w:rFonts w:ascii="Tahoma" w:hAnsi="Tahoma" w:cs="Tahoma"/>
          <w:bCs/>
          <w:szCs w:val="20"/>
          <w:lang w:val="de-AT"/>
        </w:rPr>
        <w:t xml:space="preserve">, je </w:t>
      </w:r>
      <w:proofErr w:type="spellStart"/>
      <w:r>
        <w:rPr>
          <w:rFonts w:ascii="Tahoma" w:hAnsi="Tahoma" w:cs="Tahoma"/>
          <w:bCs/>
          <w:szCs w:val="20"/>
          <w:lang w:val="de-AT"/>
        </w:rPr>
        <w:t>Podjetje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JKPLog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d.o.o </w:t>
      </w:r>
      <w:proofErr w:type="spellStart"/>
      <w:r>
        <w:rPr>
          <w:rFonts w:ascii="Tahoma" w:hAnsi="Tahoma" w:cs="Tahoma"/>
          <w:bCs/>
          <w:szCs w:val="20"/>
          <w:lang w:val="de-AT"/>
        </w:rPr>
        <w:t>pripravilo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novokalkulacijo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cene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uporabe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pokopaliških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objektov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grobnin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grobarjev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pogrebnega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moštva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predvsem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zaradi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velikih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sprememb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na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področju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cen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električne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energije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ogrevanja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dviga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osnovne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plače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ter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tudi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stroškov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zbiranja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odpadkov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ki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prej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niso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bile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upoštevane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v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kalkulaciji</w:t>
      </w:r>
      <w:proofErr w:type="spellEnd"/>
      <w:r w:rsidRPr="006964B4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6964B4">
        <w:rPr>
          <w:rFonts w:ascii="Tahoma" w:hAnsi="Tahoma" w:cs="Tahoma"/>
          <w:bCs/>
          <w:szCs w:val="20"/>
          <w:lang w:val="de-AT"/>
        </w:rPr>
        <w:t>cene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. </w:t>
      </w:r>
      <w:proofErr w:type="spellStart"/>
      <w:r>
        <w:rPr>
          <w:rFonts w:ascii="Tahoma" w:hAnsi="Tahoma" w:cs="Tahoma"/>
          <w:bCs/>
          <w:szCs w:val="20"/>
          <w:lang w:val="de-AT"/>
        </w:rPr>
        <w:t>Cene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>
        <w:rPr>
          <w:rFonts w:ascii="Tahoma" w:hAnsi="Tahoma" w:cs="Tahoma"/>
          <w:bCs/>
          <w:szCs w:val="20"/>
          <w:lang w:val="de-AT"/>
        </w:rPr>
        <w:t>ki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so </w:t>
      </w:r>
      <w:proofErr w:type="spellStart"/>
      <w:r>
        <w:rPr>
          <w:rFonts w:ascii="Tahoma" w:hAnsi="Tahoma" w:cs="Tahoma"/>
          <w:bCs/>
          <w:szCs w:val="20"/>
          <w:lang w:val="de-AT"/>
        </w:rPr>
        <w:t>veljale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>
        <w:rPr>
          <w:rFonts w:ascii="Tahoma" w:hAnsi="Tahoma" w:cs="Tahoma"/>
          <w:bCs/>
          <w:szCs w:val="20"/>
          <w:lang w:val="de-AT"/>
        </w:rPr>
        <w:t>sedaj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, so se </w:t>
      </w:r>
      <w:proofErr w:type="spellStart"/>
      <w:r>
        <w:rPr>
          <w:rFonts w:ascii="Tahoma" w:hAnsi="Tahoma" w:cs="Tahoma"/>
          <w:bCs/>
          <w:szCs w:val="20"/>
          <w:lang w:val="de-AT"/>
        </w:rPr>
        <w:t>sprejemale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v </w:t>
      </w:r>
      <w:proofErr w:type="spellStart"/>
      <w:r>
        <w:rPr>
          <w:rFonts w:ascii="Tahoma" w:hAnsi="Tahoma" w:cs="Tahoma"/>
          <w:bCs/>
          <w:szCs w:val="20"/>
          <w:lang w:val="de-AT"/>
        </w:rPr>
        <w:t>letu</w:t>
      </w:r>
      <w:proofErr w:type="spellEnd"/>
      <w:r>
        <w:rPr>
          <w:rFonts w:ascii="Tahoma" w:hAnsi="Tahoma" w:cs="Tahoma"/>
          <w:bCs/>
          <w:szCs w:val="20"/>
          <w:lang w:val="de-AT"/>
        </w:rPr>
        <w:t xml:space="preserve"> 2021.  </w:t>
      </w:r>
    </w:p>
    <w:p w:rsidR="006964B4" w:rsidRPr="00770409" w:rsidRDefault="006964B4" w:rsidP="006964B4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 w:rsidRPr="00770409">
        <w:rPr>
          <w:rFonts w:ascii="Tahoma" w:hAnsi="Tahoma" w:cs="Tahoma"/>
          <w:bCs/>
          <w:szCs w:val="20"/>
          <w:lang w:val="de-AT"/>
        </w:rPr>
        <w:t xml:space="preserve">V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obravnavo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vam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podajamo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Predlog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cen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uporabe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pokopaliških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objektov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grobnin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grobarjev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pogrebnega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moštva</w:t>
      </w:r>
      <w:proofErr w:type="spellEnd"/>
      <w:r w:rsidR="00BE3F88">
        <w:rPr>
          <w:rFonts w:ascii="Tahoma" w:hAnsi="Tahoma" w:cs="Tahoma"/>
          <w:bCs/>
          <w:szCs w:val="20"/>
          <w:lang w:val="de-AT"/>
        </w:rPr>
        <w:t xml:space="preserve"> za </w:t>
      </w:r>
      <w:proofErr w:type="spellStart"/>
      <w:r w:rsidR="00BE3F88">
        <w:rPr>
          <w:rFonts w:ascii="Tahoma" w:hAnsi="Tahoma" w:cs="Tahoma"/>
          <w:bCs/>
          <w:szCs w:val="20"/>
          <w:lang w:val="de-AT"/>
        </w:rPr>
        <w:t>leto</w:t>
      </w:r>
      <w:proofErr w:type="spellEnd"/>
      <w:r w:rsidR="00BE3F88">
        <w:rPr>
          <w:rFonts w:ascii="Tahoma" w:hAnsi="Tahoma" w:cs="Tahoma"/>
          <w:bCs/>
          <w:szCs w:val="20"/>
          <w:lang w:val="de-AT"/>
        </w:rPr>
        <w:t xml:space="preserve"> 2023</w:t>
      </w:r>
      <w:r w:rsidRPr="00770409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ki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ga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je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pripravilo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podjetje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JKP Log d.o.o.,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kakor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izhaja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iz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priloge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>.</w:t>
      </w:r>
    </w:p>
    <w:p w:rsidR="006964B4" w:rsidRPr="00770409" w:rsidRDefault="006964B4" w:rsidP="006964B4">
      <w:pPr>
        <w:spacing w:after="0" w:line="240" w:lineRule="auto"/>
        <w:jc w:val="both"/>
        <w:rPr>
          <w:rFonts w:ascii="Tahoma" w:hAnsi="Tahoma" w:cs="Tahoma"/>
          <w:szCs w:val="20"/>
          <w:lang w:val="de-AT"/>
        </w:rPr>
      </w:pPr>
    </w:p>
    <w:p w:rsidR="006964B4" w:rsidRDefault="006964B4" w:rsidP="006964B4">
      <w:pPr>
        <w:spacing w:after="0" w:line="240" w:lineRule="auto"/>
        <w:rPr>
          <w:i/>
          <w:lang w:val="sl-SI"/>
        </w:rPr>
      </w:pPr>
      <w:r w:rsidRPr="006640AF">
        <w:rPr>
          <w:b/>
          <w:i/>
          <w:u w:val="single"/>
          <w:lang w:val="sl-SI"/>
        </w:rPr>
        <w:t>Predlog sklepa 1:</w:t>
      </w:r>
      <w:r w:rsidRPr="006640AF">
        <w:rPr>
          <w:i/>
          <w:lang w:val="sl-SI"/>
        </w:rPr>
        <w:t xml:space="preserve"> </w:t>
      </w:r>
    </w:p>
    <w:p w:rsidR="006964B4" w:rsidRDefault="006964B4" w:rsidP="006964B4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 xml:space="preserve">Občinski svet Občine Prevalje </w:t>
      </w:r>
      <w:r>
        <w:rPr>
          <w:i/>
          <w:lang w:val="sl-SI"/>
        </w:rPr>
        <w:t>sprejeme</w:t>
      </w:r>
      <w:r w:rsidRPr="006640AF">
        <w:rPr>
          <w:i/>
          <w:lang w:val="sl-SI"/>
        </w:rPr>
        <w:t xml:space="preserve"> cene uporabe pokopaliških objektov</w:t>
      </w:r>
      <w:r>
        <w:rPr>
          <w:i/>
          <w:lang w:val="sl-SI"/>
        </w:rPr>
        <w:t>, ki zanašajo:</w:t>
      </w:r>
    </w:p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660"/>
        <w:gridCol w:w="1100"/>
        <w:gridCol w:w="1260"/>
      </w:tblGrid>
      <w:tr w:rsidR="006964B4" w:rsidRPr="006640AF" w:rsidTr="00757336">
        <w:trPr>
          <w:trHeight w:hRule="exact" w:val="495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Uporaba pokopaliških objektov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osnova: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DDV: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cena:</w:t>
            </w:r>
          </w:p>
        </w:tc>
      </w:tr>
      <w:tr w:rsidR="006964B4" w:rsidRPr="006640AF" w:rsidTr="00757336">
        <w:trPr>
          <w:trHeight w:hRule="exact" w:val="495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 xml:space="preserve">Uporaba poslovilne vežice 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BE3F88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120</w:t>
            </w:r>
            <w:r w:rsidR="006964B4" w:rsidRPr="006640AF">
              <w:rPr>
                <w:i/>
                <w:lang w:val="sl-SI"/>
              </w:rPr>
              <w:t>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BE3F88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131,4</w:t>
            </w:r>
            <w:r w:rsidR="006964B4" w:rsidRPr="006640AF">
              <w:rPr>
                <w:i/>
                <w:lang w:val="sl-SI"/>
              </w:rPr>
              <w:t xml:space="preserve"> €</w:t>
            </w:r>
          </w:p>
        </w:tc>
      </w:tr>
      <w:tr w:rsidR="006964B4" w:rsidRPr="006640AF" w:rsidTr="00757336">
        <w:trPr>
          <w:trHeight w:hRule="exact" w:val="495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Uporaba čajne kuhinje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BE3F88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35</w:t>
            </w:r>
            <w:r w:rsidR="006964B4" w:rsidRPr="006640AF">
              <w:rPr>
                <w:i/>
                <w:lang w:val="sl-SI"/>
              </w:rPr>
              <w:t>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BE3F88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38,32</w:t>
            </w:r>
            <w:r w:rsidR="006964B4" w:rsidRPr="006640AF">
              <w:rPr>
                <w:i/>
                <w:lang w:val="sl-SI"/>
              </w:rPr>
              <w:t xml:space="preserve"> €</w:t>
            </w:r>
          </w:p>
        </w:tc>
      </w:tr>
    </w:tbl>
    <w:p w:rsidR="006964B4" w:rsidRDefault="006964B4" w:rsidP="006964B4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>Cene se uporabljajo od 1.</w:t>
      </w:r>
      <w:r w:rsidR="00BE3F88">
        <w:rPr>
          <w:i/>
          <w:lang w:val="sl-SI"/>
        </w:rPr>
        <w:t>5</w:t>
      </w:r>
      <w:r w:rsidRPr="006640AF">
        <w:rPr>
          <w:i/>
          <w:lang w:val="sl-SI"/>
        </w:rPr>
        <w:t>.202</w:t>
      </w:r>
      <w:r w:rsidR="00BE3F88">
        <w:rPr>
          <w:i/>
          <w:lang w:val="sl-SI"/>
        </w:rPr>
        <w:t>3</w:t>
      </w:r>
      <w:r w:rsidRPr="006640AF">
        <w:rPr>
          <w:i/>
          <w:lang w:val="sl-SI"/>
        </w:rPr>
        <w:t xml:space="preserve"> dalje</w:t>
      </w:r>
    </w:p>
    <w:p w:rsidR="006964B4" w:rsidRDefault="006964B4" w:rsidP="006964B4">
      <w:pPr>
        <w:spacing w:after="0" w:line="240" w:lineRule="auto"/>
        <w:rPr>
          <w:b/>
          <w:i/>
          <w:u w:val="single"/>
          <w:lang w:val="sl-SI"/>
        </w:rPr>
      </w:pPr>
    </w:p>
    <w:p w:rsidR="00822D2C" w:rsidRDefault="00822D2C" w:rsidP="00822D2C">
      <w:pPr>
        <w:spacing w:after="0" w:line="240" w:lineRule="auto"/>
        <w:rPr>
          <w:i/>
          <w:lang w:val="sl-SI"/>
        </w:rPr>
      </w:pPr>
      <w:r w:rsidRPr="006640AF">
        <w:rPr>
          <w:b/>
          <w:i/>
          <w:u w:val="single"/>
          <w:lang w:val="sl-SI"/>
        </w:rPr>
        <w:t xml:space="preserve">Predlog sklepa </w:t>
      </w:r>
      <w:r>
        <w:rPr>
          <w:b/>
          <w:i/>
          <w:u w:val="single"/>
          <w:lang w:val="sl-SI"/>
        </w:rPr>
        <w:t>2</w:t>
      </w:r>
      <w:r w:rsidRPr="006640AF">
        <w:rPr>
          <w:b/>
          <w:i/>
          <w:u w:val="single"/>
          <w:lang w:val="sl-SI"/>
        </w:rPr>
        <w:t>:</w:t>
      </w:r>
      <w:r w:rsidRPr="006640AF">
        <w:rPr>
          <w:i/>
          <w:lang w:val="sl-SI"/>
        </w:rPr>
        <w:t xml:space="preserve"> </w:t>
      </w:r>
    </w:p>
    <w:p w:rsidR="00822D2C" w:rsidRPr="006640AF" w:rsidRDefault="00822D2C" w:rsidP="00822D2C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 xml:space="preserve">Občinski svet Občine Prevalje  </w:t>
      </w:r>
      <w:r>
        <w:rPr>
          <w:i/>
          <w:lang w:val="sl-SI"/>
        </w:rPr>
        <w:t>sprejeme</w:t>
      </w:r>
      <w:r w:rsidRPr="006640AF">
        <w:rPr>
          <w:i/>
          <w:lang w:val="sl-SI"/>
        </w:rPr>
        <w:t xml:space="preserve"> cen</w:t>
      </w:r>
      <w:r>
        <w:rPr>
          <w:i/>
          <w:lang w:val="sl-SI"/>
        </w:rPr>
        <w:t>e</w:t>
      </w:r>
      <w:r w:rsidRPr="006640AF">
        <w:rPr>
          <w:i/>
          <w:lang w:val="sl-SI"/>
        </w:rPr>
        <w:t xml:space="preserve"> storitev grobarjev in cene storitev pokopališko pogrebnega moštva</w:t>
      </w:r>
      <w:r>
        <w:rPr>
          <w:i/>
          <w:lang w:val="sl-SI"/>
        </w:rPr>
        <w:t>, ki zanašajo:</w:t>
      </w:r>
    </w:p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660"/>
        <w:gridCol w:w="1100"/>
        <w:gridCol w:w="1260"/>
      </w:tblGrid>
      <w:tr w:rsidR="00822D2C" w:rsidRPr="006640AF" w:rsidTr="00757336">
        <w:trPr>
          <w:trHeight w:hRule="exact" w:val="66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STORITVE GROBARJEV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osnova: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DDV: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cena:</w:t>
            </w:r>
          </w:p>
        </w:tc>
      </w:tr>
      <w:tr w:rsidR="00822D2C" w:rsidRPr="006640AF" w:rsidTr="00757336">
        <w:trPr>
          <w:trHeight w:hRule="exact" w:val="30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Klasični grob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</w:tr>
      <w:tr w:rsidR="00822D2C" w:rsidRPr="006640AF" w:rsidTr="00757336">
        <w:trPr>
          <w:trHeight w:hRule="exact" w:val="54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Izkop, zasip in prva ureditev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198</w:t>
            </w:r>
            <w:r w:rsidRPr="006640AF">
              <w:rPr>
                <w:i/>
                <w:lang w:val="sl-SI"/>
              </w:rPr>
              <w:t>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216,81</w:t>
            </w:r>
            <w:r w:rsidRPr="006640AF">
              <w:rPr>
                <w:i/>
                <w:lang w:val="sl-SI"/>
              </w:rPr>
              <w:t xml:space="preserve"> €</w:t>
            </w:r>
          </w:p>
        </w:tc>
      </w:tr>
      <w:tr w:rsidR="00822D2C" w:rsidRPr="006640AF" w:rsidTr="00757336">
        <w:trPr>
          <w:trHeight w:hRule="exact" w:val="30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Žarni grob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</w:tr>
      <w:tr w:rsidR="00822D2C" w:rsidRPr="006640AF" w:rsidTr="00757336">
        <w:trPr>
          <w:trHeight w:hRule="exact" w:val="540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 xml:space="preserve">Izkop, zasip in prva ureditev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71</w:t>
            </w:r>
            <w:r w:rsidRPr="006640AF">
              <w:rPr>
                <w:i/>
                <w:lang w:val="sl-SI"/>
              </w:rPr>
              <w:t>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77,745</w:t>
            </w:r>
            <w:r w:rsidRPr="006640AF">
              <w:rPr>
                <w:i/>
                <w:lang w:val="sl-SI"/>
              </w:rPr>
              <w:t xml:space="preserve"> €</w:t>
            </w:r>
          </w:p>
        </w:tc>
      </w:tr>
    </w:tbl>
    <w:p w:rsidR="00822D2C" w:rsidRPr="006640AF" w:rsidRDefault="00822D2C" w:rsidP="00822D2C">
      <w:pPr>
        <w:spacing w:after="0" w:line="240" w:lineRule="auto"/>
        <w:rPr>
          <w:i/>
          <w:lang w:val="sl-SI"/>
        </w:rPr>
      </w:pPr>
    </w:p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660"/>
        <w:gridCol w:w="1100"/>
        <w:gridCol w:w="1260"/>
      </w:tblGrid>
      <w:tr w:rsidR="00822D2C" w:rsidRPr="006640AF" w:rsidTr="00757336">
        <w:trPr>
          <w:trHeight w:hRule="exact" w:val="615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 xml:space="preserve">STORITVE POGREBNO POKOPALIŠKE </w:t>
            </w:r>
            <w:r>
              <w:rPr>
                <w:b/>
                <w:bCs/>
                <w:i/>
                <w:iCs/>
                <w:lang w:val="sl-SI"/>
              </w:rPr>
              <w:t>SKUPINE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osnova: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DDV: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cena:</w:t>
            </w:r>
          </w:p>
        </w:tc>
      </w:tr>
      <w:tr w:rsidR="00822D2C" w:rsidRPr="006640AF" w:rsidTr="00757336">
        <w:trPr>
          <w:trHeight w:hRule="exact" w:val="45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iCs/>
                <w:lang w:val="sl-SI"/>
              </w:rPr>
              <w:t>Osnovno pogrebno moštvo (3 člani)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14</w:t>
            </w:r>
            <w:r w:rsidRPr="006640AF">
              <w:rPr>
                <w:i/>
                <w:lang w:val="sl-SI"/>
              </w:rPr>
              <w:t>0,00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BE3F88" w:rsidRDefault="00822D2C" w:rsidP="00757336">
            <w:pPr>
              <w:spacing w:after="0" w:line="240" w:lineRule="auto"/>
              <w:rPr>
                <w:i/>
                <w:highlight w:val="yellow"/>
                <w:lang w:val="sl-SI"/>
              </w:rPr>
            </w:pPr>
            <w:r w:rsidRPr="00BE3F88">
              <w:rPr>
                <w:i/>
                <w:lang w:val="sl-SI"/>
              </w:rPr>
              <w:t>153,30 €</w:t>
            </w:r>
          </w:p>
        </w:tc>
      </w:tr>
      <w:tr w:rsidR="00822D2C" w:rsidRPr="006640AF" w:rsidTr="00757336">
        <w:trPr>
          <w:trHeight w:hRule="exact" w:val="45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iCs/>
                <w:lang w:val="sl-SI"/>
              </w:rPr>
              <w:t>Dodatni člani moštva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32,00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BE3F88" w:rsidRDefault="00822D2C" w:rsidP="00757336">
            <w:pPr>
              <w:spacing w:after="0" w:line="240" w:lineRule="auto"/>
              <w:rPr>
                <w:i/>
                <w:highlight w:val="yellow"/>
                <w:lang w:val="sl-SI"/>
              </w:rPr>
            </w:pPr>
            <w:r w:rsidRPr="00BE3F88">
              <w:rPr>
                <w:i/>
                <w:lang w:val="sl-SI"/>
              </w:rPr>
              <w:t>35,04 €</w:t>
            </w:r>
          </w:p>
        </w:tc>
      </w:tr>
      <w:tr w:rsidR="00822D2C" w:rsidRPr="006640AF" w:rsidTr="00757336">
        <w:trPr>
          <w:trHeight w:hRule="exact" w:val="45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iCs/>
                <w:lang w:val="sl-SI"/>
              </w:rPr>
              <w:t>Uporaba in nošenje zastave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</w:t>
            </w:r>
            <w:r>
              <w:rPr>
                <w:i/>
                <w:lang w:val="sl-SI"/>
              </w:rPr>
              <w:t>2</w:t>
            </w:r>
            <w:r w:rsidRPr="006640AF">
              <w:rPr>
                <w:i/>
                <w:lang w:val="sl-SI"/>
              </w:rPr>
              <w:t>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BE3F88" w:rsidRDefault="00822D2C" w:rsidP="00757336">
            <w:pPr>
              <w:spacing w:after="0" w:line="240" w:lineRule="auto"/>
              <w:rPr>
                <w:i/>
                <w:highlight w:val="yellow"/>
                <w:lang w:val="sl-SI"/>
              </w:rPr>
            </w:pPr>
            <w:r w:rsidRPr="00BE3F88">
              <w:rPr>
                <w:i/>
                <w:lang w:val="sl-SI"/>
              </w:rPr>
              <w:t>35,04 €</w:t>
            </w:r>
          </w:p>
        </w:tc>
      </w:tr>
      <w:tr w:rsidR="00822D2C" w:rsidRPr="006640AF" w:rsidTr="00757336">
        <w:trPr>
          <w:trHeight w:hRule="exact" w:val="450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Default="00822D2C" w:rsidP="00757336">
            <w:pPr>
              <w:spacing w:after="0" w:line="240" w:lineRule="auto"/>
              <w:rPr>
                <w:i/>
                <w:iCs/>
                <w:lang w:val="sl-SI"/>
              </w:rPr>
            </w:pPr>
            <w:r>
              <w:rPr>
                <w:i/>
                <w:iCs/>
                <w:lang w:val="sl-SI"/>
              </w:rPr>
              <w:t>Uporaba in nošenje križa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32,00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6640AF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D2C" w:rsidRPr="00BE3F88" w:rsidRDefault="00822D2C" w:rsidP="00757336">
            <w:pPr>
              <w:spacing w:after="0" w:line="240" w:lineRule="auto"/>
              <w:rPr>
                <w:i/>
                <w:lang w:val="sl-SI"/>
              </w:rPr>
            </w:pPr>
            <w:r w:rsidRPr="00BE3F88">
              <w:rPr>
                <w:i/>
                <w:lang w:val="sl-SI"/>
              </w:rPr>
              <w:t>35,04 €</w:t>
            </w:r>
          </w:p>
        </w:tc>
      </w:tr>
    </w:tbl>
    <w:p w:rsidR="00822D2C" w:rsidRDefault="00822D2C" w:rsidP="00822D2C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>Cene se uporabljajo od 1.</w:t>
      </w:r>
      <w:r>
        <w:rPr>
          <w:i/>
          <w:lang w:val="sl-SI"/>
        </w:rPr>
        <w:t>5</w:t>
      </w:r>
      <w:r w:rsidRPr="006640AF">
        <w:rPr>
          <w:i/>
          <w:lang w:val="sl-SI"/>
        </w:rPr>
        <w:t>.202</w:t>
      </w:r>
      <w:r>
        <w:rPr>
          <w:i/>
          <w:lang w:val="sl-SI"/>
        </w:rPr>
        <w:t>3</w:t>
      </w:r>
      <w:r w:rsidRPr="006640AF">
        <w:rPr>
          <w:i/>
          <w:lang w:val="sl-SI"/>
        </w:rPr>
        <w:t xml:space="preserve"> dalje.</w:t>
      </w:r>
    </w:p>
    <w:p w:rsidR="00822D2C" w:rsidRDefault="00822D2C" w:rsidP="006964B4">
      <w:pPr>
        <w:spacing w:after="0" w:line="240" w:lineRule="auto"/>
        <w:rPr>
          <w:b/>
          <w:i/>
          <w:u w:val="single"/>
          <w:lang w:val="sl-SI"/>
        </w:rPr>
      </w:pPr>
    </w:p>
    <w:p w:rsidR="00822D2C" w:rsidRDefault="00822D2C" w:rsidP="006964B4">
      <w:pPr>
        <w:spacing w:after="0" w:line="240" w:lineRule="auto"/>
        <w:rPr>
          <w:b/>
          <w:i/>
          <w:u w:val="single"/>
          <w:lang w:val="sl-SI"/>
        </w:rPr>
      </w:pPr>
    </w:p>
    <w:p w:rsidR="006964B4" w:rsidRDefault="006964B4" w:rsidP="006964B4">
      <w:pPr>
        <w:spacing w:after="0" w:line="240" w:lineRule="auto"/>
        <w:rPr>
          <w:i/>
          <w:lang w:val="sl-SI"/>
        </w:rPr>
      </w:pPr>
      <w:r w:rsidRPr="006640AF">
        <w:rPr>
          <w:b/>
          <w:i/>
          <w:u w:val="single"/>
          <w:lang w:val="sl-SI"/>
        </w:rPr>
        <w:t xml:space="preserve">Predlog sklepa </w:t>
      </w:r>
      <w:r w:rsidR="00822D2C">
        <w:rPr>
          <w:b/>
          <w:i/>
          <w:u w:val="single"/>
          <w:lang w:val="sl-SI"/>
        </w:rPr>
        <w:t>3</w:t>
      </w:r>
      <w:r w:rsidRPr="006640AF">
        <w:rPr>
          <w:b/>
          <w:i/>
          <w:u w:val="single"/>
          <w:lang w:val="sl-SI"/>
        </w:rPr>
        <w:t>:</w:t>
      </w:r>
      <w:r w:rsidRPr="006640AF">
        <w:rPr>
          <w:i/>
          <w:lang w:val="sl-SI"/>
        </w:rPr>
        <w:t xml:space="preserve"> </w:t>
      </w:r>
    </w:p>
    <w:p w:rsidR="006964B4" w:rsidRDefault="006964B4" w:rsidP="006964B4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 xml:space="preserve">Občinski svet Občine Prevalje </w:t>
      </w:r>
      <w:r>
        <w:rPr>
          <w:i/>
          <w:lang w:val="sl-SI"/>
        </w:rPr>
        <w:t>sprejme</w:t>
      </w:r>
      <w:r w:rsidRPr="006640AF">
        <w:rPr>
          <w:i/>
          <w:lang w:val="sl-SI"/>
        </w:rPr>
        <w:t xml:space="preserve"> cen</w:t>
      </w:r>
      <w:r>
        <w:rPr>
          <w:i/>
          <w:lang w:val="sl-SI"/>
        </w:rPr>
        <w:t>e</w:t>
      </w:r>
      <w:r w:rsidRPr="006640AF">
        <w:rPr>
          <w:i/>
          <w:lang w:val="sl-SI"/>
        </w:rPr>
        <w:t xml:space="preserve"> grobnin</w:t>
      </w:r>
      <w:r>
        <w:rPr>
          <w:i/>
          <w:lang w:val="sl-SI"/>
        </w:rPr>
        <w:t>, ki zanašajo:</w:t>
      </w:r>
    </w:p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660"/>
        <w:gridCol w:w="1100"/>
        <w:gridCol w:w="1260"/>
      </w:tblGrid>
      <w:tr w:rsidR="006964B4" w:rsidRPr="006640AF" w:rsidTr="00757336">
        <w:trPr>
          <w:trHeight w:val="39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GROBNINE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osnova: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DDV: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cena:</w:t>
            </w:r>
          </w:p>
        </w:tc>
      </w:tr>
      <w:tr w:rsidR="006964B4" w:rsidRPr="006640AF" w:rsidTr="00757336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Družinski grob -letno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B07720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49,59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B07720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60,94</w:t>
            </w:r>
            <w:r w:rsidR="006964B4" w:rsidRPr="006640AF">
              <w:rPr>
                <w:i/>
                <w:lang w:val="sl-SI"/>
              </w:rPr>
              <w:t xml:space="preserve"> €</w:t>
            </w:r>
          </w:p>
        </w:tc>
      </w:tr>
      <w:tr w:rsidR="006964B4" w:rsidRPr="006640AF" w:rsidTr="00757336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Enojni grob - 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38,42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46,87</w:t>
            </w:r>
            <w:r w:rsidR="006964B4" w:rsidRPr="006640AF">
              <w:rPr>
                <w:i/>
                <w:lang w:val="sl-SI"/>
              </w:rPr>
              <w:t xml:space="preserve"> €</w:t>
            </w:r>
          </w:p>
        </w:tc>
      </w:tr>
      <w:tr w:rsidR="006964B4" w:rsidRPr="006640AF" w:rsidTr="00757336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6D33B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iCs/>
                <w:lang w:val="sl-SI"/>
              </w:rPr>
              <w:t>Enojni (ž</w:t>
            </w:r>
            <w:r w:rsidR="006964B4" w:rsidRPr="006640AF">
              <w:rPr>
                <w:i/>
                <w:iCs/>
                <w:lang w:val="sl-SI"/>
              </w:rPr>
              <w:t>arni</w:t>
            </w:r>
            <w:r>
              <w:rPr>
                <w:i/>
                <w:iCs/>
                <w:lang w:val="sl-SI"/>
              </w:rPr>
              <w:t>)</w:t>
            </w:r>
            <w:r w:rsidR="006964B4" w:rsidRPr="006640AF">
              <w:rPr>
                <w:i/>
                <w:iCs/>
                <w:lang w:val="sl-SI"/>
              </w:rPr>
              <w:t xml:space="preserve"> grob -  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38,42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46,87</w:t>
            </w:r>
            <w:r w:rsidR="006964B4" w:rsidRPr="006640AF">
              <w:rPr>
                <w:i/>
                <w:lang w:val="sl-SI"/>
              </w:rPr>
              <w:t xml:space="preserve"> €</w:t>
            </w:r>
          </w:p>
        </w:tc>
      </w:tr>
      <w:tr w:rsidR="006D33B6" w:rsidRPr="006640AF" w:rsidTr="00757336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3B6" w:rsidRDefault="006D33B6" w:rsidP="006D33B6">
            <w:pPr>
              <w:spacing w:after="0" w:line="240" w:lineRule="auto"/>
              <w:rPr>
                <w:i/>
                <w:iCs/>
                <w:lang w:val="sl-SI"/>
              </w:rPr>
            </w:pPr>
            <w:r>
              <w:rPr>
                <w:i/>
                <w:iCs/>
                <w:lang w:val="sl-SI"/>
              </w:rPr>
              <w:t>Žarni grob - 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3B6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23,05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3B6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3B6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 xml:space="preserve">28,12 </w:t>
            </w:r>
            <w:r w:rsidRPr="006640AF">
              <w:rPr>
                <w:i/>
                <w:lang w:val="sl-SI"/>
              </w:rPr>
              <w:t>€</w:t>
            </w:r>
          </w:p>
        </w:tc>
      </w:tr>
      <w:tr w:rsidR="006964B4" w:rsidRPr="006640AF" w:rsidTr="00757336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iCs/>
                <w:lang w:val="sl-SI"/>
              </w:rPr>
            </w:pPr>
            <w:r w:rsidRPr="006640AF">
              <w:rPr>
                <w:i/>
                <w:iCs/>
                <w:lang w:val="sl-SI"/>
              </w:rPr>
              <w:t>Raztros pepela - 10 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115,3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140,6</w:t>
            </w:r>
            <w:r w:rsidR="006964B4" w:rsidRPr="006640AF">
              <w:rPr>
                <w:i/>
                <w:lang w:val="sl-SI"/>
              </w:rPr>
              <w:t xml:space="preserve"> €</w:t>
            </w:r>
          </w:p>
        </w:tc>
      </w:tr>
      <w:tr w:rsidR="006964B4" w:rsidRPr="006640AF" w:rsidTr="00757336">
        <w:trPr>
          <w:trHeight w:val="390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proofErr w:type="spellStart"/>
            <w:r w:rsidRPr="006640AF">
              <w:rPr>
                <w:i/>
                <w:iCs/>
                <w:lang w:val="sl-SI"/>
              </w:rPr>
              <w:t>Bio</w:t>
            </w:r>
            <w:proofErr w:type="spellEnd"/>
            <w:r w:rsidRPr="006640AF">
              <w:rPr>
                <w:i/>
                <w:iCs/>
                <w:lang w:val="sl-SI"/>
              </w:rPr>
              <w:t xml:space="preserve"> žara - 10 letno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192,1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964B4" w:rsidP="00757336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4B4" w:rsidRPr="006640AF" w:rsidRDefault="006D33B6" w:rsidP="00757336">
            <w:pPr>
              <w:spacing w:after="0" w:line="240" w:lineRule="auto"/>
              <w:rPr>
                <w:i/>
                <w:lang w:val="sl-SI"/>
              </w:rPr>
            </w:pPr>
            <w:r>
              <w:rPr>
                <w:i/>
                <w:lang w:val="sl-SI"/>
              </w:rPr>
              <w:t>234,4</w:t>
            </w:r>
            <w:r w:rsidR="006964B4" w:rsidRPr="006640AF">
              <w:rPr>
                <w:i/>
                <w:lang w:val="sl-SI"/>
              </w:rPr>
              <w:t xml:space="preserve"> €</w:t>
            </w:r>
          </w:p>
        </w:tc>
      </w:tr>
    </w:tbl>
    <w:p w:rsidR="006964B4" w:rsidRDefault="006964B4" w:rsidP="006964B4">
      <w:pPr>
        <w:spacing w:after="0" w:line="240" w:lineRule="auto"/>
        <w:rPr>
          <w:i/>
          <w:lang w:val="sl-SI"/>
        </w:rPr>
      </w:pPr>
      <w:bookmarkStart w:id="0" w:name="_GoBack"/>
      <w:bookmarkEnd w:id="0"/>
    </w:p>
    <w:p w:rsidR="006964B4" w:rsidRPr="006640AF" w:rsidRDefault="006964B4" w:rsidP="006964B4">
      <w:pPr>
        <w:spacing w:after="0" w:line="240" w:lineRule="auto"/>
        <w:rPr>
          <w:i/>
          <w:lang w:val="sl-SI"/>
        </w:rPr>
      </w:pPr>
    </w:p>
    <w:p w:rsidR="006964B4" w:rsidRDefault="006964B4" w:rsidP="006964B4">
      <w:pPr>
        <w:spacing w:after="0" w:line="240" w:lineRule="auto"/>
        <w:ind w:left="5954"/>
        <w:rPr>
          <w:rFonts w:ascii="Tahoma" w:hAnsi="Tahoma" w:cs="Tahoma"/>
          <w:b/>
        </w:rPr>
      </w:pPr>
    </w:p>
    <w:p w:rsidR="006964B4" w:rsidRPr="00770409" w:rsidRDefault="006964B4" w:rsidP="006964B4">
      <w:pPr>
        <w:spacing w:after="0" w:line="240" w:lineRule="auto"/>
        <w:ind w:left="5954"/>
        <w:rPr>
          <w:rFonts w:ascii="Tahoma" w:hAnsi="Tahoma" w:cs="Tahoma"/>
          <w:bCs/>
        </w:rPr>
      </w:pPr>
    </w:p>
    <w:p w:rsidR="006964B4" w:rsidRPr="00770409" w:rsidRDefault="006964B4" w:rsidP="006964B4">
      <w:pPr>
        <w:spacing w:after="0" w:line="240" w:lineRule="auto"/>
        <w:ind w:left="5954"/>
        <w:rPr>
          <w:rFonts w:ascii="Tahoma" w:hAnsi="Tahoma" w:cs="Tahoma"/>
          <w:bCs/>
        </w:rPr>
      </w:pPr>
      <w:r w:rsidRPr="00770409">
        <w:rPr>
          <w:rFonts w:ascii="Tahoma" w:hAnsi="Tahoma" w:cs="Tahoma"/>
          <w:bCs/>
        </w:rPr>
        <w:t>Župan Občine Prevalje</w:t>
      </w:r>
    </w:p>
    <w:p w:rsidR="006964B4" w:rsidRPr="00770409" w:rsidRDefault="006964B4" w:rsidP="006964B4">
      <w:pPr>
        <w:spacing w:after="0" w:line="240" w:lineRule="auto"/>
        <w:ind w:left="5954"/>
        <w:rPr>
          <w:bCs/>
          <w:lang w:val="sl-SI"/>
        </w:rPr>
      </w:pPr>
      <w:r w:rsidRPr="00770409">
        <w:rPr>
          <w:rFonts w:ascii="Tahoma" w:hAnsi="Tahoma" w:cs="Tahoma"/>
          <w:bCs/>
        </w:rPr>
        <w:t xml:space="preserve">      dr. Matija Tasič</w:t>
      </w:r>
    </w:p>
    <w:p w:rsidR="008E4716" w:rsidRDefault="005E44DB"/>
    <w:sectPr w:rsidR="008E4716" w:rsidSect="006640AF">
      <w:headerReference w:type="default" r:id="rId6"/>
      <w:footerReference w:type="default" r:id="rId7"/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4DB" w:rsidRDefault="005E44DB">
      <w:pPr>
        <w:spacing w:after="0" w:line="240" w:lineRule="auto"/>
      </w:pPr>
      <w:r>
        <w:separator/>
      </w:r>
    </w:p>
  </w:endnote>
  <w:endnote w:type="continuationSeparator" w:id="0">
    <w:p w:rsidR="005E44DB" w:rsidRDefault="005E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9F" w:rsidRDefault="00822D2C">
    <w:pPr>
      <w:pStyle w:val="Nog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7699F" w:rsidRDefault="005E44DB">
    <w:pPr>
      <w:pStyle w:val="Noga"/>
      <w:tabs>
        <w:tab w:val="clear" w:pos="4536"/>
        <w:tab w:val="clear" w:pos="9072"/>
        <w:tab w:val="left" w:pos="1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4DB" w:rsidRDefault="005E44DB">
      <w:pPr>
        <w:spacing w:after="0" w:line="240" w:lineRule="auto"/>
      </w:pPr>
      <w:r>
        <w:separator/>
      </w:r>
    </w:p>
  </w:footnote>
  <w:footnote w:type="continuationSeparator" w:id="0">
    <w:p w:rsidR="005E44DB" w:rsidRDefault="005E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F00" w:rsidRPr="000D2C95" w:rsidRDefault="00822D2C" w:rsidP="00E75F00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  <w:lang w:val="sl-SI" w:eastAsia="sl-SI" w:bidi="ar-SA"/>
      </w:rPr>
      <w:drawing>
        <wp:anchor distT="0" distB="0" distL="114300" distR="114300" simplePos="0" relativeHeight="251659264" behindDoc="0" locked="0" layoutInCell="1" allowOverlap="1" wp14:anchorId="71789A6A" wp14:editId="3AC8DA41">
          <wp:simplePos x="0" y="0"/>
          <wp:positionH relativeFrom="column">
            <wp:posOffset>1043305</wp:posOffset>
          </wp:positionH>
          <wp:positionV relativeFrom="paragraph">
            <wp:posOffset>-344805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 xml:space="preserve">  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>ina</w: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 </w:t>
    </w:r>
    <w:r>
      <w:rPr>
        <w:rFonts w:ascii="BernhardMod BT" w:hAnsi="BernhardMod BT" w:cs="BernhardMod BT"/>
        <w:color w:val="0000FF"/>
        <w:sz w:val="56"/>
        <w:szCs w:val="56"/>
      </w:rPr>
      <w:t xml:space="preserve">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:rsidR="00E75F00" w:rsidRDefault="005E44DB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E75F00" w:rsidRPr="007C116C" w:rsidRDefault="00822D2C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r w:rsidRPr="007C116C">
      <w:rPr>
        <w:rFonts w:ascii="Tahoma" w:hAnsi="Tahoma" w:cs="Tahoma"/>
        <w:b/>
        <w:bCs/>
        <w:sz w:val="19"/>
        <w:szCs w:val="19"/>
      </w:rPr>
      <w:t xml:space="preserve">OBČINA PREVALJE , </w:t>
    </w:r>
    <w:proofErr w:type="spellStart"/>
    <w:r w:rsidRPr="007C116C">
      <w:rPr>
        <w:rFonts w:ascii="Tahoma" w:hAnsi="Tahoma" w:cs="Tahoma"/>
        <w:b/>
        <w:bCs/>
        <w:sz w:val="19"/>
        <w:szCs w:val="19"/>
      </w:rPr>
      <w:t>Trg</w:t>
    </w:r>
    <w:proofErr w:type="spellEnd"/>
    <w:r w:rsidRPr="007C116C">
      <w:rPr>
        <w:rFonts w:ascii="Tahoma" w:hAnsi="Tahoma" w:cs="Tahoma"/>
        <w:b/>
        <w:bCs/>
        <w:sz w:val="19"/>
        <w:szCs w:val="19"/>
      </w:rPr>
      <w:t xml:space="preserve">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E75F00" w:rsidRPr="00770409" w:rsidRDefault="00822D2C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  <w:lang w:val="de-AT"/>
      </w:rPr>
    </w:pPr>
    <w:r w:rsidRPr="00770409">
      <w:rPr>
        <w:rFonts w:ascii="Tahoma" w:hAnsi="Tahoma" w:cs="Tahoma"/>
        <w:b/>
        <w:bCs/>
        <w:sz w:val="10"/>
        <w:szCs w:val="10"/>
        <w:lang w:val="de-AT"/>
      </w:rPr>
      <w:t>tel.</w:t>
    </w:r>
    <w:r w:rsidRPr="00770409">
      <w:rPr>
        <w:rFonts w:ascii="Tahoma" w:hAnsi="Tahoma" w:cs="Tahoma"/>
        <w:sz w:val="10"/>
        <w:szCs w:val="10"/>
        <w:lang w:val="de-AT"/>
      </w:rPr>
      <w:t>:</w:t>
    </w:r>
    <w:r w:rsidRPr="00770409">
      <w:rPr>
        <w:rFonts w:ascii="Tahoma" w:hAnsi="Tahoma" w:cs="Tahoma"/>
        <w:sz w:val="16"/>
        <w:szCs w:val="16"/>
        <w:lang w:val="de-AT"/>
      </w:rPr>
      <w:t xml:space="preserve"> </w:t>
    </w:r>
    <w:r w:rsidRPr="00770409">
      <w:rPr>
        <w:rFonts w:ascii="Tahoma" w:hAnsi="Tahoma" w:cs="Tahoma"/>
        <w:sz w:val="14"/>
        <w:szCs w:val="14"/>
        <w:lang w:val="de-AT"/>
      </w:rPr>
      <w:t>(02)824 61 00</w:t>
    </w:r>
    <w:r w:rsidRPr="00770409">
      <w:rPr>
        <w:rFonts w:ascii="Tahoma" w:hAnsi="Tahoma" w:cs="Tahoma"/>
        <w:sz w:val="16"/>
        <w:szCs w:val="16"/>
        <w:lang w:val="de-AT"/>
      </w:rPr>
      <w:t xml:space="preserve">, </w:t>
    </w:r>
    <w:r w:rsidRPr="00770409">
      <w:rPr>
        <w:rFonts w:ascii="Tahoma" w:hAnsi="Tahoma" w:cs="Tahoma"/>
        <w:b/>
        <w:bCs/>
        <w:sz w:val="10"/>
        <w:szCs w:val="10"/>
        <w:lang w:val="de-AT"/>
      </w:rPr>
      <w:t>e-</w:t>
    </w:r>
    <w:proofErr w:type="spellStart"/>
    <w:r w:rsidRPr="00770409">
      <w:rPr>
        <w:rFonts w:ascii="Tahoma" w:hAnsi="Tahoma" w:cs="Tahoma"/>
        <w:b/>
        <w:bCs/>
        <w:sz w:val="10"/>
        <w:szCs w:val="10"/>
        <w:lang w:val="de-AT"/>
      </w:rPr>
      <w:t>pošta</w:t>
    </w:r>
    <w:proofErr w:type="spellEnd"/>
    <w:r w:rsidRPr="00770409">
      <w:rPr>
        <w:rFonts w:ascii="Tahoma" w:hAnsi="Tahoma" w:cs="Tahoma"/>
        <w:b/>
        <w:bCs/>
        <w:sz w:val="10"/>
        <w:szCs w:val="10"/>
        <w:lang w:val="de-AT"/>
      </w:rPr>
      <w:t xml:space="preserve"> : </w:t>
    </w:r>
    <w:hyperlink r:id="rId2" w:history="1">
      <w:r w:rsidRPr="00770409">
        <w:rPr>
          <w:rStyle w:val="Hiperpovezava"/>
          <w:rFonts w:ascii="Tahoma" w:hAnsi="Tahoma" w:cs="Tahoma"/>
          <w:sz w:val="14"/>
          <w:szCs w:val="14"/>
          <w:lang w:val="de-AT"/>
        </w:rPr>
        <w:t>obcina@prevalje.si</w:t>
      </w:r>
    </w:hyperlink>
    <w:r w:rsidRPr="00770409">
      <w:rPr>
        <w:rFonts w:ascii="Tahoma" w:hAnsi="Tahoma" w:cs="Tahoma"/>
        <w:sz w:val="16"/>
        <w:szCs w:val="16"/>
        <w:lang w:val="de-AT"/>
      </w:rPr>
      <w:t xml:space="preserve"> </w:t>
    </w:r>
  </w:p>
  <w:p w:rsidR="00E75F00" w:rsidRPr="00770409" w:rsidRDefault="005E44DB" w:rsidP="00E75F00">
    <w:pPr>
      <w:pStyle w:val="Glava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B4"/>
    <w:rsid w:val="000D5C32"/>
    <w:rsid w:val="000F74A1"/>
    <w:rsid w:val="005E44DB"/>
    <w:rsid w:val="00606B81"/>
    <w:rsid w:val="006608A9"/>
    <w:rsid w:val="006964B4"/>
    <w:rsid w:val="006D33B6"/>
    <w:rsid w:val="00822D2C"/>
    <w:rsid w:val="00955C98"/>
    <w:rsid w:val="00B07720"/>
    <w:rsid w:val="00B1331C"/>
    <w:rsid w:val="00BE3F88"/>
    <w:rsid w:val="00D56852"/>
    <w:rsid w:val="00D728E1"/>
    <w:rsid w:val="00DB00F9"/>
    <w:rsid w:val="00E84A4F"/>
    <w:rsid w:val="00F67D7B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A110-27C6-4E2A-8D68-D5A9ADC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64B4"/>
    <w:rPr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964B4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sl-SI" w:bidi="ar-SA"/>
    </w:rPr>
  </w:style>
  <w:style w:type="character" w:customStyle="1" w:styleId="NogaZnak">
    <w:name w:val="Noga Znak"/>
    <w:basedOn w:val="Privzetapisavaodstavka"/>
    <w:link w:val="Noga"/>
    <w:rsid w:val="006964B4"/>
    <w:rPr>
      <w:rFonts w:ascii="Calibri" w:eastAsia="Times New Roman" w:hAnsi="Calibri" w:cs="Times New Roman"/>
      <w:sz w:val="21"/>
      <w:szCs w:val="21"/>
    </w:rPr>
  </w:style>
  <w:style w:type="paragraph" w:styleId="Glava">
    <w:name w:val="header"/>
    <w:basedOn w:val="Navaden"/>
    <w:link w:val="GlavaZnak"/>
    <w:unhideWhenUsed/>
    <w:rsid w:val="0069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964B4"/>
    <w:rPr>
      <w:lang w:val="en-US" w:bidi="en-US"/>
    </w:rPr>
  </w:style>
  <w:style w:type="character" w:styleId="Hiperpovezava">
    <w:name w:val="Hyperlink"/>
    <w:rsid w:val="0069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Emilija Ivančič</cp:lastModifiedBy>
  <cp:revision>10</cp:revision>
  <dcterms:created xsi:type="dcterms:W3CDTF">2023-04-11T07:54:00Z</dcterms:created>
  <dcterms:modified xsi:type="dcterms:W3CDTF">2023-04-13T10:26:00Z</dcterms:modified>
</cp:coreProperties>
</file>