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BF2" w:rsidRDefault="00620BF2" w:rsidP="00620BF2">
      <w:pPr>
        <w:pStyle w:val="Telobesedila"/>
        <w:ind w:right="-1"/>
        <w:jc w:val="both"/>
        <w:outlineLvl w:val="0"/>
        <w:rPr>
          <w:rFonts w:ascii="Tahoma" w:hAnsi="Tahoma" w:cs="Tahoma"/>
          <w:sz w:val="16"/>
          <w:szCs w:val="16"/>
        </w:rPr>
      </w:pPr>
      <w:bookmarkStart w:id="0" w:name="_GoBack"/>
      <w:bookmarkEnd w:id="0"/>
    </w:p>
    <w:p w:rsidR="00620BF2" w:rsidRPr="00435939" w:rsidRDefault="00620BF2" w:rsidP="00620BF2">
      <w:pPr>
        <w:pStyle w:val="Telobesedila"/>
        <w:tabs>
          <w:tab w:val="left" w:pos="851"/>
        </w:tabs>
        <w:ind w:right="-1"/>
        <w:jc w:val="both"/>
        <w:outlineLvl w:val="0"/>
        <w:rPr>
          <w:rFonts w:ascii="Tahoma" w:hAnsi="Tahoma" w:cs="Tahoma"/>
          <w:noProof/>
          <w:color w:val="000000"/>
          <w:sz w:val="20"/>
        </w:rPr>
      </w:pPr>
      <w:r w:rsidRPr="00652C4A">
        <w:rPr>
          <w:rFonts w:ascii="Tahoma" w:hAnsi="Tahoma" w:cs="Tahoma"/>
          <w:color w:val="000000"/>
          <w:sz w:val="20"/>
        </w:rPr>
        <w:t>Številka</w:t>
      </w:r>
      <w:r w:rsidRPr="00435939">
        <w:rPr>
          <w:rFonts w:ascii="Tahoma" w:hAnsi="Tahoma" w:cs="Tahoma"/>
          <w:color w:val="000000"/>
          <w:sz w:val="20"/>
        </w:rPr>
        <w:t>:</w:t>
      </w:r>
      <w:r w:rsidRPr="00435939">
        <w:rPr>
          <w:rFonts w:ascii="Tahoma" w:hAnsi="Tahoma" w:cs="Tahoma"/>
          <w:noProof/>
          <w:color w:val="000000"/>
          <w:sz w:val="20"/>
        </w:rPr>
        <w:t xml:space="preserve"> </w:t>
      </w:r>
      <w:r>
        <w:rPr>
          <w:rFonts w:ascii="Tahoma" w:hAnsi="Tahoma" w:cs="Tahoma"/>
          <w:noProof/>
          <w:color w:val="000000"/>
          <w:sz w:val="20"/>
        </w:rPr>
        <w:tab/>
      </w:r>
      <w:r w:rsidRPr="00620BF2">
        <w:rPr>
          <w:rFonts w:ascii="Tahoma" w:hAnsi="Tahoma" w:cs="Tahoma"/>
          <w:noProof/>
          <w:color w:val="000000"/>
          <w:sz w:val="20"/>
        </w:rPr>
        <w:t>354-0039/2023</w:t>
      </w:r>
    </w:p>
    <w:p w:rsidR="00620BF2" w:rsidRPr="00652C4A" w:rsidRDefault="00620BF2" w:rsidP="00620BF2">
      <w:pPr>
        <w:pStyle w:val="Telobesedila"/>
        <w:tabs>
          <w:tab w:val="left" w:pos="851"/>
        </w:tabs>
        <w:ind w:right="-1"/>
        <w:jc w:val="both"/>
        <w:rPr>
          <w:rFonts w:ascii="Tahoma" w:hAnsi="Tahoma" w:cs="Tahoma"/>
          <w:color w:val="000000"/>
          <w:sz w:val="20"/>
        </w:rPr>
      </w:pPr>
      <w:r>
        <w:rPr>
          <w:rFonts w:ascii="Tahoma" w:hAnsi="Tahoma" w:cs="Tahoma"/>
          <w:noProof/>
          <w:color w:val="000000"/>
          <w:sz w:val="20"/>
        </w:rPr>
        <w:t xml:space="preserve">Datum: </w:t>
      </w:r>
      <w:r>
        <w:rPr>
          <w:rFonts w:ascii="Tahoma" w:hAnsi="Tahoma" w:cs="Tahoma"/>
          <w:noProof/>
          <w:color w:val="000000"/>
          <w:sz w:val="20"/>
        </w:rPr>
        <w:tab/>
      </w:r>
      <w:r>
        <w:rPr>
          <w:rFonts w:ascii="Tahoma" w:hAnsi="Tahoma" w:cs="Tahoma"/>
          <w:noProof/>
          <w:color w:val="000000"/>
          <w:sz w:val="20"/>
        </w:rPr>
        <w:t>11.04.2023</w:t>
      </w:r>
    </w:p>
    <w:p w:rsidR="00620BF2" w:rsidRDefault="00620BF2" w:rsidP="00620BF2">
      <w:pPr>
        <w:ind w:right="-1"/>
        <w:jc w:val="both"/>
        <w:rPr>
          <w:rFonts w:ascii="Tahoma" w:hAnsi="Tahoma" w:cs="Tahoma"/>
          <w:b/>
          <w:sz w:val="22"/>
          <w:szCs w:val="22"/>
        </w:rPr>
      </w:pPr>
    </w:p>
    <w:tbl>
      <w:tblPr>
        <w:tblW w:w="9322" w:type="dxa"/>
        <w:tblLook w:val="04A0" w:firstRow="1" w:lastRow="0" w:firstColumn="1" w:lastColumn="0" w:noHBand="0" w:noVBand="1"/>
      </w:tblPr>
      <w:tblGrid>
        <w:gridCol w:w="1681"/>
        <w:gridCol w:w="7641"/>
      </w:tblGrid>
      <w:tr w:rsidR="00620BF2" w:rsidRPr="0059395B" w:rsidTr="00757336">
        <w:trPr>
          <w:trHeight w:val="397"/>
        </w:trPr>
        <w:tc>
          <w:tcPr>
            <w:tcW w:w="1681" w:type="dxa"/>
            <w:shd w:val="clear" w:color="auto" w:fill="auto"/>
          </w:tcPr>
          <w:p w:rsidR="00620BF2" w:rsidRPr="0059395B" w:rsidRDefault="00620BF2" w:rsidP="00757336">
            <w:pPr>
              <w:spacing w:before="240" w:after="240"/>
              <w:jc w:val="both"/>
              <w:outlineLvl w:val="0"/>
              <w:rPr>
                <w:rFonts w:ascii="Tahoma" w:hAnsi="Tahoma" w:cs="Tahoma"/>
                <w:b/>
                <w:sz w:val="22"/>
                <w:szCs w:val="22"/>
              </w:rPr>
            </w:pPr>
            <w:r w:rsidRPr="0059395B">
              <w:rPr>
                <w:rFonts w:ascii="Tahoma" w:hAnsi="Tahoma" w:cs="Tahoma"/>
                <w:b/>
                <w:sz w:val="22"/>
                <w:szCs w:val="22"/>
              </w:rPr>
              <w:t>Naslov:</w:t>
            </w:r>
          </w:p>
        </w:tc>
        <w:tc>
          <w:tcPr>
            <w:tcW w:w="7641" w:type="dxa"/>
            <w:shd w:val="clear" w:color="auto" w:fill="auto"/>
          </w:tcPr>
          <w:p w:rsidR="00620BF2" w:rsidRPr="0059395B" w:rsidRDefault="00620BF2" w:rsidP="00757336">
            <w:pPr>
              <w:pStyle w:val="Telobesedila"/>
              <w:spacing w:before="240" w:after="240"/>
              <w:jc w:val="both"/>
              <w:rPr>
                <w:rFonts w:ascii="Tahoma" w:hAnsi="Tahoma" w:cs="Tahoma"/>
                <w:b/>
                <w:sz w:val="22"/>
                <w:szCs w:val="22"/>
              </w:rPr>
            </w:pPr>
            <w:r w:rsidRPr="00F21CAD">
              <w:rPr>
                <w:rFonts w:ascii="Tahoma" w:hAnsi="Tahoma" w:cs="Tahoma"/>
                <w:b/>
                <w:sz w:val="22"/>
                <w:szCs w:val="22"/>
              </w:rPr>
              <w:t>PREDLOG SKLEPA O POTRDITVI ELABORATA 24–URNE DEŽURNE POGREBNE SLUŽBE</w:t>
            </w:r>
            <w:r>
              <w:rPr>
                <w:rFonts w:ascii="Tahoma" w:hAnsi="Tahoma" w:cs="Tahoma"/>
                <w:b/>
                <w:sz w:val="22"/>
                <w:szCs w:val="22"/>
              </w:rPr>
              <w:t xml:space="preserve"> IN OBLIKOVANJE CEN ZA LETO 2023</w:t>
            </w:r>
          </w:p>
        </w:tc>
      </w:tr>
      <w:tr w:rsidR="00620BF2" w:rsidRPr="0059395B" w:rsidTr="00757336">
        <w:trPr>
          <w:trHeight w:val="397"/>
        </w:trPr>
        <w:tc>
          <w:tcPr>
            <w:tcW w:w="1681" w:type="dxa"/>
            <w:shd w:val="clear" w:color="auto" w:fill="auto"/>
          </w:tcPr>
          <w:p w:rsidR="00620BF2" w:rsidRPr="0059395B" w:rsidRDefault="00620BF2" w:rsidP="00757336">
            <w:pPr>
              <w:spacing w:before="240" w:after="240"/>
              <w:jc w:val="both"/>
              <w:outlineLvl w:val="0"/>
              <w:rPr>
                <w:rFonts w:ascii="Tahoma" w:hAnsi="Tahoma" w:cs="Tahoma"/>
                <w:b/>
                <w:sz w:val="22"/>
                <w:szCs w:val="22"/>
              </w:rPr>
            </w:pPr>
            <w:r w:rsidRPr="0059395B">
              <w:rPr>
                <w:rFonts w:ascii="Tahoma" w:hAnsi="Tahoma" w:cs="Tahoma"/>
                <w:b/>
                <w:sz w:val="22"/>
                <w:szCs w:val="22"/>
              </w:rPr>
              <w:t>Predlagatelj:</w:t>
            </w:r>
          </w:p>
        </w:tc>
        <w:tc>
          <w:tcPr>
            <w:tcW w:w="7641" w:type="dxa"/>
            <w:shd w:val="clear" w:color="auto" w:fill="auto"/>
          </w:tcPr>
          <w:p w:rsidR="00620BF2" w:rsidRPr="0059395B" w:rsidRDefault="00620BF2" w:rsidP="00757336">
            <w:pPr>
              <w:spacing w:before="240" w:after="240"/>
              <w:jc w:val="both"/>
              <w:outlineLvl w:val="0"/>
              <w:rPr>
                <w:rFonts w:ascii="Tahoma" w:hAnsi="Tahoma" w:cs="Tahoma"/>
                <w:sz w:val="22"/>
                <w:szCs w:val="22"/>
              </w:rPr>
            </w:pPr>
            <w:r w:rsidRPr="0059395B">
              <w:rPr>
                <w:rFonts w:ascii="Tahoma" w:hAnsi="Tahoma" w:cs="Tahoma"/>
                <w:sz w:val="22"/>
                <w:szCs w:val="22"/>
              </w:rPr>
              <w:t>Župan Občine Prevalje</w:t>
            </w:r>
          </w:p>
        </w:tc>
      </w:tr>
      <w:tr w:rsidR="00620BF2" w:rsidRPr="0059395B" w:rsidTr="00757336">
        <w:trPr>
          <w:trHeight w:val="397"/>
        </w:trPr>
        <w:tc>
          <w:tcPr>
            <w:tcW w:w="1681" w:type="dxa"/>
            <w:shd w:val="clear" w:color="auto" w:fill="auto"/>
          </w:tcPr>
          <w:p w:rsidR="00620BF2" w:rsidRPr="0059395B" w:rsidRDefault="00620BF2" w:rsidP="00757336">
            <w:pPr>
              <w:spacing w:before="240" w:after="240"/>
              <w:jc w:val="both"/>
              <w:outlineLvl w:val="0"/>
              <w:rPr>
                <w:rFonts w:ascii="Tahoma" w:hAnsi="Tahoma" w:cs="Tahoma"/>
                <w:b/>
                <w:sz w:val="22"/>
                <w:szCs w:val="22"/>
              </w:rPr>
            </w:pPr>
            <w:r w:rsidRPr="0059395B">
              <w:rPr>
                <w:rFonts w:ascii="Tahoma" w:hAnsi="Tahoma" w:cs="Tahoma"/>
                <w:b/>
                <w:sz w:val="22"/>
                <w:szCs w:val="22"/>
              </w:rPr>
              <w:t>Pravna podlaga:</w:t>
            </w:r>
          </w:p>
        </w:tc>
        <w:tc>
          <w:tcPr>
            <w:tcW w:w="7641" w:type="dxa"/>
            <w:shd w:val="clear" w:color="auto" w:fill="auto"/>
          </w:tcPr>
          <w:p w:rsidR="00620BF2" w:rsidRDefault="00620BF2" w:rsidP="00620BF2">
            <w:pPr>
              <w:pStyle w:val="esegmentp"/>
              <w:numPr>
                <w:ilvl w:val="0"/>
                <w:numId w:val="3"/>
              </w:numPr>
              <w:spacing w:before="240" w:after="0"/>
              <w:rPr>
                <w:rFonts w:ascii="Tahoma" w:hAnsi="Tahoma" w:cs="Tahoma"/>
                <w:color w:val="auto"/>
                <w:sz w:val="22"/>
                <w:szCs w:val="22"/>
              </w:rPr>
            </w:pPr>
            <w:r w:rsidRPr="00EF581B">
              <w:rPr>
                <w:rFonts w:ascii="Tahoma" w:hAnsi="Tahoma" w:cs="Tahoma"/>
                <w:color w:val="auto"/>
                <w:sz w:val="22"/>
                <w:szCs w:val="22"/>
              </w:rPr>
              <w:t>Zakon o pogrebni in pokopališki dejavnosti (</w:t>
            </w:r>
            <w:r w:rsidRPr="00620BF2">
              <w:rPr>
                <w:rFonts w:ascii="Tahoma" w:hAnsi="Tahoma" w:cs="Tahoma"/>
                <w:color w:val="auto"/>
                <w:sz w:val="22"/>
                <w:szCs w:val="22"/>
              </w:rPr>
              <w:t xml:space="preserve">Uradni list RS, št. 62/16 in 3/22 – </w:t>
            </w:r>
            <w:proofErr w:type="spellStart"/>
            <w:r w:rsidRPr="00620BF2">
              <w:rPr>
                <w:rFonts w:ascii="Tahoma" w:hAnsi="Tahoma" w:cs="Tahoma"/>
                <w:color w:val="auto"/>
                <w:sz w:val="22"/>
                <w:szCs w:val="22"/>
              </w:rPr>
              <w:t>ZDeb</w:t>
            </w:r>
            <w:proofErr w:type="spellEnd"/>
            <w:r w:rsidRPr="00620BF2">
              <w:rPr>
                <w:rFonts w:ascii="Tahoma" w:hAnsi="Tahoma" w:cs="Tahoma"/>
                <w:color w:val="auto"/>
                <w:sz w:val="22"/>
                <w:szCs w:val="22"/>
              </w:rPr>
              <w:t>)</w:t>
            </w:r>
          </w:p>
          <w:p w:rsidR="00620BF2" w:rsidRDefault="00620BF2" w:rsidP="00620BF2">
            <w:pPr>
              <w:pStyle w:val="esegmentp"/>
              <w:numPr>
                <w:ilvl w:val="0"/>
                <w:numId w:val="3"/>
              </w:numPr>
              <w:spacing w:after="0"/>
              <w:rPr>
                <w:rFonts w:ascii="Tahoma" w:hAnsi="Tahoma" w:cs="Tahoma"/>
                <w:color w:val="auto"/>
                <w:sz w:val="22"/>
                <w:szCs w:val="22"/>
              </w:rPr>
            </w:pPr>
            <w:r w:rsidRPr="00EF581B">
              <w:rPr>
                <w:rFonts w:ascii="Tahoma" w:hAnsi="Tahoma" w:cs="Tahoma"/>
                <w:color w:val="auto"/>
                <w:sz w:val="22"/>
                <w:szCs w:val="22"/>
              </w:rPr>
              <w:t>Uredba o metodologiji za oblikovanje cen 24-urne dežurne službe (</w:t>
            </w:r>
            <w:r w:rsidRPr="00620BF2">
              <w:rPr>
                <w:rFonts w:ascii="Tahoma" w:hAnsi="Tahoma" w:cs="Tahoma"/>
                <w:color w:val="auto"/>
                <w:sz w:val="22"/>
                <w:szCs w:val="22"/>
              </w:rPr>
              <w:t>Uradni list RS, št. 5/18)</w:t>
            </w:r>
          </w:p>
          <w:p w:rsidR="00620BF2" w:rsidRPr="00EF581B" w:rsidRDefault="00620BF2" w:rsidP="00620BF2">
            <w:pPr>
              <w:pStyle w:val="esegmentp"/>
              <w:numPr>
                <w:ilvl w:val="0"/>
                <w:numId w:val="3"/>
              </w:numPr>
              <w:rPr>
                <w:rFonts w:ascii="Tahoma" w:hAnsi="Tahoma" w:cs="Tahoma"/>
                <w:color w:val="auto"/>
                <w:sz w:val="22"/>
                <w:szCs w:val="22"/>
              </w:rPr>
            </w:pPr>
            <w:bookmarkStart w:id="1" w:name="_Hlk58319332"/>
            <w:r w:rsidRPr="00EF581B">
              <w:rPr>
                <w:rFonts w:ascii="Tahoma" w:hAnsi="Tahoma" w:cs="Tahoma"/>
                <w:color w:val="auto"/>
                <w:sz w:val="22"/>
                <w:szCs w:val="22"/>
              </w:rPr>
              <w:t>Odlok o pokopališkem redu na območju Občin Ravne na Koroškem in Prevalje</w:t>
            </w:r>
            <w:bookmarkEnd w:id="1"/>
            <w:r w:rsidRPr="00EF581B">
              <w:rPr>
                <w:rFonts w:ascii="Tahoma" w:hAnsi="Tahoma" w:cs="Tahoma"/>
                <w:color w:val="auto"/>
                <w:sz w:val="22"/>
                <w:szCs w:val="22"/>
              </w:rPr>
              <w:t xml:space="preserve"> (Uradno glasilo slovenskih občin, št. 10/2020)</w:t>
            </w:r>
            <w:r>
              <w:rPr>
                <w:rFonts w:ascii="Tahoma" w:hAnsi="Tahoma" w:cs="Tahoma"/>
                <w:color w:val="auto"/>
                <w:sz w:val="22"/>
                <w:szCs w:val="22"/>
              </w:rPr>
              <w:t>.</w:t>
            </w:r>
          </w:p>
        </w:tc>
      </w:tr>
      <w:tr w:rsidR="00620BF2" w:rsidRPr="0059395B" w:rsidTr="00757336">
        <w:trPr>
          <w:trHeight w:val="397"/>
        </w:trPr>
        <w:tc>
          <w:tcPr>
            <w:tcW w:w="1681" w:type="dxa"/>
            <w:shd w:val="clear" w:color="auto" w:fill="auto"/>
          </w:tcPr>
          <w:p w:rsidR="00620BF2" w:rsidRPr="0059395B" w:rsidRDefault="00620BF2" w:rsidP="00757336">
            <w:pPr>
              <w:spacing w:before="240" w:after="240"/>
              <w:jc w:val="both"/>
              <w:outlineLvl w:val="0"/>
              <w:rPr>
                <w:rFonts w:ascii="Tahoma" w:hAnsi="Tahoma" w:cs="Tahoma"/>
                <w:b/>
                <w:sz w:val="22"/>
                <w:szCs w:val="22"/>
              </w:rPr>
            </w:pPr>
            <w:r>
              <w:rPr>
                <w:rFonts w:ascii="Tahoma" w:hAnsi="Tahoma" w:cs="Tahoma"/>
                <w:b/>
                <w:sz w:val="22"/>
                <w:szCs w:val="22"/>
              </w:rPr>
              <w:t>Obrazložitev:</w:t>
            </w:r>
          </w:p>
        </w:tc>
        <w:tc>
          <w:tcPr>
            <w:tcW w:w="7641" w:type="dxa"/>
            <w:shd w:val="clear" w:color="auto" w:fill="auto"/>
          </w:tcPr>
          <w:p w:rsidR="00620BF2" w:rsidRDefault="00620BF2" w:rsidP="00757336">
            <w:pPr>
              <w:spacing w:before="120" w:after="120"/>
              <w:jc w:val="both"/>
              <w:rPr>
                <w:rFonts w:ascii="Tahoma" w:hAnsi="Tahoma" w:cs="Tahoma"/>
                <w:sz w:val="22"/>
                <w:szCs w:val="22"/>
              </w:rPr>
            </w:pPr>
            <w:r w:rsidRPr="005A1095">
              <w:rPr>
                <w:rFonts w:ascii="Tahoma" w:hAnsi="Tahoma" w:cs="Tahoma"/>
                <w:sz w:val="22"/>
                <w:szCs w:val="22"/>
              </w:rPr>
              <w:t>Zakon o pogrebni in pokopališki dejavnosti</w:t>
            </w:r>
            <w:r>
              <w:rPr>
                <w:rFonts w:ascii="Tahoma" w:hAnsi="Tahoma" w:cs="Tahoma"/>
                <w:sz w:val="22"/>
                <w:szCs w:val="22"/>
              </w:rPr>
              <w:t xml:space="preserve"> je začel veljati leta 2016 in v okviru pogrebne dejavnosti opredeljuje 24-urno dežurno pogrebno službo kot obvezno občinsko javno službo. 24-urna dežurna pogrebna služba se iz</w:t>
            </w:r>
            <w:r>
              <w:rPr>
                <w:rFonts w:ascii="Tahoma" w:hAnsi="Tahoma" w:cs="Tahoma"/>
                <w:sz w:val="22"/>
                <w:szCs w:val="22"/>
              </w:rPr>
              <w:t>vaja</w:t>
            </w:r>
            <w:r>
              <w:rPr>
                <w:rFonts w:ascii="Tahoma" w:hAnsi="Tahoma" w:cs="Tahoma"/>
                <w:sz w:val="22"/>
                <w:szCs w:val="22"/>
              </w:rPr>
              <w:t xml:space="preserve"> v skladu z zakonom, ki ureja gospodarske javne službe. O</w:t>
            </w:r>
            <w:r w:rsidRPr="005A1095">
              <w:rPr>
                <w:rFonts w:ascii="Tahoma" w:hAnsi="Tahoma" w:cs="Tahoma"/>
                <w:sz w:val="22"/>
                <w:szCs w:val="22"/>
              </w:rPr>
              <w:t>bsega vsak prevoz od kraja smrti do hladilnih prostorov izvajalca javne službe ali zdravstvenega zavoda zaradi obdukcije pokojnika, odvzema organov oziroma drugih postopkov na pokojniku in nato do hladilnih prostorov izvajalca javne službe</w:t>
            </w:r>
            <w:r>
              <w:rPr>
                <w:rFonts w:ascii="Tahoma" w:hAnsi="Tahoma" w:cs="Tahoma"/>
                <w:sz w:val="22"/>
                <w:szCs w:val="22"/>
              </w:rPr>
              <w:t xml:space="preserve">. </w:t>
            </w:r>
          </w:p>
          <w:p w:rsidR="00620BF2" w:rsidRDefault="00620BF2" w:rsidP="00757336">
            <w:pPr>
              <w:spacing w:before="120" w:after="120"/>
              <w:jc w:val="both"/>
              <w:rPr>
                <w:rFonts w:ascii="Tahoma" w:hAnsi="Tahoma" w:cs="Tahoma"/>
                <w:sz w:val="22"/>
                <w:szCs w:val="22"/>
              </w:rPr>
            </w:pPr>
            <w:r>
              <w:rPr>
                <w:rFonts w:ascii="Tahoma" w:hAnsi="Tahoma" w:cs="Tahoma"/>
                <w:sz w:val="22"/>
                <w:szCs w:val="22"/>
              </w:rPr>
              <w:t>Cene 24-urne dežurne službe so bile nazadnje sprejete leta 2020 (</w:t>
            </w:r>
            <w:r w:rsidRPr="00620BF2">
              <w:rPr>
                <w:rFonts w:ascii="Tahoma" w:hAnsi="Tahoma" w:cs="Tahoma"/>
                <w:sz w:val="22"/>
                <w:szCs w:val="22"/>
              </w:rPr>
              <w:t>159,33</w:t>
            </w:r>
            <w:r>
              <w:rPr>
                <w:rFonts w:ascii="Tahoma" w:hAnsi="Tahoma" w:cs="Tahoma"/>
                <w:sz w:val="22"/>
                <w:szCs w:val="22"/>
              </w:rPr>
              <w:t xml:space="preserve"> EUR na pokojnika brez DDV), sedaj pa je Javno komunalno podjetje Log d.o.o. pripravilo novo kalkulacijo cene, predvsem zaradi velikih sprememb na področju cen električne energije, ogrevanja, dviga osnovne plače ter tudi stroškov zbiranja odpadkov, ki prej niso bile upoštevane v kalkulaciji cene. </w:t>
            </w:r>
          </w:p>
          <w:p w:rsidR="00620BF2" w:rsidRPr="0059395B" w:rsidRDefault="00620BF2" w:rsidP="00620BF2">
            <w:pPr>
              <w:spacing w:before="120" w:after="120"/>
              <w:jc w:val="both"/>
              <w:rPr>
                <w:rFonts w:ascii="Tahoma" w:hAnsi="Tahoma" w:cs="Tahoma"/>
                <w:sz w:val="22"/>
                <w:szCs w:val="22"/>
              </w:rPr>
            </w:pPr>
            <w:r>
              <w:rPr>
                <w:rFonts w:ascii="Tahoma" w:hAnsi="Tahoma" w:cs="Tahoma"/>
                <w:sz w:val="22"/>
                <w:szCs w:val="22"/>
              </w:rPr>
              <w:t xml:space="preserve">Občina Prevalje je s strani JKP Log, d.o.o. prejela Elaborat 24-urne dežurne pogrebne službe, ki je oblikovan na podlagi Uredbe o </w:t>
            </w:r>
            <w:r w:rsidRPr="00EF581B">
              <w:rPr>
                <w:rFonts w:ascii="Tahoma" w:hAnsi="Tahoma" w:cs="Tahoma"/>
                <w:sz w:val="22"/>
                <w:szCs w:val="22"/>
              </w:rPr>
              <w:t>metodologiji za oblikovanje cen 24-urne dežurne službe</w:t>
            </w:r>
            <w:r>
              <w:rPr>
                <w:rFonts w:ascii="Tahoma" w:hAnsi="Tahoma" w:cs="Tahoma"/>
                <w:sz w:val="22"/>
                <w:szCs w:val="22"/>
              </w:rPr>
              <w:t xml:space="preserve">. Predračunska cena izvajanja 24-urne dežurne pogrebne službe znaša </w:t>
            </w:r>
            <w:r>
              <w:rPr>
                <w:rFonts w:ascii="Tahoma" w:hAnsi="Tahoma" w:cs="Tahoma"/>
                <w:sz w:val="22"/>
                <w:szCs w:val="22"/>
              </w:rPr>
              <w:t xml:space="preserve">188,75 </w:t>
            </w:r>
            <w:r>
              <w:rPr>
                <w:rFonts w:ascii="Tahoma" w:hAnsi="Tahoma" w:cs="Tahoma"/>
                <w:sz w:val="22"/>
                <w:szCs w:val="22"/>
              </w:rPr>
              <w:t xml:space="preserve">EUR na pokojnika (brez DDV). Stroške izvajanje 24-urne dežurne službe poravna naročnik pogreba. </w:t>
            </w:r>
          </w:p>
        </w:tc>
      </w:tr>
      <w:tr w:rsidR="00620BF2" w:rsidRPr="0059395B" w:rsidTr="00757336">
        <w:trPr>
          <w:trHeight w:val="397"/>
        </w:trPr>
        <w:tc>
          <w:tcPr>
            <w:tcW w:w="1681" w:type="dxa"/>
            <w:shd w:val="clear" w:color="auto" w:fill="auto"/>
          </w:tcPr>
          <w:p w:rsidR="00620BF2" w:rsidRPr="0059395B" w:rsidRDefault="00620BF2" w:rsidP="00757336">
            <w:pPr>
              <w:pStyle w:val="Telobesedila"/>
              <w:spacing w:before="240" w:after="240"/>
              <w:jc w:val="both"/>
              <w:outlineLvl w:val="0"/>
              <w:rPr>
                <w:rFonts w:ascii="Tahoma" w:hAnsi="Tahoma" w:cs="Tahoma"/>
                <w:b/>
                <w:sz w:val="22"/>
                <w:szCs w:val="22"/>
              </w:rPr>
            </w:pPr>
            <w:r w:rsidRPr="0059395B">
              <w:rPr>
                <w:rFonts w:ascii="Tahoma" w:hAnsi="Tahoma" w:cs="Tahoma"/>
                <w:b/>
                <w:sz w:val="22"/>
                <w:szCs w:val="22"/>
              </w:rPr>
              <w:t xml:space="preserve">Predlog sklepa: </w:t>
            </w:r>
          </w:p>
        </w:tc>
        <w:tc>
          <w:tcPr>
            <w:tcW w:w="7641" w:type="dxa"/>
            <w:shd w:val="clear" w:color="auto" w:fill="auto"/>
          </w:tcPr>
          <w:p w:rsidR="00620BF2" w:rsidRPr="0059395B" w:rsidRDefault="00620BF2" w:rsidP="00620BF2">
            <w:pPr>
              <w:spacing w:before="240" w:after="240"/>
              <w:jc w:val="both"/>
              <w:rPr>
                <w:rFonts w:ascii="Tahoma" w:hAnsi="Tahoma" w:cs="Tahoma"/>
                <w:b/>
                <w:sz w:val="22"/>
                <w:szCs w:val="22"/>
              </w:rPr>
            </w:pPr>
            <w:r w:rsidRPr="005A1095">
              <w:rPr>
                <w:rFonts w:ascii="Tahoma" w:hAnsi="Tahoma" w:cs="Tahoma"/>
                <w:b/>
                <w:sz w:val="22"/>
                <w:szCs w:val="22"/>
              </w:rPr>
              <w:t>Občinski svet občine Prevalje potrjuje Elaborat 24-urne dežurne pogrebne službe</w:t>
            </w:r>
            <w:r>
              <w:rPr>
                <w:rFonts w:ascii="Tahoma" w:hAnsi="Tahoma" w:cs="Tahoma"/>
                <w:b/>
                <w:sz w:val="22"/>
                <w:szCs w:val="22"/>
              </w:rPr>
              <w:t xml:space="preserve">, </w:t>
            </w:r>
            <w:r w:rsidRPr="005A1095">
              <w:rPr>
                <w:rFonts w:ascii="Tahoma" w:hAnsi="Tahoma" w:cs="Tahoma"/>
                <w:b/>
                <w:sz w:val="22"/>
                <w:szCs w:val="22"/>
              </w:rPr>
              <w:t>ki ga je izdelalo JKP Log d.o.o.</w:t>
            </w:r>
            <w:r>
              <w:rPr>
                <w:rFonts w:ascii="Tahoma" w:hAnsi="Tahoma" w:cs="Tahoma"/>
                <w:b/>
                <w:sz w:val="22"/>
                <w:szCs w:val="22"/>
              </w:rPr>
              <w:t>,</w:t>
            </w:r>
            <w:r w:rsidRPr="005A1095">
              <w:rPr>
                <w:rFonts w:ascii="Tahoma" w:hAnsi="Tahoma" w:cs="Tahoma"/>
                <w:b/>
                <w:sz w:val="22"/>
                <w:szCs w:val="22"/>
              </w:rPr>
              <w:t xml:space="preserve"> ter cen</w:t>
            </w:r>
            <w:r>
              <w:rPr>
                <w:rFonts w:ascii="Tahoma" w:hAnsi="Tahoma" w:cs="Tahoma"/>
                <w:b/>
                <w:sz w:val="22"/>
                <w:szCs w:val="22"/>
              </w:rPr>
              <w:t>o</w:t>
            </w:r>
            <w:r w:rsidRPr="005A1095">
              <w:rPr>
                <w:rFonts w:ascii="Tahoma" w:hAnsi="Tahoma" w:cs="Tahoma"/>
                <w:b/>
                <w:sz w:val="22"/>
                <w:szCs w:val="22"/>
              </w:rPr>
              <w:t xml:space="preserve"> za izvajanje 24-urne dežurne služb</w:t>
            </w:r>
            <w:r>
              <w:rPr>
                <w:rFonts w:ascii="Tahoma" w:hAnsi="Tahoma" w:cs="Tahoma"/>
                <w:b/>
                <w:sz w:val="22"/>
                <w:szCs w:val="22"/>
              </w:rPr>
              <w:t xml:space="preserve">e </w:t>
            </w:r>
            <w:r>
              <w:rPr>
                <w:rFonts w:ascii="Tahoma" w:hAnsi="Tahoma" w:cs="Tahoma"/>
                <w:b/>
                <w:sz w:val="22"/>
                <w:szCs w:val="22"/>
              </w:rPr>
              <w:t>za leto 2023</w:t>
            </w:r>
            <w:r w:rsidRPr="005A1095">
              <w:rPr>
                <w:rFonts w:ascii="Tahoma" w:hAnsi="Tahoma" w:cs="Tahoma"/>
                <w:b/>
                <w:sz w:val="22"/>
                <w:szCs w:val="22"/>
              </w:rPr>
              <w:t xml:space="preserve">, </w:t>
            </w:r>
            <w:r>
              <w:rPr>
                <w:rFonts w:ascii="Tahoma" w:hAnsi="Tahoma" w:cs="Tahoma"/>
                <w:b/>
                <w:sz w:val="22"/>
                <w:szCs w:val="22"/>
              </w:rPr>
              <w:t>ki znaša 1</w:t>
            </w:r>
            <w:r>
              <w:rPr>
                <w:rFonts w:ascii="Tahoma" w:hAnsi="Tahoma" w:cs="Tahoma"/>
                <w:b/>
                <w:sz w:val="22"/>
                <w:szCs w:val="22"/>
              </w:rPr>
              <w:t xml:space="preserve">88,75 </w:t>
            </w:r>
            <w:r>
              <w:rPr>
                <w:rFonts w:ascii="Tahoma" w:hAnsi="Tahoma" w:cs="Tahoma"/>
                <w:b/>
                <w:sz w:val="22"/>
                <w:szCs w:val="22"/>
              </w:rPr>
              <w:t>EUR na pokojnika (brez DDV).</w:t>
            </w:r>
            <w:r w:rsidRPr="005A1095">
              <w:rPr>
                <w:rFonts w:ascii="Tahoma" w:hAnsi="Tahoma" w:cs="Tahoma"/>
                <w:b/>
                <w:sz w:val="22"/>
                <w:szCs w:val="22"/>
              </w:rPr>
              <w:t xml:space="preserve"> Cen</w:t>
            </w:r>
            <w:r>
              <w:rPr>
                <w:rFonts w:ascii="Tahoma" w:hAnsi="Tahoma" w:cs="Tahoma"/>
                <w:b/>
                <w:sz w:val="22"/>
                <w:szCs w:val="22"/>
              </w:rPr>
              <w:t xml:space="preserve">a </w:t>
            </w:r>
            <w:r>
              <w:rPr>
                <w:rFonts w:ascii="Tahoma" w:hAnsi="Tahoma" w:cs="Tahoma"/>
                <w:b/>
                <w:sz w:val="22"/>
                <w:szCs w:val="22"/>
              </w:rPr>
              <w:t>se začne uporabljati od 1.5.2023 dalje.</w:t>
            </w:r>
            <w:r>
              <w:rPr>
                <w:rFonts w:ascii="Tahoma" w:hAnsi="Tahoma" w:cs="Tahoma"/>
                <w:b/>
                <w:sz w:val="22"/>
                <w:szCs w:val="22"/>
              </w:rPr>
              <w:t xml:space="preserve"> </w:t>
            </w:r>
          </w:p>
        </w:tc>
      </w:tr>
    </w:tbl>
    <w:p w:rsidR="00620BF2" w:rsidRDefault="00620BF2" w:rsidP="00620BF2">
      <w:pPr>
        <w:outlineLvl w:val="0"/>
        <w:rPr>
          <w:rFonts w:ascii="Tahoma" w:hAnsi="Tahoma" w:cs="Tahoma"/>
          <w:sz w:val="24"/>
          <w:szCs w:val="24"/>
        </w:rPr>
      </w:pPr>
      <w:r w:rsidRPr="00B12884">
        <w:rPr>
          <w:rFonts w:ascii="Tahoma" w:hAnsi="Tahoma" w:cs="Tahoma"/>
          <w:sz w:val="24"/>
          <w:szCs w:val="24"/>
        </w:rPr>
        <w:t>Pripravil: Oddelek za komunalno cestno gospodarstvo</w:t>
      </w:r>
    </w:p>
    <w:p w:rsidR="00620BF2" w:rsidRDefault="00620BF2" w:rsidP="00620BF2">
      <w:pPr>
        <w:outlineLvl w:val="0"/>
        <w:rPr>
          <w:rFonts w:ascii="Tahoma" w:hAnsi="Tahoma" w:cs="Tahoma"/>
          <w:sz w:val="24"/>
          <w:szCs w:val="24"/>
        </w:rPr>
      </w:pPr>
    </w:p>
    <w:p w:rsidR="00620BF2" w:rsidRDefault="00620BF2" w:rsidP="00620BF2">
      <w:pPr>
        <w:tabs>
          <w:tab w:val="center" w:pos="6804"/>
        </w:tabs>
        <w:outlineLvl w:val="0"/>
        <w:rPr>
          <w:rFonts w:ascii="Tahoma" w:hAnsi="Tahoma" w:cs="Tahoma"/>
          <w:sz w:val="24"/>
          <w:szCs w:val="24"/>
        </w:rPr>
      </w:pPr>
      <w:r>
        <w:rPr>
          <w:rFonts w:ascii="Tahoma" w:hAnsi="Tahoma" w:cs="Tahoma"/>
          <w:sz w:val="24"/>
          <w:szCs w:val="24"/>
        </w:rPr>
        <w:tab/>
        <w:t>Župan občine:</w:t>
      </w:r>
    </w:p>
    <w:p w:rsidR="00620BF2" w:rsidRDefault="00620BF2" w:rsidP="00620BF2">
      <w:pPr>
        <w:tabs>
          <w:tab w:val="center" w:pos="6804"/>
        </w:tabs>
        <w:outlineLvl w:val="0"/>
        <w:rPr>
          <w:rFonts w:ascii="Tahoma" w:hAnsi="Tahoma" w:cs="Tahoma"/>
          <w:sz w:val="24"/>
          <w:szCs w:val="24"/>
        </w:rPr>
      </w:pPr>
      <w:r>
        <w:rPr>
          <w:rFonts w:ascii="Tahoma" w:hAnsi="Tahoma" w:cs="Tahoma"/>
          <w:sz w:val="24"/>
          <w:szCs w:val="24"/>
        </w:rPr>
        <w:tab/>
        <w:t>Dr. Matic Tasič</w:t>
      </w:r>
    </w:p>
    <w:p w:rsidR="00620BF2" w:rsidRDefault="00620BF2" w:rsidP="00620BF2">
      <w:pPr>
        <w:outlineLvl w:val="0"/>
        <w:rPr>
          <w:rFonts w:ascii="Tahoma" w:hAnsi="Tahoma" w:cs="Tahoma"/>
          <w:sz w:val="24"/>
          <w:szCs w:val="24"/>
        </w:rPr>
      </w:pPr>
    </w:p>
    <w:p w:rsidR="00620BF2" w:rsidRDefault="00620BF2" w:rsidP="00620BF2">
      <w:pPr>
        <w:outlineLvl w:val="0"/>
        <w:rPr>
          <w:rFonts w:ascii="Tahoma" w:hAnsi="Tahoma" w:cs="Tahoma"/>
          <w:sz w:val="24"/>
          <w:szCs w:val="24"/>
        </w:rPr>
      </w:pPr>
      <w:r>
        <w:rPr>
          <w:rFonts w:ascii="Tahoma" w:hAnsi="Tahoma" w:cs="Tahoma"/>
          <w:sz w:val="24"/>
          <w:szCs w:val="24"/>
        </w:rPr>
        <w:t>Priloga:</w:t>
      </w:r>
    </w:p>
    <w:p w:rsidR="00620BF2" w:rsidRDefault="00620BF2" w:rsidP="00620BF2">
      <w:pPr>
        <w:numPr>
          <w:ilvl w:val="0"/>
          <w:numId w:val="2"/>
        </w:numPr>
        <w:jc w:val="both"/>
        <w:outlineLvl w:val="0"/>
        <w:rPr>
          <w:rFonts w:ascii="Tahoma" w:hAnsi="Tahoma" w:cs="Tahoma"/>
          <w:sz w:val="24"/>
          <w:szCs w:val="24"/>
        </w:rPr>
      </w:pPr>
      <w:r w:rsidRPr="006C049C">
        <w:rPr>
          <w:rFonts w:ascii="Tahoma" w:hAnsi="Tahoma" w:cs="Tahoma"/>
          <w:sz w:val="24"/>
          <w:szCs w:val="24"/>
        </w:rPr>
        <w:t xml:space="preserve">Elaborat 24-urne dežurne pogrebne </w:t>
      </w:r>
      <w:r>
        <w:rPr>
          <w:rFonts w:ascii="Tahoma" w:hAnsi="Tahoma" w:cs="Tahoma"/>
          <w:sz w:val="24"/>
          <w:szCs w:val="24"/>
        </w:rPr>
        <w:t xml:space="preserve">službe.  </w:t>
      </w:r>
    </w:p>
    <w:p w:rsidR="008E4716" w:rsidRDefault="00620BF2"/>
    <w:sectPr w:rsidR="008E4716" w:rsidSect="001F36C7">
      <w:headerReference w:type="default" r:id="rId7"/>
      <w:pgSz w:w="11907" w:h="16840" w:code="9"/>
      <w:pgMar w:top="1985" w:right="1418" w:bottom="567" w:left="1418" w:header="567"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BF2" w:rsidRDefault="00620BF2" w:rsidP="00620BF2">
      <w:r>
        <w:separator/>
      </w:r>
    </w:p>
  </w:endnote>
  <w:endnote w:type="continuationSeparator" w:id="0">
    <w:p w:rsidR="00620BF2" w:rsidRDefault="00620BF2" w:rsidP="0062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ernhardMod BT">
    <w:altName w:val="Times New Roman"/>
    <w:charset w:val="00"/>
    <w:family w:val="roman"/>
    <w:pitch w:val="variable"/>
    <w:sig w:usb0="00000087" w:usb1="00000000" w:usb2="00000000" w:usb3="00000000" w:csb0="0000001B"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BF2" w:rsidRDefault="00620BF2" w:rsidP="00620BF2">
      <w:r>
        <w:separator/>
      </w:r>
    </w:p>
  </w:footnote>
  <w:footnote w:type="continuationSeparator" w:id="0">
    <w:p w:rsidR="00620BF2" w:rsidRDefault="00620BF2" w:rsidP="00620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740" w:rsidRPr="000D2C95" w:rsidRDefault="00620BF2" w:rsidP="002715E8">
    <w:pPr>
      <w:pStyle w:val="Glava"/>
      <w:shd w:val="clear" w:color="auto" w:fill="FFFFFF"/>
      <w:ind w:right="-568"/>
      <w:rPr>
        <w:rFonts w:ascii="BernhardMod BT" w:hAnsi="BernhardMod BT" w:cs="BernhardMod BT"/>
        <w:color w:val="0000FF"/>
        <w:sz w:val="56"/>
        <w:szCs w:val="56"/>
      </w:rPr>
    </w:pPr>
    <w:r>
      <w:rPr>
        <w:noProof/>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-131445</wp:posOffset>
          </wp:positionV>
          <wp:extent cx="498475" cy="6858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nhardMod BT" w:hAnsi="BernhardMod BT" w:cs="BernhardMod BT"/>
        <w:color w:val="0000FF"/>
        <w:sz w:val="56"/>
        <w:szCs w:val="56"/>
      </w:rPr>
      <w:t xml:space="preserve"> </w:t>
    </w:r>
    <w:r>
      <w:rPr>
        <w:rFonts w:ascii="BernhardMod BT" w:hAnsi="BernhardMod BT" w:cs="BernhardMod BT"/>
        <w:color w:val="0000FF"/>
        <w:sz w:val="56"/>
        <w:szCs w:val="56"/>
      </w:rPr>
      <w:t>o</w:t>
    </w:r>
    <w:r w:rsidRPr="000D2C95">
      <w:rPr>
        <w:rFonts w:ascii="BernhardMod BT" w:hAnsi="BernhardMod BT" w:cs="BernhardMod BT"/>
        <w:color w:val="0000FF"/>
        <w:sz w:val="56"/>
        <w:szCs w:val="56"/>
      </w:rPr>
      <w:t>b</w:t>
    </w:r>
    <w:r>
      <w:rPr>
        <w:rFonts w:ascii="BernhardMod BT" w:hAnsi="BernhardMod BT" w:cs="BernhardMod BT"/>
        <w:color w:val="0000FF"/>
        <w:sz w:val="56"/>
        <w:szCs w:val="56"/>
      </w:rPr>
      <w:t>č</w:t>
    </w:r>
    <w:r w:rsidRPr="000D2C95">
      <w:rPr>
        <w:rFonts w:ascii="BernhardMod BT" w:hAnsi="BernhardMod BT" w:cs="BernhardMod BT"/>
        <w:color w:val="0000FF"/>
        <w:sz w:val="56"/>
        <w:szCs w:val="56"/>
      </w:rPr>
      <w:t xml:space="preserve">ina </w:t>
    </w:r>
    <w:r>
      <w:rPr>
        <w:rFonts w:ascii="BernhardMod BT" w:hAnsi="BernhardMod BT" w:cs="BernhardMod BT"/>
        <w:color w:val="0000FF"/>
        <w:sz w:val="56"/>
        <w:szCs w:val="56"/>
      </w:rPr>
      <w:t xml:space="preserve">     </w:t>
    </w:r>
    <w:r>
      <w:rPr>
        <w:rFonts w:ascii="BernhardMod BT" w:hAnsi="BernhardMod BT" w:cs="BernhardMod BT"/>
        <w:color w:val="0000FF"/>
        <w:sz w:val="56"/>
        <w:szCs w:val="56"/>
      </w:rPr>
      <w:t xml:space="preserve"> </w:t>
    </w:r>
    <w:proofErr w:type="spellStart"/>
    <w:r w:rsidRPr="000D2C95">
      <w:rPr>
        <w:rFonts w:ascii="BernhardMod BT" w:hAnsi="BernhardMod BT" w:cs="BernhardMod BT"/>
        <w:color w:val="0000FF"/>
        <w:sz w:val="56"/>
        <w:szCs w:val="56"/>
      </w:rPr>
      <w:t>prevalje</w:t>
    </w:r>
    <w:proofErr w:type="spellEnd"/>
  </w:p>
  <w:p w:rsidR="00D14740" w:rsidRDefault="00620BF2" w:rsidP="002715E8">
    <w:pPr>
      <w:pStyle w:val="Glava"/>
      <w:shd w:val="clear" w:color="auto" w:fill="FFFFFF"/>
      <w:tabs>
        <w:tab w:val="clear" w:pos="9072"/>
        <w:tab w:val="right" w:pos="9923"/>
      </w:tabs>
      <w:ind w:right="-710"/>
      <w:rPr>
        <w:rFonts w:ascii="Tahoma" w:hAnsi="Tahoma" w:cs="Tahoma"/>
        <w:b/>
        <w:bCs/>
      </w:rPr>
    </w:pPr>
  </w:p>
  <w:p w:rsidR="00D14740" w:rsidRPr="003D1709" w:rsidRDefault="00620BF2" w:rsidP="002715E8">
    <w:pPr>
      <w:pStyle w:val="Glava"/>
      <w:shd w:val="clear" w:color="auto" w:fill="FFFFFF"/>
      <w:tabs>
        <w:tab w:val="clear" w:pos="9072"/>
        <w:tab w:val="right" w:pos="9923"/>
      </w:tabs>
      <w:ind w:right="-710"/>
      <w:rPr>
        <w:rFonts w:ascii="Tahoma" w:hAnsi="Tahoma" w:cs="Tahoma"/>
        <w:sz w:val="19"/>
        <w:szCs w:val="19"/>
      </w:rPr>
    </w:pPr>
    <w:r w:rsidRPr="003D1709">
      <w:rPr>
        <w:rFonts w:ascii="Tahoma" w:hAnsi="Tahoma" w:cs="Tahoma"/>
        <w:b/>
        <w:bCs/>
        <w:sz w:val="19"/>
        <w:szCs w:val="19"/>
      </w:rPr>
      <w:t>OBČINA PREVALJE</w:t>
    </w:r>
    <w:r>
      <w:rPr>
        <w:rFonts w:ascii="Tahoma" w:hAnsi="Tahoma" w:cs="Tahoma"/>
        <w:b/>
        <w:bCs/>
        <w:sz w:val="19"/>
        <w:szCs w:val="19"/>
      </w:rPr>
      <w:t xml:space="preserve"> </w:t>
    </w:r>
    <w:r w:rsidRPr="003D1709">
      <w:rPr>
        <w:rFonts w:ascii="Tahoma" w:hAnsi="Tahoma" w:cs="Tahoma"/>
        <w:b/>
        <w:bCs/>
        <w:sz w:val="19"/>
        <w:szCs w:val="19"/>
      </w:rPr>
      <w:t xml:space="preserve">, Trg </w:t>
    </w:r>
    <w:r w:rsidRPr="003D1709">
      <w:rPr>
        <w:rFonts w:ascii="Tahoma" w:hAnsi="Tahoma" w:cs="Tahoma"/>
        <w:b/>
        <w:bCs/>
        <w:sz w:val="19"/>
        <w:szCs w:val="19"/>
      </w:rPr>
      <w:t>2</w:t>
    </w:r>
    <w:r w:rsidRPr="003D1709">
      <w:rPr>
        <w:rFonts w:ascii="Tahoma" w:hAnsi="Tahoma" w:cs="Tahoma"/>
        <w:b/>
        <w:bCs/>
        <w:sz w:val="19"/>
        <w:szCs w:val="19"/>
      </w:rPr>
      <w:t>a</w:t>
    </w:r>
    <w:r>
      <w:rPr>
        <w:rFonts w:ascii="Tahoma" w:hAnsi="Tahoma" w:cs="Tahoma"/>
        <w:b/>
        <w:bCs/>
        <w:sz w:val="19"/>
        <w:szCs w:val="19"/>
      </w:rPr>
      <w:t xml:space="preserve"> </w:t>
    </w:r>
    <w:r w:rsidRPr="003D1709">
      <w:rPr>
        <w:rFonts w:ascii="Tahoma" w:hAnsi="Tahoma" w:cs="Tahoma"/>
        <w:b/>
        <w:bCs/>
        <w:sz w:val="19"/>
        <w:szCs w:val="19"/>
      </w:rPr>
      <w:t>, Si 2391 Prevalje</w:t>
    </w:r>
  </w:p>
  <w:p w:rsidR="00D14740" w:rsidRPr="003441EF" w:rsidRDefault="00620BF2" w:rsidP="002715E8">
    <w:pPr>
      <w:pStyle w:val="Glava"/>
      <w:rPr>
        <w:lang w:val="de-DE"/>
      </w:rPr>
    </w:pPr>
    <w:r>
      <w:rPr>
        <w:rFonts w:ascii="Tahoma" w:hAnsi="Tahoma" w:cs="Tahoma"/>
        <w:b/>
        <w:bCs/>
        <w:sz w:val="10"/>
        <w:szCs w:val="10"/>
      </w:rPr>
      <w:t xml:space="preserve"> </w:t>
    </w:r>
    <w:r w:rsidRPr="003441EF">
      <w:rPr>
        <w:rFonts w:ascii="Tahoma" w:hAnsi="Tahoma" w:cs="Tahoma"/>
        <w:b/>
        <w:bCs/>
        <w:sz w:val="10"/>
        <w:szCs w:val="10"/>
        <w:lang w:val="de-DE"/>
      </w:rPr>
      <w:t xml:space="preserve">tel. </w:t>
    </w:r>
    <w:r w:rsidRPr="003441EF">
      <w:rPr>
        <w:rFonts w:ascii="Tahoma" w:hAnsi="Tahoma" w:cs="Tahoma"/>
        <w:sz w:val="16"/>
        <w:szCs w:val="16"/>
        <w:lang w:val="de-DE"/>
      </w:rPr>
      <w:t>(</w:t>
    </w:r>
    <w:r w:rsidRPr="003441EF">
      <w:rPr>
        <w:rFonts w:ascii="Tahoma" w:hAnsi="Tahoma" w:cs="Tahoma"/>
        <w:sz w:val="14"/>
        <w:szCs w:val="14"/>
        <w:lang w:val="de-DE"/>
      </w:rPr>
      <w:t>02) 824 61 00</w:t>
    </w:r>
    <w:r w:rsidRPr="003441EF">
      <w:rPr>
        <w:rFonts w:ascii="Tahoma" w:hAnsi="Tahoma" w:cs="Tahoma"/>
        <w:sz w:val="16"/>
        <w:szCs w:val="16"/>
        <w:lang w:val="de-DE"/>
      </w:rPr>
      <w:t xml:space="preserve">, </w:t>
    </w:r>
    <w:r w:rsidRPr="003441EF">
      <w:rPr>
        <w:rFonts w:ascii="Tahoma" w:hAnsi="Tahoma" w:cs="Tahoma"/>
        <w:b/>
        <w:bCs/>
        <w:sz w:val="10"/>
        <w:szCs w:val="10"/>
        <w:lang w:val="de-DE"/>
      </w:rPr>
      <w:t>e-</w:t>
    </w:r>
    <w:proofErr w:type="spellStart"/>
    <w:r w:rsidRPr="003441EF">
      <w:rPr>
        <w:rFonts w:ascii="Tahoma" w:hAnsi="Tahoma" w:cs="Tahoma"/>
        <w:b/>
        <w:bCs/>
        <w:sz w:val="10"/>
        <w:szCs w:val="10"/>
        <w:lang w:val="de-DE"/>
      </w:rPr>
      <w:t>pošta</w:t>
    </w:r>
    <w:proofErr w:type="spellEnd"/>
    <w:r w:rsidRPr="003441EF">
      <w:rPr>
        <w:rFonts w:ascii="Tahoma" w:hAnsi="Tahoma" w:cs="Tahoma"/>
        <w:b/>
        <w:bCs/>
        <w:sz w:val="10"/>
        <w:szCs w:val="10"/>
        <w:lang w:val="de-DE"/>
      </w:rPr>
      <w:t>:</w:t>
    </w:r>
    <w:r w:rsidRPr="003441EF">
      <w:rPr>
        <w:rFonts w:ascii="Tahoma" w:hAnsi="Tahoma" w:cs="Tahoma"/>
        <w:b/>
        <w:bCs/>
        <w:sz w:val="10"/>
        <w:szCs w:val="10"/>
        <w:lang w:val="de-DE"/>
      </w:rPr>
      <w:t xml:space="preserve">  </w:t>
    </w:r>
    <w:hyperlink r:id="rId2" w:history="1">
      <w:r w:rsidRPr="003441EF">
        <w:rPr>
          <w:rStyle w:val="Hiperpovezava"/>
          <w:rFonts w:ascii="Tahoma" w:hAnsi="Tahoma" w:cs="Tahoma"/>
          <w:sz w:val="14"/>
          <w:szCs w:val="14"/>
          <w:lang w:val="de-DE"/>
        </w:rPr>
        <w:t>obcina@prevalje.si</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F4A9C"/>
    <w:multiLevelType w:val="hybridMultilevel"/>
    <w:tmpl w:val="1D42E438"/>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 w15:restartNumberingAfterBreak="0">
    <w:nsid w:val="11356043"/>
    <w:multiLevelType w:val="hybridMultilevel"/>
    <w:tmpl w:val="4686CF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B1D4CC8"/>
    <w:multiLevelType w:val="hybridMultilevel"/>
    <w:tmpl w:val="B9B867D4"/>
    <w:lvl w:ilvl="0" w:tplc="8280ED1E">
      <w:start w:val="1"/>
      <w:numFmt w:val="bullet"/>
      <w:lvlText w:val="-"/>
      <w:lvlJc w:val="left"/>
      <w:pPr>
        <w:ind w:left="720" w:hanging="360"/>
      </w:pPr>
      <w:rPr>
        <w:rFonts w:ascii="Arial" w:eastAsia="Calibr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F2"/>
    <w:rsid w:val="000D5C32"/>
    <w:rsid w:val="000F74A1"/>
    <w:rsid w:val="00620BF2"/>
    <w:rsid w:val="00955C98"/>
    <w:rsid w:val="00B1331C"/>
    <w:rsid w:val="00DB00F9"/>
    <w:rsid w:val="00F67D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1E81283-042A-4593-B192-3ED4BBAF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20BF2"/>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620BF2"/>
    <w:rPr>
      <w:sz w:val="24"/>
    </w:rPr>
  </w:style>
  <w:style w:type="character" w:customStyle="1" w:styleId="TelobesedilaZnak">
    <w:name w:val="Telo besedila Znak"/>
    <w:basedOn w:val="Privzetapisavaodstavka"/>
    <w:link w:val="Telobesedila"/>
    <w:rsid w:val="00620BF2"/>
    <w:rPr>
      <w:rFonts w:ascii="Times New Roman" w:eastAsia="Times New Roman" w:hAnsi="Times New Roman" w:cs="Times New Roman"/>
      <w:sz w:val="24"/>
      <w:szCs w:val="20"/>
      <w:lang w:eastAsia="sl-SI"/>
    </w:rPr>
  </w:style>
  <w:style w:type="paragraph" w:styleId="Glava">
    <w:name w:val="header"/>
    <w:basedOn w:val="Navaden"/>
    <w:link w:val="GlavaZnak"/>
    <w:rsid w:val="00620BF2"/>
    <w:pPr>
      <w:tabs>
        <w:tab w:val="center" w:pos="4536"/>
        <w:tab w:val="right" w:pos="9072"/>
      </w:tabs>
    </w:pPr>
  </w:style>
  <w:style w:type="character" w:customStyle="1" w:styleId="GlavaZnak">
    <w:name w:val="Glava Znak"/>
    <w:basedOn w:val="Privzetapisavaodstavka"/>
    <w:link w:val="Glava"/>
    <w:rsid w:val="00620BF2"/>
    <w:rPr>
      <w:rFonts w:ascii="Times New Roman" w:eastAsia="Times New Roman" w:hAnsi="Times New Roman" w:cs="Times New Roman"/>
      <w:sz w:val="20"/>
      <w:szCs w:val="20"/>
      <w:lang w:eastAsia="sl-SI"/>
    </w:rPr>
  </w:style>
  <w:style w:type="character" w:styleId="Hiperpovezava">
    <w:name w:val="Hyperlink"/>
    <w:rsid w:val="00620BF2"/>
    <w:rPr>
      <w:color w:val="0000FF"/>
      <w:u w:val="single"/>
    </w:rPr>
  </w:style>
  <w:style w:type="paragraph" w:customStyle="1" w:styleId="esegmentp">
    <w:name w:val="esegment_p"/>
    <w:basedOn w:val="Navaden"/>
    <w:rsid w:val="00620BF2"/>
    <w:pPr>
      <w:spacing w:after="210"/>
      <w:ind w:firstLine="240"/>
      <w:jc w:val="both"/>
    </w:pPr>
    <w:rPr>
      <w:color w:val="313131"/>
      <w:sz w:val="24"/>
      <w:szCs w:val="24"/>
    </w:rPr>
  </w:style>
  <w:style w:type="paragraph" w:styleId="Noga">
    <w:name w:val="footer"/>
    <w:basedOn w:val="Navaden"/>
    <w:link w:val="NogaZnak"/>
    <w:uiPriority w:val="99"/>
    <w:unhideWhenUsed/>
    <w:rsid w:val="00620BF2"/>
    <w:pPr>
      <w:tabs>
        <w:tab w:val="center" w:pos="4536"/>
        <w:tab w:val="right" w:pos="9072"/>
      </w:tabs>
    </w:pPr>
  </w:style>
  <w:style w:type="character" w:customStyle="1" w:styleId="NogaZnak">
    <w:name w:val="Noga Znak"/>
    <w:basedOn w:val="Privzetapisavaodstavka"/>
    <w:link w:val="Noga"/>
    <w:uiPriority w:val="99"/>
    <w:rsid w:val="00620BF2"/>
    <w:rPr>
      <w:rFonts w:ascii="Times New Roman" w:eastAsia="Times New Roman" w:hAnsi="Times New Roman"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obcina@prevalje.si" TargetMode="External"/><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327</Words>
  <Characters>1866</Characters>
  <Application>Microsoft Office Word</Application>
  <DocSecurity>0</DocSecurity>
  <Lines>15</Lines>
  <Paragraphs>4</Paragraphs>
  <ScaleCrop>false</ScaleCrop>
  <HeadingPairs>
    <vt:vector size="4" baseType="variant">
      <vt:variant>
        <vt:lpstr>Naslov</vt:lpstr>
      </vt:variant>
      <vt:variant>
        <vt:i4>1</vt:i4>
      </vt:variant>
      <vt:variant>
        <vt:lpstr>Podnaslovi</vt:lpstr>
      </vt:variant>
      <vt:variant>
        <vt:i4>9</vt:i4>
      </vt:variant>
    </vt:vector>
  </HeadingPairs>
  <TitlesOfParts>
    <vt:vector size="10" baseType="lpstr">
      <vt:lpstr/>
      <vt:lpstr/>
      <vt:lpstr>Številka: 	354-0039/2023</vt:lpstr>
      <vt:lpstr>Pripravil: Oddelek za komunalno cestno gospodarstvo</vt:lpstr>
      <vt:lpstr/>
      <vt:lpstr>Župan občine:</vt:lpstr>
      <vt:lpstr>Dr. Matic Tasič</vt:lpstr>
      <vt:lpstr/>
      <vt:lpstr>Priloga:</vt:lpstr>
      <vt:lpstr>Elaborat 24-urne dežurne pogrebne službe.  </vt:lpstr>
    </vt:vector>
  </TitlesOfParts>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Eva</cp:lastModifiedBy>
  <cp:revision>1</cp:revision>
  <dcterms:created xsi:type="dcterms:W3CDTF">2023-04-11T07:42:00Z</dcterms:created>
  <dcterms:modified xsi:type="dcterms:W3CDTF">2023-04-11T07:53:00Z</dcterms:modified>
</cp:coreProperties>
</file>