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C3C34">
        <w:rPr>
          <w:rFonts w:ascii="Arial" w:eastAsiaTheme="minorHAnsi" w:hAnsi="Arial" w:cs="Arial"/>
          <w:lang w:eastAsia="en-US"/>
        </w:rPr>
        <w:t xml:space="preserve">Datum: </w:t>
      </w:r>
      <w:r w:rsidR="00CA68C6">
        <w:rPr>
          <w:rFonts w:ascii="Arial" w:eastAsiaTheme="minorHAnsi" w:hAnsi="Arial" w:cs="Arial"/>
          <w:lang w:eastAsia="en-US"/>
        </w:rPr>
        <w:t>18</w:t>
      </w:r>
      <w:r w:rsidR="00890AA8">
        <w:rPr>
          <w:rFonts w:ascii="Arial" w:eastAsiaTheme="minorHAnsi" w:hAnsi="Arial" w:cs="Arial"/>
          <w:lang w:eastAsia="en-US"/>
        </w:rPr>
        <w:t>.0</w:t>
      </w:r>
      <w:r w:rsidR="004B3F34">
        <w:rPr>
          <w:rFonts w:ascii="Arial" w:eastAsiaTheme="minorHAnsi" w:hAnsi="Arial" w:cs="Arial"/>
          <w:lang w:eastAsia="en-US"/>
        </w:rPr>
        <w:t>1</w:t>
      </w:r>
      <w:r w:rsidR="00EF29CC">
        <w:rPr>
          <w:rFonts w:ascii="Arial" w:eastAsiaTheme="minorHAnsi" w:hAnsi="Arial" w:cs="Arial"/>
          <w:lang w:eastAsia="en-US"/>
        </w:rPr>
        <w:t>.201</w:t>
      </w:r>
      <w:r w:rsidR="004B3F34">
        <w:rPr>
          <w:rFonts w:ascii="Arial" w:eastAsiaTheme="minorHAnsi" w:hAnsi="Arial" w:cs="Arial"/>
          <w:lang w:eastAsia="en-US"/>
        </w:rPr>
        <w:t>8</w:t>
      </w: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C3C34">
        <w:rPr>
          <w:rFonts w:ascii="Arial" w:eastAsiaTheme="minorHAnsi" w:hAnsi="Arial" w:cs="Arial"/>
          <w:b/>
          <w:sz w:val="28"/>
          <w:szCs w:val="28"/>
          <w:lang w:eastAsia="en-US"/>
        </w:rPr>
        <w:t>OBČINSKI SVET</w:t>
      </w:r>
    </w:p>
    <w:p w:rsidR="002C3C34" w:rsidRPr="002C3C34" w:rsidRDefault="009A7943" w:rsidP="002C3C34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RIBNICA</w:t>
      </w: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C3C34" w:rsidRPr="00B25561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ZADEVA</w:t>
      </w:r>
      <w:r w:rsidRPr="00B25561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:</w:t>
      </w:r>
      <w:r w:rsidRPr="00B2556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B25561" w:rsidRPr="00B25561">
        <w:rPr>
          <w:rFonts w:ascii="Arial" w:hAnsi="Arial" w:cs="Arial"/>
          <w:b/>
          <w:sz w:val="28"/>
          <w:szCs w:val="28"/>
        </w:rPr>
        <w:t>Sklep o cenah storitev čiščenja in odvajanja kom</w:t>
      </w:r>
      <w:r w:rsidR="00D04992">
        <w:rPr>
          <w:rFonts w:ascii="Arial" w:hAnsi="Arial" w:cs="Arial"/>
          <w:b/>
          <w:sz w:val="28"/>
          <w:szCs w:val="28"/>
        </w:rPr>
        <w:t>unalne odpadne vode na območju O</w:t>
      </w:r>
      <w:r w:rsidR="00B25561" w:rsidRPr="00B25561">
        <w:rPr>
          <w:rFonts w:ascii="Arial" w:hAnsi="Arial" w:cs="Arial"/>
          <w:b/>
          <w:sz w:val="28"/>
          <w:szCs w:val="28"/>
        </w:rPr>
        <w:t>bčine Ribnica</w:t>
      </w:r>
    </w:p>
    <w:p w:rsidR="002C3C34" w:rsidRPr="00B25561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Default="002C3C34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3C34">
        <w:rPr>
          <w:rFonts w:ascii="Arial" w:eastAsiaTheme="minorHAnsi" w:hAnsi="Arial" w:cs="Arial"/>
          <w:sz w:val="20"/>
          <w:szCs w:val="20"/>
          <w:lang w:eastAsia="en-US"/>
        </w:rPr>
        <w:t xml:space="preserve">PRAVNA PODLAGA: </w:t>
      </w:r>
    </w:p>
    <w:p w:rsidR="001D3ED3" w:rsidRPr="002C3C34" w:rsidRDefault="001D3ED3" w:rsidP="002C3C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D3ED3" w:rsidRDefault="001D3ED3" w:rsidP="002C3C3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Zakon</w:t>
      </w:r>
      <w:r w:rsidRPr="001D3ED3">
        <w:rPr>
          <w:rFonts w:ascii="Arial" w:eastAsiaTheme="minorHAnsi" w:hAnsi="Arial" w:cs="Arial"/>
          <w:sz w:val="20"/>
          <w:szCs w:val="20"/>
          <w:lang w:eastAsia="en-US"/>
        </w:rPr>
        <w:t xml:space="preserve"> o gospodarskih javnih službah (Ur. l. RS, št. 32/93, 30/98, 127/06, 38/10, 57/11),</w:t>
      </w:r>
    </w:p>
    <w:p w:rsidR="009B4744" w:rsidRPr="009B4744" w:rsidRDefault="002C3C34" w:rsidP="00B2556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B4744">
        <w:rPr>
          <w:rFonts w:ascii="Arial" w:eastAsiaTheme="minorHAnsi" w:hAnsi="Arial" w:cs="Arial"/>
          <w:sz w:val="20"/>
          <w:szCs w:val="20"/>
          <w:lang w:eastAsia="en-US"/>
        </w:rPr>
        <w:t>Uredba o metodologiji za oblikovanje cen storitev obveznih občinskih gospodarskih javnih služb varstva okolja (Ur. l. RS, št. 87/2012, 102/12)</w:t>
      </w:r>
      <w:r w:rsidR="001D3ED3" w:rsidRPr="009B4744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B25561" w:rsidRPr="009B4744" w:rsidRDefault="00B25561" w:rsidP="00B2556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B4744">
        <w:rPr>
          <w:rFonts w:ascii="Arial" w:eastAsiaTheme="minorHAnsi" w:hAnsi="Arial" w:cs="Arial"/>
          <w:sz w:val="20"/>
          <w:szCs w:val="20"/>
          <w:lang w:eastAsia="en-US"/>
        </w:rPr>
        <w:t>Odlok o odvajanju in čiščenju komunalne odpadne vode na območju občine Ribnica (Ur. l. RS, št. 86/12</w:t>
      </w:r>
      <w:r>
        <w:t>)</w:t>
      </w:r>
    </w:p>
    <w:p w:rsidR="001D3ED3" w:rsidRDefault="001D3ED3" w:rsidP="00B2556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AA8" w:rsidRDefault="00890AA8" w:rsidP="001D3ED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Občinski svet Občine Ribnica potrjuje:</w:t>
      </w:r>
    </w:p>
    <w:p w:rsidR="00890AA8" w:rsidRPr="00890AA8" w:rsidRDefault="00890AA8" w:rsidP="00890AA8">
      <w:pPr>
        <w:autoSpaceDE w:val="0"/>
        <w:autoSpaceDN w:val="0"/>
        <w:adjustRightInd w:val="0"/>
        <w:ind w:left="720"/>
        <w:contextualSpacing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890AA8" w:rsidRPr="00D235B9" w:rsidRDefault="00890AA8" w:rsidP="00890AA8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35B9">
        <w:rPr>
          <w:rFonts w:ascii="Arial" w:eastAsiaTheme="minorHAnsi" w:hAnsi="Arial" w:cs="Arial"/>
          <w:sz w:val="20"/>
          <w:szCs w:val="20"/>
          <w:lang w:eastAsia="en-US"/>
        </w:rPr>
        <w:t>Cene za posamezno storitev so sledeče:</w:t>
      </w:r>
    </w:p>
    <w:p w:rsidR="00D235B9" w:rsidRPr="00CA68C6" w:rsidRDefault="00D235B9" w:rsidP="00D235B9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A68C6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890AA8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ena </w:t>
      </w:r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čiščenja komunalne odpadne vode znaša </w:t>
      </w:r>
      <w:r w:rsidR="00EF29CC" w:rsidRPr="00CA68C6">
        <w:rPr>
          <w:rFonts w:ascii="Arial" w:eastAsiaTheme="minorHAnsi" w:hAnsi="Arial" w:cs="Arial"/>
          <w:sz w:val="20"/>
          <w:szCs w:val="20"/>
          <w:lang w:eastAsia="en-US"/>
        </w:rPr>
        <w:t>0,</w:t>
      </w:r>
      <w:r w:rsidR="00CA68C6" w:rsidRPr="00CA68C6">
        <w:rPr>
          <w:rFonts w:ascii="Arial" w:eastAsiaTheme="minorHAnsi" w:hAnsi="Arial" w:cs="Arial"/>
          <w:sz w:val="20"/>
          <w:szCs w:val="20"/>
          <w:lang w:eastAsia="en-US"/>
        </w:rPr>
        <w:t>6132</w:t>
      </w:r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EUR/m</w:t>
      </w:r>
      <w:r w:rsidR="009B4744" w:rsidRPr="00CA68C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3</w:t>
      </w:r>
      <w:r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brez DDV</w:t>
      </w:r>
    </w:p>
    <w:p w:rsidR="00890AA8" w:rsidRPr="00CA68C6" w:rsidRDefault="00D235B9" w:rsidP="00D235B9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A68C6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890AA8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ena </w:t>
      </w:r>
      <w:proofErr w:type="spellStart"/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>omrežnine</w:t>
      </w:r>
      <w:proofErr w:type="spellEnd"/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čiščenja</w:t>
      </w:r>
      <w:r w:rsidR="00890AA8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znaša </w:t>
      </w:r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>2,04</w:t>
      </w:r>
      <w:r w:rsidR="00CA68C6" w:rsidRPr="00CA68C6">
        <w:rPr>
          <w:rFonts w:ascii="Arial" w:eastAsiaTheme="minorHAnsi" w:hAnsi="Arial" w:cs="Arial"/>
          <w:sz w:val="20"/>
          <w:szCs w:val="20"/>
          <w:lang w:eastAsia="en-US"/>
        </w:rPr>
        <w:t>13</w:t>
      </w:r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EUR</w:t>
      </w:r>
      <w:r w:rsidRPr="00CA68C6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>uporabnika za DN≤20</w:t>
      </w:r>
      <w:r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brez DDV</w:t>
      </w:r>
    </w:p>
    <w:p w:rsidR="009B4744" w:rsidRPr="00CA68C6" w:rsidRDefault="00D235B9" w:rsidP="00D235B9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A68C6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F14E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ena </w:t>
      </w:r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>odvajanja komunalne odpadne vode znaša 0,1519 EUR/m</w:t>
      </w:r>
      <w:r w:rsidR="009B4744" w:rsidRPr="00CA68C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3</w:t>
      </w:r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brez DDV </w:t>
      </w:r>
    </w:p>
    <w:p w:rsidR="009B4744" w:rsidRPr="00CA68C6" w:rsidRDefault="00D235B9" w:rsidP="009B4744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A68C6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F14E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ena </w:t>
      </w:r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>omrežnine</w:t>
      </w:r>
      <w:proofErr w:type="spellEnd"/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D72DA" w:rsidRPr="00CA68C6">
        <w:rPr>
          <w:rFonts w:ascii="Arial" w:eastAsiaTheme="minorHAnsi" w:hAnsi="Arial" w:cs="Arial"/>
          <w:sz w:val="20"/>
          <w:szCs w:val="20"/>
          <w:lang w:eastAsia="en-US"/>
        </w:rPr>
        <w:t>odvajanja</w:t>
      </w:r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znaša </w:t>
      </w:r>
      <w:r w:rsidR="00EF29CC" w:rsidRPr="00CA68C6">
        <w:rPr>
          <w:rFonts w:ascii="Arial" w:eastAsiaTheme="minorHAnsi" w:hAnsi="Arial" w:cs="Arial"/>
          <w:sz w:val="20"/>
          <w:szCs w:val="20"/>
          <w:lang w:eastAsia="en-US"/>
        </w:rPr>
        <w:t>1,</w:t>
      </w:r>
      <w:r w:rsidR="00CA68C6" w:rsidRPr="00CA68C6">
        <w:rPr>
          <w:rFonts w:ascii="Arial" w:eastAsiaTheme="minorHAnsi" w:hAnsi="Arial" w:cs="Arial"/>
          <w:sz w:val="20"/>
          <w:szCs w:val="20"/>
          <w:lang w:eastAsia="en-US"/>
        </w:rPr>
        <w:t>7935</w:t>
      </w:r>
      <w:r w:rsidR="009B4744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EUR/uporabnika za DN≤20 brez DDV</w:t>
      </w:r>
    </w:p>
    <w:p w:rsidR="009B4744" w:rsidRPr="00CA68C6" w:rsidRDefault="009B4744" w:rsidP="009B4744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A68C6">
        <w:rPr>
          <w:rFonts w:ascii="Arial" w:eastAsiaTheme="minorHAnsi" w:hAnsi="Arial" w:cs="Arial"/>
          <w:sz w:val="20"/>
          <w:szCs w:val="20"/>
          <w:lang w:eastAsia="en-US"/>
        </w:rPr>
        <w:t>cena storitve povezane z greznicami in MKČN znaša 0,3125 EUR/m</w:t>
      </w:r>
      <w:r w:rsidRPr="00CA68C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3</w:t>
      </w:r>
      <w:r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brez DDV </w:t>
      </w:r>
    </w:p>
    <w:p w:rsidR="00D235B9" w:rsidRPr="00CA68C6" w:rsidRDefault="009B4744" w:rsidP="00D235B9">
      <w:pPr>
        <w:numPr>
          <w:ilvl w:val="0"/>
          <w:numId w:val="5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A68C6">
        <w:rPr>
          <w:rFonts w:ascii="Arial" w:eastAsiaTheme="minorHAnsi" w:hAnsi="Arial" w:cs="Arial"/>
          <w:sz w:val="20"/>
          <w:szCs w:val="20"/>
          <w:lang w:eastAsia="en-US"/>
        </w:rPr>
        <w:t>cena praznjenja pretočne greznice ali MKČN po naročilu znaša 135,61 EUR/praznjenje</w:t>
      </w:r>
      <w:r w:rsidR="006D6BE5"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brez DDV</w:t>
      </w:r>
      <w:r w:rsidRPr="00CA68C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235B9" w:rsidRPr="00D235B9" w:rsidRDefault="00D235B9" w:rsidP="00D235B9">
      <w:pPr>
        <w:pStyle w:val="Navadensple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D235B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Sklep začne veljati naslednji dan po objavi v Uradnem listu Republike Slovenije, uporablja pa se </w:t>
      </w:r>
      <w:r w:rsidRPr="0085657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1. </w:t>
      </w:r>
      <w:r w:rsidR="00DA1F01" w:rsidRPr="00856576">
        <w:rPr>
          <w:rFonts w:ascii="Arial" w:eastAsiaTheme="minorHAnsi" w:hAnsi="Arial" w:cs="Arial"/>
          <w:color w:val="auto"/>
          <w:sz w:val="20"/>
          <w:szCs w:val="20"/>
          <w:lang w:eastAsia="en-US"/>
        </w:rPr>
        <w:t>3</w:t>
      </w:r>
      <w:r w:rsidR="00EF29CC" w:rsidRPr="00856576">
        <w:rPr>
          <w:rFonts w:ascii="Arial" w:eastAsiaTheme="minorHAnsi" w:hAnsi="Arial" w:cs="Arial"/>
          <w:color w:val="auto"/>
          <w:sz w:val="20"/>
          <w:szCs w:val="20"/>
          <w:lang w:eastAsia="en-US"/>
        </w:rPr>
        <w:t>. 201</w:t>
      </w:r>
      <w:r w:rsidR="002B442A" w:rsidRPr="00856576">
        <w:rPr>
          <w:rFonts w:ascii="Arial" w:eastAsiaTheme="minorHAnsi" w:hAnsi="Arial" w:cs="Arial"/>
          <w:color w:val="auto"/>
          <w:sz w:val="20"/>
          <w:szCs w:val="20"/>
          <w:lang w:eastAsia="en-US"/>
        </w:rPr>
        <w:t>8</w:t>
      </w:r>
      <w:r w:rsidRPr="00856576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</w:p>
    <w:p w:rsidR="00890AA8" w:rsidRDefault="00890AA8" w:rsidP="003F278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2C3C34" w:rsidRDefault="002C3C34" w:rsidP="002C3C34">
      <w:pPr>
        <w:autoSpaceDE w:val="0"/>
        <w:autoSpaceDN w:val="0"/>
        <w:adjustRightInd w:val="0"/>
        <w:jc w:val="both"/>
        <w:rPr>
          <w:rFonts w:ascii="Arial,Bold" w:eastAsiaTheme="minorHAnsi" w:hAnsi="Arial,Bold" w:cs="Arial,Bold"/>
          <w:b/>
          <w:bCs/>
          <w:sz w:val="20"/>
          <w:szCs w:val="20"/>
          <w:lang w:eastAsia="en-US"/>
        </w:rPr>
      </w:pPr>
      <w:r w:rsidRPr="002C3C34">
        <w:rPr>
          <w:rFonts w:ascii="Arial,Bold" w:eastAsiaTheme="minorHAnsi" w:hAnsi="Arial,Bold" w:cs="Arial,Bold"/>
          <w:b/>
          <w:bCs/>
          <w:sz w:val="20"/>
          <w:szCs w:val="20"/>
          <w:lang w:eastAsia="en-US"/>
        </w:rPr>
        <w:t>OBRAZLOŽITEV</w:t>
      </w:r>
    </w:p>
    <w:p w:rsidR="009B4744" w:rsidRDefault="009B4744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5FA2" w:rsidRDefault="009F5FA2" w:rsidP="009F5FA2">
      <w:pPr>
        <w:pStyle w:val="Navadensple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184EBA">
        <w:rPr>
          <w:rFonts w:ascii="Arial" w:eastAsiaTheme="minorHAnsi" w:hAnsi="Arial" w:cs="Arial"/>
          <w:color w:val="auto"/>
          <w:sz w:val="20"/>
          <w:szCs w:val="20"/>
          <w:lang w:eastAsia="en-US"/>
        </w:rPr>
        <w:t>Trenutno veljavne cene, ki so začele veljati v letu 201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6.</w:t>
      </w:r>
    </w:p>
    <w:p w:rsidR="006C6A4C" w:rsidRPr="006C6A4C" w:rsidRDefault="006C6A4C" w:rsidP="006C6A4C">
      <w:pPr>
        <w:pStyle w:val="Navadensplet"/>
        <w:numPr>
          <w:ilvl w:val="0"/>
          <w:numId w:val="13"/>
        </w:numPr>
        <w:spacing w:after="0"/>
        <w:jc w:val="both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</w:pPr>
      <w:r w:rsidRPr="006C6A4C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>Cena čiščenja komunalne odpadne vode:</w:t>
      </w:r>
    </w:p>
    <w:p w:rsidR="009F5FA2" w:rsidRPr="00D75B7C" w:rsidRDefault="009F5FA2" w:rsidP="009F5FA2">
      <w:pPr>
        <w:pStyle w:val="Navadensplet"/>
        <w:spacing w:after="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Glede na predračunsko ceno za leto 201</w:t>
      </w:r>
      <w:r w:rsidR="004B3F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8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prihodki zaračunanih storitev čiščenja komunalne odpadne vode ne pokrivajo stroškov opravljanja storitev. </w:t>
      </w:r>
      <w:r w:rsidR="00D75B7C">
        <w:rPr>
          <w:rFonts w:ascii="Arial" w:eastAsiaTheme="minorHAnsi" w:hAnsi="Arial" w:cs="Arial"/>
          <w:color w:val="auto"/>
          <w:sz w:val="20"/>
          <w:szCs w:val="20"/>
          <w:lang w:eastAsia="en-US"/>
        </w:rPr>
        <w:t>Glavni vzrok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za dvig cene storitve čiščenja komunalne odpadne vode</w:t>
      </w:r>
      <w:r w:rsidR="00D75B7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je</w:t>
      </w:r>
      <w:r w:rsidRPr="00D75B7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višji strošek </w:t>
      </w:r>
      <w:r w:rsidR="00D75B7C" w:rsidRPr="00D75B7C">
        <w:rPr>
          <w:rFonts w:ascii="Arial" w:eastAsiaTheme="minorHAnsi" w:hAnsi="Arial" w:cs="Arial"/>
          <w:color w:val="auto"/>
          <w:sz w:val="20"/>
          <w:szCs w:val="20"/>
          <w:lang w:eastAsia="en-US"/>
        </w:rPr>
        <w:t>vzdrževanja infrastrukture v delu, ki ni investicijsko vzdrževanje (tekoča popravila)</w:t>
      </w:r>
      <w:r w:rsidR="00D75B7C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  <w:r w:rsidR="00F377A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Stroški so planirani na nivoju dejanskih stroškov leta 2016, ki so višji kot v letu 2015, na osnovi katerega so bile potrjene trenutno veljavne cene. Dejstvo je, da se z delovanjem čistilne naprave posamezni sklopi obrabljajo in posledično z vsakim nadaljnjim letom delovanja nastajajo višji stroški zagotavljanja obratovanja. </w:t>
      </w:r>
      <w:r w:rsidR="005A266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Povišali so se stroški uprave zaradi predvidene nove zaposlitve delavca namesto delavca, ki je na dolgotrajni bolniški. </w:t>
      </w:r>
      <w:r w:rsidR="00F377A6" w:rsidRPr="005A266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Ostali stroški so planirani v </w:t>
      </w:r>
      <w:r w:rsidR="005A2667" w:rsidRPr="005A266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približno </w:t>
      </w:r>
      <w:r w:rsidR="00F377A6" w:rsidRPr="005A2667">
        <w:rPr>
          <w:rFonts w:ascii="Arial" w:eastAsiaTheme="minorHAnsi" w:hAnsi="Arial" w:cs="Arial"/>
          <w:color w:val="auto"/>
          <w:sz w:val="20"/>
          <w:szCs w:val="20"/>
          <w:lang w:eastAsia="en-US"/>
        </w:rPr>
        <w:t>isti višini.</w:t>
      </w:r>
      <w:r w:rsidR="00F377A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9C4469">
        <w:rPr>
          <w:rFonts w:ascii="Arial" w:eastAsiaTheme="minorHAnsi" w:hAnsi="Arial" w:cs="Arial"/>
          <w:color w:val="auto"/>
          <w:sz w:val="20"/>
          <w:szCs w:val="20"/>
          <w:lang w:eastAsia="en-US"/>
        </w:rPr>
        <w:t>Cena trenutno znaša 0,5964 EUR brez DDV za m</w:t>
      </w:r>
      <w:r w:rsidR="009C4469" w:rsidRPr="009C4469">
        <w:rPr>
          <w:rFonts w:ascii="Arial" w:eastAsiaTheme="minorHAnsi" w:hAnsi="Arial" w:cs="Arial"/>
          <w:color w:val="auto"/>
          <w:sz w:val="20"/>
          <w:szCs w:val="20"/>
          <w:vertAlign w:val="superscript"/>
          <w:lang w:eastAsia="en-US"/>
        </w:rPr>
        <w:t>3</w:t>
      </w:r>
      <w:r w:rsidR="009C446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porabljene pitne vode, po novem </w:t>
      </w:r>
      <w:r w:rsidR="009C4469" w:rsidRPr="00CA68C6">
        <w:rPr>
          <w:rFonts w:ascii="Arial" w:eastAsiaTheme="minorHAnsi" w:hAnsi="Arial" w:cs="Arial"/>
          <w:color w:val="auto"/>
          <w:sz w:val="20"/>
          <w:szCs w:val="20"/>
          <w:lang w:eastAsia="en-US"/>
        </w:rPr>
        <w:t>pa 0,6</w:t>
      </w:r>
      <w:r w:rsidR="00CA68C6" w:rsidRPr="00CA68C6">
        <w:rPr>
          <w:rFonts w:ascii="Arial" w:eastAsiaTheme="minorHAnsi" w:hAnsi="Arial" w:cs="Arial"/>
          <w:color w:val="auto"/>
          <w:sz w:val="20"/>
          <w:szCs w:val="20"/>
          <w:lang w:eastAsia="en-US"/>
        </w:rPr>
        <w:t>132</w:t>
      </w:r>
      <w:r w:rsidR="009C4469" w:rsidRPr="00CA68C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EUR brez DDV za m</w:t>
      </w:r>
      <w:r w:rsidR="009C4469" w:rsidRPr="00CA68C6">
        <w:rPr>
          <w:rFonts w:ascii="Arial" w:eastAsiaTheme="minorHAnsi" w:hAnsi="Arial" w:cs="Arial"/>
          <w:color w:val="auto"/>
          <w:sz w:val="20"/>
          <w:szCs w:val="20"/>
          <w:vertAlign w:val="superscript"/>
          <w:lang w:eastAsia="en-US"/>
        </w:rPr>
        <w:t>3</w:t>
      </w:r>
      <w:r w:rsidR="009C4469" w:rsidRPr="00CA68C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porabljene pitne vode, kar je za 0,01</w:t>
      </w:r>
      <w:r w:rsidR="00CA68C6" w:rsidRPr="00CA68C6">
        <w:rPr>
          <w:rFonts w:ascii="Arial" w:eastAsiaTheme="minorHAnsi" w:hAnsi="Arial" w:cs="Arial"/>
          <w:color w:val="auto"/>
          <w:sz w:val="20"/>
          <w:szCs w:val="20"/>
          <w:lang w:eastAsia="en-US"/>
        </w:rPr>
        <w:t>68</w:t>
      </w:r>
      <w:r w:rsidR="009C4469" w:rsidRPr="00CA68C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EUR brez DDV za m</w:t>
      </w:r>
      <w:r w:rsidR="009C4469" w:rsidRPr="00CA68C6">
        <w:rPr>
          <w:rFonts w:ascii="Arial" w:eastAsiaTheme="minorHAnsi" w:hAnsi="Arial" w:cs="Arial"/>
          <w:color w:val="auto"/>
          <w:sz w:val="20"/>
          <w:szCs w:val="20"/>
          <w:vertAlign w:val="superscript"/>
          <w:lang w:eastAsia="en-US"/>
        </w:rPr>
        <w:t>3</w:t>
      </w:r>
      <w:r w:rsidR="009C4469" w:rsidRPr="00CA68C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porabljene pitne vode</w:t>
      </w:r>
      <w:r w:rsidR="009C446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več kot do sedaj.</w:t>
      </w:r>
    </w:p>
    <w:p w:rsidR="006C6A4C" w:rsidRPr="006C6A4C" w:rsidRDefault="006C6A4C" w:rsidP="006C6A4C">
      <w:pPr>
        <w:pStyle w:val="Navadensplet"/>
        <w:numPr>
          <w:ilvl w:val="0"/>
          <w:numId w:val="13"/>
        </w:numPr>
        <w:spacing w:after="0"/>
        <w:jc w:val="both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</w:pPr>
      <w:r w:rsidRPr="006C6A4C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lastRenderedPageBreak/>
        <w:t xml:space="preserve">Cena </w:t>
      </w: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>odvajanja</w:t>
      </w:r>
      <w:r w:rsidRPr="006C6A4C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 xml:space="preserve"> komunalne odpadne vode:</w:t>
      </w:r>
    </w:p>
    <w:p w:rsidR="006C6A4C" w:rsidRDefault="006C6A4C" w:rsidP="009F5FA2">
      <w:pPr>
        <w:pStyle w:val="Navadensplet"/>
        <w:spacing w:after="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Cena storitve odvajanja komunalne odpadne vode ostane nespremenjena in znaša 0,1519 </w:t>
      </w:r>
      <w:r>
        <w:rPr>
          <w:rFonts w:ascii="Arial" w:eastAsiaTheme="minorHAnsi" w:hAnsi="Arial" w:cs="Arial"/>
          <w:sz w:val="20"/>
          <w:szCs w:val="20"/>
          <w:lang w:eastAsia="en-US"/>
        </w:rPr>
        <w:t>EUR/m</w:t>
      </w:r>
      <w:r w:rsidRPr="009B4744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3</w:t>
      </w:r>
      <w:r w:rsidRPr="00D235B9">
        <w:rPr>
          <w:rFonts w:ascii="Arial" w:eastAsiaTheme="minorHAnsi" w:hAnsi="Arial" w:cs="Arial"/>
          <w:sz w:val="20"/>
          <w:szCs w:val="20"/>
          <w:lang w:eastAsia="en-US"/>
        </w:rPr>
        <w:t xml:space="preserve"> brez DDV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C6A4C" w:rsidRPr="006C6A4C" w:rsidRDefault="006C6A4C" w:rsidP="006C6A4C">
      <w:pPr>
        <w:pStyle w:val="Navadensplet"/>
        <w:numPr>
          <w:ilvl w:val="0"/>
          <w:numId w:val="13"/>
        </w:numPr>
        <w:spacing w:after="0"/>
        <w:jc w:val="both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</w:pPr>
      <w:r w:rsidRPr="006C6A4C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 xml:space="preserve">Cena </w:t>
      </w:r>
      <w:proofErr w:type="spellStart"/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>omrežnine</w:t>
      </w:r>
      <w:proofErr w:type="spellEnd"/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 xml:space="preserve"> </w:t>
      </w:r>
      <w:r w:rsidRPr="006C6A4C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>čiščenja komunalne odpadne vode:</w:t>
      </w:r>
    </w:p>
    <w:p w:rsidR="006C6A4C" w:rsidRDefault="00CA68C6" w:rsidP="009F5FA2">
      <w:pPr>
        <w:pStyle w:val="Navadensplet"/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C</w:t>
      </w:r>
      <w:r w:rsidR="0017619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ena </w:t>
      </w:r>
      <w:proofErr w:type="spellStart"/>
      <w:r w:rsidR="00176191">
        <w:rPr>
          <w:rFonts w:ascii="Arial" w:eastAsiaTheme="minorHAnsi" w:hAnsi="Arial" w:cs="Arial"/>
          <w:color w:val="auto"/>
          <w:sz w:val="20"/>
          <w:szCs w:val="20"/>
          <w:lang w:eastAsia="en-US"/>
        </w:rPr>
        <w:t>omrežn</w:t>
      </w:r>
      <w:r w:rsidR="00D41B94">
        <w:rPr>
          <w:rFonts w:ascii="Arial" w:eastAsiaTheme="minorHAnsi" w:hAnsi="Arial" w:cs="Arial"/>
          <w:color w:val="auto"/>
          <w:sz w:val="20"/>
          <w:szCs w:val="20"/>
          <w:lang w:eastAsia="en-US"/>
        </w:rPr>
        <w:t>ine</w:t>
      </w:r>
      <w:proofErr w:type="spellEnd"/>
      <w:r w:rsidR="00D41B9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čiščenja za premer vodomera</w:t>
      </w:r>
      <w:r w:rsidR="00176191">
        <w:rPr>
          <w:rFonts w:ascii="Arial" w:eastAsiaTheme="minorHAnsi" w:hAnsi="Arial" w:cs="Arial"/>
          <w:sz w:val="20"/>
          <w:szCs w:val="20"/>
          <w:lang w:eastAsia="en-US"/>
        </w:rPr>
        <w:t xml:space="preserve"> DN≤20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ostane nespremenjena, in znaša 2,0413</w:t>
      </w:r>
      <w:r w:rsidRPr="00CA68C6">
        <w:rPr>
          <w:rFonts w:ascii="Arial" w:eastAsiaTheme="minorHAnsi" w:hAnsi="Arial" w:cs="Arial"/>
          <w:sz w:val="20"/>
          <w:szCs w:val="20"/>
          <w:lang w:eastAsia="en-US"/>
        </w:rPr>
        <w:t xml:space="preserve"> EUR/uporabnika za DN≤20 brez DDV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CA68C6" w:rsidRDefault="00CA68C6" w:rsidP="009F5FA2">
      <w:pPr>
        <w:pStyle w:val="Navadensplet"/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6A4C" w:rsidRPr="006C6A4C" w:rsidRDefault="006C6A4C" w:rsidP="006C6A4C">
      <w:pPr>
        <w:pStyle w:val="Navadensplet"/>
        <w:numPr>
          <w:ilvl w:val="0"/>
          <w:numId w:val="13"/>
        </w:numPr>
        <w:spacing w:after="0"/>
        <w:jc w:val="both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</w:pPr>
      <w:r w:rsidRPr="006C6A4C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 xml:space="preserve">Cena </w:t>
      </w:r>
      <w:proofErr w:type="spellStart"/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>omrežnine</w:t>
      </w:r>
      <w:proofErr w:type="spellEnd"/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 xml:space="preserve"> odvajanja</w:t>
      </w:r>
      <w:r w:rsidRPr="006C6A4C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 xml:space="preserve"> komunalne odpadne vode:</w:t>
      </w:r>
    </w:p>
    <w:p w:rsidR="00E27C20" w:rsidRDefault="00E27C20" w:rsidP="009F5FA2">
      <w:pPr>
        <w:pStyle w:val="Navadensplet"/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Za </w:t>
      </w:r>
      <w:r w:rsidR="004B6FCD">
        <w:rPr>
          <w:rFonts w:ascii="Arial" w:eastAsiaTheme="minorHAnsi" w:hAnsi="Arial" w:cs="Arial"/>
          <w:sz w:val="20"/>
          <w:szCs w:val="20"/>
          <w:lang w:eastAsia="en-US"/>
        </w:rPr>
        <w:t>0,3888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EUR/mesec</w:t>
      </w:r>
      <w:r w:rsidR="00AC6450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brez DDV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se poviša cena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omrežnine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odvajanja za premer vodomera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DN≤20, ki</w:t>
      </w:r>
      <w:r w:rsidR="009C4469">
        <w:rPr>
          <w:rFonts w:ascii="Arial" w:eastAsiaTheme="minorHAnsi" w:hAnsi="Arial" w:cs="Arial"/>
          <w:sz w:val="20"/>
          <w:szCs w:val="20"/>
          <w:lang w:eastAsia="en-US"/>
        </w:rPr>
        <w:t xml:space="preserve"> bo po novem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C4469" w:rsidRPr="004B6FCD">
        <w:rPr>
          <w:rFonts w:ascii="Arial" w:eastAsiaTheme="minorHAnsi" w:hAnsi="Arial" w:cs="Arial"/>
          <w:sz w:val="20"/>
          <w:szCs w:val="20"/>
          <w:lang w:eastAsia="en-US"/>
        </w:rPr>
        <w:t>1,</w:t>
      </w:r>
      <w:r w:rsidR="004B6FCD" w:rsidRPr="004B6FCD">
        <w:rPr>
          <w:rFonts w:ascii="Arial" w:eastAsiaTheme="minorHAnsi" w:hAnsi="Arial" w:cs="Arial"/>
          <w:sz w:val="20"/>
          <w:szCs w:val="20"/>
          <w:lang w:eastAsia="en-US"/>
        </w:rPr>
        <w:t>7935</w:t>
      </w:r>
      <w:r w:rsidRPr="004B6FCD">
        <w:rPr>
          <w:rFonts w:ascii="Arial" w:eastAsiaTheme="minorHAnsi" w:hAnsi="Arial" w:cs="Arial"/>
          <w:sz w:val="20"/>
          <w:szCs w:val="20"/>
          <w:lang w:eastAsia="en-US"/>
        </w:rPr>
        <w:t xml:space="preserve"> EUR/mesec</w:t>
      </w:r>
      <w:r w:rsidR="00AC6450">
        <w:rPr>
          <w:rFonts w:ascii="Arial" w:eastAsiaTheme="minorHAnsi" w:hAnsi="Arial" w:cs="Arial"/>
          <w:sz w:val="20"/>
          <w:szCs w:val="20"/>
          <w:lang w:eastAsia="en-US"/>
        </w:rPr>
        <w:t xml:space="preserve"> brez DDV</w:t>
      </w:r>
      <w:r w:rsidRPr="004B6FCD">
        <w:rPr>
          <w:rFonts w:ascii="Arial" w:eastAsiaTheme="minorHAnsi" w:hAnsi="Arial" w:cs="Arial"/>
          <w:sz w:val="20"/>
          <w:szCs w:val="20"/>
          <w:lang w:eastAsia="en-US"/>
        </w:rPr>
        <w:t xml:space="preserve">. Dvig cene je posledica </w:t>
      </w:r>
      <w:r w:rsidR="006C6A4C" w:rsidRPr="004B6FCD">
        <w:rPr>
          <w:rFonts w:ascii="Arial" w:eastAsiaTheme="minorHAnsi" w:hAnsi="Arial" w:cs="Arial"/>
          <w:sz w:val="20"/>
          <w:szCs w:val="20"/>
          <w:lang w:eastAsia="en-US"/>
        </w:rPr>
        <w:t>višje najemnine, ki jo mora Komunala Ribnica d.o.o. plačevati</w:t>
      </w:r>
      <w:r w:rsidR="006C6A4C">
        <w:rPr>
          <w:rFonts w:ascii="Arial" w:eastAsiaTheme="minorHAnsi" w:hAnsi="Arial" w:cs="Arial"/>
          <w:sz w:val="20"/>
          <w:szCs w:val="20"/>
          <w:lang w:eastAsia="en-US"/>
        </w:rPr>
        <w:t xml:space="preserve"> Občini Ribnica zaradi višje vrednosti infrastrukture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(novi odseki kanalizacije, zamenjava obstoječe kanalizacije, ki je že bila dokončno amortizirana)</w:t>
      </w:r>
      <w:r w:rsidR="006C6A4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B6FCD" w:rsidRDefault="004B6FCD" w:rsidP="009F5FA2">
      <w:pPr>
        <w:pStyle w:val="Navadensplet"/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6A4C" w:rsidRDefault="006C6A4C" w:rsidP="009F5FA2">
      <w:pPr>
        <w:pStyle w:val="Navadensplet"/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5FA2" w:rsidRDefault="009F5FA2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7778F" w:rsidRDefault="00DF7612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Primerjava dosedanjega in novega računa za povprečno 4-člansko gospodinjstvo</w:t>
      </w:r>
      <w:r w:rsidR="00D7778F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D7778F" w:rsidRDefault="00D7778F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F7612" w:rsidRPr="00D7778F" w:rsidRDefault="00D7778F" w:rsidP="00D777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7778F">
        <w:rPr>
          <w:rFonts w:ascii="Arial" w:eastAsiaTheme="minorHAnsi" w:hAnsi="Arial" w:cs="Arial"/>
          <w:sz w:val="20"/>
          <w:szCs w:val="20"/>
          <w:lang w:eastAsia="en-US"/>
        </w:rPr>
        <w:t xml:space="preserve"> 1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D7778F">
        <w:rPr>
          <w:rFonts w:ascii="Arial" w:eastAsiaTheme="minorHAnsi" w:hAnsi="Arial" w:cs="Arial"/>
          <w:sz w:val="20"/>
          <w:szCs w:val="20"/>
          <w:lang w:eastAsia="en-US"/>
        </w:rPr>
        <w:t xml:space="preserve">dosedanji </w:t>
      </w:r>
      <w:r w:rsidR="000F183D">
        <w:rPr>
          <w:rFonts w:ascii="Arial" w:eastAsiaTheme="minorHAnsi" w:hAnsi="Arial" w:cs="Arial"/>
          <w:sz w:val="20"/>
          <w:szCs w:val="20"/>
          <w:lang w:eastAsia="en-US"/>
        </w:rPr>
        <w:t>iz</w:t>
      </w:r>
      <w:r w:rsidRPr="00D7778F">
        <w:rPr>
          <w:rFonts w:ascii="Arial" w:eastAsiaTheme="minorHAnsi" w:hAnsi="Arial" w:cs="Arial"/>
          <w:sz w:val="20"/>
          <w:szCs w:val="20"/>
          <w:lang w:eastAsia="en-US"/>
        </w:rPr>
        <w:t>račun: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720"/>
        <w:gridCol w:w="820"/>
        <w:gridCol w:w="980"/>
        <w:gridCol w:w="620"/>
        <w:gridCol w:w="960"/>
        <w:gridCol w:w="820"/>
      </w:tblGrid>
      <w:tr w:rsidR="00DF7612" w:rsidTr="00DF7612">
        <w:trPr>
          <w:trHeight w:val="60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12" w:rsidRDefault="00DF76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12" w:rsidRDefault="00DF76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12" w:rsidRDefault="00DF76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12" w:rsidRDefault="00DF76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cena brez DDV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12" w:rsidRDefault="00DF76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% DDV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12" w:rsidRDefault="00DF76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vrednost brez DDV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12" w:rsidRDefault="00DF76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vrednost z DDV</w:t>
            </w:r>
          </w:p>
        </w:tc>
      </w:tr>
      <w:tr w:rsidR="00DF7612" w:rsidTr="00DF7612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Taksa za obremenjevanje vode - gospodinjstvo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0,5718</w:t>
            </w:r>
          </w:p>
        </w:tc>
      </w:tr>
      <w:tr w:rsidR="00DF7612" w:rsidTr="00DF7612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Omrežnina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čiščenje za DN20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2,2352</w:t>
            </w:r>
          </w:p>
        </w:tc>
      </w:tr>
      <w:tr w:rsidR="00DF7612" w:rsidTr="00DF7612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Omrežnina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odvajanje za DN20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1,5381</w:t>
            </w:r>
          </w:p>
        </w:tc>
      </w:tr>
      <w:tr w:rsidR="00DF7612" w:rsidTr="00DF7612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Čiščenje odpadne vode - fizične os.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7,0726</w:t>
            </w:r>
          </w:p>
        </w:tc>
      </w:tr>
      <w:tr w:rsidR="00DF7612" w:rsidTr="00DF7612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Odvajanje odpadne vode - fizične os.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1,8014</w:t>
            </w:r>
          </w:p>
        </w:tc>
      </w:tr>
      <w:tr w:rsidR="00DF7612" w:rsidTr="00DF7612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12" w:rsidRDefault="00DF761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13,22</w:t>
            </w:r>
          </w:p>
        </w:tc>
      </w:tr>
    </w:tbl>
    <w:p w:rsidR="00DF7612" w:rsidRDefault="00DF7612" w:rsidP="009B4744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7778F" w:rsidRDefault="00D7778F" w:rsidP="009B4744">
      <w:pPr>
        <w:autoSpaceDE w:val="0"/>
        <w:autoSpaceDN w:val="0"/>
        <w:adjustRightInd w:val="0"/>
        <w:contextualSpacing/>
        <w:jc w:val="both"/>
        <w:rPr>
          <w:rFonts w:eastAsiaTheme="minorHAnsi"/>
        </w:rPr>
      </w:pPr>
    </w:p>
    <w:p w:rsidR="00D7778F" w:rsidRDefault="00D7778F" w:rsidP="00D777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novi</w:t>
      </w:r>
      <w:r w:rsidRPr="00D7778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F183D">
        <w:rPr>
          <w:rFonts w:ascii="Arial" w:eastAsiaTheme="minorHAnsi" w:hAnsi="Arial" w:cs="Arial"/>
          <w:sz w:val="20"/>
          <w:szCs w:val="20"/>
          <w:lang w:eastAsia="en-US"/>
        </w:rPr>
        <w:t>iz</w:t>
      </w:r>
      <w:r w:rsidRPr="00D7778F">
        <w:rPr>
          <w:rFonts w:ascii="Arial" w:eastAsiaTheme="minorHAnsi" w:hAnsi="Arial" w:cs="Arial"/>
          <w:sz w:val="20"/>
          <w:szCs w:val="20"/>
          <w:lang w:eastAsia="en-US"/>
        </w:rPr>
        <w:t>račun: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720"/>
        <w:gridCol w:w="820"/>
        <w:gridCol w:w="980"/>
        <w:gridCol w:w="620"/>
        <w:gridCol w:w="960"/>
        <w:gridCol w:w="820"/>
      </w:tblGrid>
      <w:tr w:rsidR="004B6FCD" w:rsidTr="004B6FCD">
        <w:trPr>
          <w:trHeight w:val="60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CD" w:rsidRDefault="004B6FC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CD" w:rsidRDefault="004B6FC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CD" w:rsidRDefault="004B6FC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CD" w:rsidRDefault="004B6FC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cena brez DDV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CD" w:rsidRDefault="004B6FC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% DDV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CD" w:rsidRDefault="004B6FC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vrednost brez DDV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CD" w:rsidRDefault="004B6FC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vrednost z DDV</w:t>
            </w:r>
          </w:p>
        </w:tc>
      </w:tr>
      <w:tr w:rsidR="004B6FCD" w:rsidTr="004B6FCD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Taksa za obremenjevanje vode - gospodinjstvo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0,5718</w:t>
            </w:r>
          </w:p>
        </w:tc>
      </w:tr>
      <w:tr w:rsidR="004B6FCD" w:rsidTr="004B6FCD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Omrežnina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čiščenje za DN20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2,2352</w:t>
            </w:r>
          </w:p>
        </w:tc>
      </w:tr>
      <w:tr w:rsidR="004B6FCD" w:rsidTr="004B6FCD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Omrežnina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odvajanje za DN20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1,9639</w:t>
            </w:r>
          </w:p>
        </w:tc>
      </w:tr>
      <w:tr w:rsidR="004B6FCD" w:rsidTr="004B6FCD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Čiščenje odpadne vode - fizične os.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7,2718</w:t>
            </w:r>
          </w:p>
        </w:tc>
      </w:tr>
      <w:tr w:rsidR="004B6FCD" w:rsidTr="004B6FCD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Odvajanje odpadne vode - fizične os.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1,8014</w:t>
            </w:r>
          </w:p>
        </w:tc>
      </w:tr>
      <w:tr w:rsidR="004B6FCD" w:rsidTr="004B6FC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12,69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CD" w:rsidRDefault="004B6FCD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13,84</w:t>
            </w:r>
          </w:p>
        </w:tc>
      </w:tr>
    </w:tbl>
    <w:p w:rsidR="004B6FCD" w:rsidRDefault="004B6FCD" w:rsidP="00D777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F7612" w:rsidRDefault="00DF7612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F7612" w:rsidRDefault="00D7778F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Iz primerjave je razvidno, da je končni znese</w:t>
      </w:r>
      <w:r w:rsidR="000F183D">
        <w:rPr>
          <w:rFonts w:ascii="Arial" w:eastAsiaTheme="minorHAnsi" w:hAnsi="Arial" w:cs="Arial"/>
          <w:sz w:val="20"/>
          <w:szCs w:val="20"/>
          <w:lang w:eastAsia="en-US"/>
        </w:rPr>
        <w:t>k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ki ga plača povprečno 4-člansko gospodinjstvo po predlaganih </w:t>
      </w:r>
      <w:r w:rsidRPr="004B6FCD">
        <w:rPr>
          <w:rFonts w:ascii="Arial" w:eastAsiaTheme="minorHAnsi" w:hAnsi="Arial" w:cs="Arial"/>
          <w:sz w:val="20"/>
          <w:szCs w:val="20"/>
          <w:lang w:eastAsia="en-US"/>
        </w:rPr>
        <w:t xml:space="preserve">cenah za </w:t>
      </w:r>
      <w:r w:rsidR="004B6FCD" w:rsidRPr="004B6FCD">
        <w:rPr>
          <w:rFonts w:ascii="Arial" w:eastAsiaTheme="minorHAnsi" w:hAnsi="Arial" w:cs="Arial"/>
          <w:sz w:val="20"/>
          <w:szCs w:val="20"/>
          <w:lang w:eastAsia="en-US"/>
        </w:rPr>
        <w:t>0,62</w:t>
      </w:r>
      <w:r w:rsidR="006C6A4C" w:rsidRPr="004B6FCD">
        <w:rPr>
          <w:rFonts w:ascii="Arial" w:eastAsiaTheme="minorHAnsi" w:hAnsi="Arial" w:cs="Arial"/>
          <w:sz w:val="20"/>
          <w:szCs w:val="20"/>
          <w:lang w:eastAsia="en-US"/>
        </w:rPr>
        <w:t xml:space="preserve"> EUR</w:t>
      </w:r>
      <w:r w:rsidR="00C62F8C">
        <w:rPr>
          <w:rFonts w:ascii="Arial" w:eastAsiaTheme="minorHAnsi" w:hAnsi="Arial" w:cs="Arial"/>
          <w:sz w:val="20"/>
          <w:szCs w:val="20"/>
          <w:lang w:eastAsia="en-US"/>
        </w:rPr>
        <w:t xml:space="preserve"> z DDV</w:t>
      </w:r>
      <w:r w:rsidRPr="004B6FCD">
        <w:rPr>
          <w:rFonts w:ascii="Arial" w:eastAsiaTheme="minorHAnsi" w:hAnsi="Arial" w:cs="Arial"/>
          <w:sz w:val="20"/>
          <w:szCs w:val="20"/>
          <w:lang w:eastAsia="en-US"/>
        </w:rPr>
        <w:t xml:space="preserve"> višji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od znes</w:t>
      </w:r>
      <w:r w:rsidR="00A711A0">
        <w:rPr>
          <w:rFonts w:ascii="Arial" w:eastAsiaTheme="minorHAnsi" w:hAnsi="Arial" w:cs="Arial"/>
          <w:sz w:val="20"/>
          <w:szCs w:val="20"/>
          <w:lang w:eastAsia="en-US"/>
        </w:rPr>
        <w:t>ka, ki ga je plačevalo do sedaj</w:t>
      </w:r>
      <w:r w:rsidR="005A2667">
        <w:rPr>
          <w:rFonts w:ascii="Arial" w:eastAsiaTheme="minorHAnsi" w:hAnsi="Arial" w:cs="Arial"/>
          <w:sz w:val="20"/>
          <w:szCs w:val="20"/>
          <w:lang w:eastAsia="en-US"/>
        </w:rPr>
        <w:t xml:space="preserve">. Višji </w:t>
      </w:r>
      <w:r w:rsidR="005A2667" w:rsidRPr="00C62F8C">
        <w:rPr>
          <w:rFonts w:ascii="Arial" w:eastAsiaTheme="minorHAnsi" w:hAnsi="Arial" w:cs="Arial"/>
          <w:sz w:val="20"/>
          <w:szCs w:val="20"/>
          <w:lang w:eastAsia="en-US"/>
        </w:rPr>
        <w:t>je</w:t>
      </w:r>
      <w:r w:rsidR="00A711A0" w:rsidRPr="00C62F8C">
        <w:rPr>
          <w:rFonts w:ascii="Arial" w:eastAsiaTheme="minorHAnsi" w:hAnsi="Arial" w:cs="Arial"/>
          <w:sz w:val="20"/>
          <w:szCs w:val="20"/>
          <w:lang w:eastAsia="en-US"/>
        </w:rPr>
        <w:t xml:space="preserve"> na račun </w:t>
      </w:r>
      <w:proofErr w:type="spellStart"/>
      <w:r w:rsidR="00A711A0" w:rsidRPr="00C62F8C">
        <w:rPr>
          <w:rFonts w:ascii="Arial" w:eastAsiaTheme="minorHAnsi" w:hAnsi="Arial" w:cs="Arial"/>
          <w:sz w:val="20"/>
          <w:szCs w:val="20"/>
          <w:lang w:eastAsia="en-US"/>
        </w:rPr>
        <w:t>omrežnine</w:t>
      </w:r>
      <w:proofErr w:type="spellEnd"/>
      <w:r w:rsidR="00A711A0" w:rsidRPr="00C62F8C">
        <w:rPr>
          <w:rFonts w:ascii="Arial" w:eastAsiaTheme="minorHAnsi" w:hAnsi="Arial" w:cs="Arial"/>
          <w:sz w:val="20"/>
          <w:szCs w:val="20"/>
          <w:lang w:eastAsia="en-US"/>
        </w:rPr>
        <w:t xml:space="preserve"> odvajanja</w:t>
      </w:r>
      <w:r w:rsidR="005A2667" w:rsidRPr="00C62F8C">
        <w:rPr>
          <w:rFonts w:ascii="Arial" w:eastAsiaTheme="minorHAnsi" w:hAnsi="Arial" w:cs="Arial"/>
          <w:sz w:val="20"/>
          <w:szCs w:val="20"/>
          <w:lang w:eastAsia="en-US"/>
        </w:rPr>
        <w:t>, ki je</w:t>
      </w:r>
      <w:r w:rsidR="00A711A0" w:rsidRPr="00C62F8C">
        <w:rPr>
          <w:rFonts w:ascii="Arial" w:eastAsiaTheme="minorHAnsi" w:hAnsi="Arial" w:cs="Arial"/>
          <w:sz w:val="20"/>
          <w:szCs w:val="20"/>
          <w:lang w:eastAsia="en-US"/>
        </w:rPr>
        <w:t xml:space="preserve"> prihodek občine</w:t>
      </w:r>
      <w:r w:rsidR="00C62F8C" w:rsidRPr="00C62F8C">
        <w:rPr>
          <w:rFonts w:ascii="Arial" w:eastAsiaTheme="minorHAnsi" w:hAnsi="Arial" w:cs="Arial"/>
          <w:sz w:val="20"/>
          <w:szCs w:val="20"/>
          <w:lang w:eastAsia="en-US"/>
        </w:rPr>
        <w:t xml:space="preserve"> (najemnina infrastrukture), in sicer za 0,42</w:t>
      </w:r>
      <w:r w:rsidR="00A711A0" w:rsidRPr="00C62F8C">
        <w:rPr>
          <w:rFonts w:ascii="Arial" w:eastAsiaTheme="minorHAnsi" w:hAnsi="Arial" w:cs="Arial"/>
          <w:sz w:val="20"/>
          <w:szCs w:val="20"/>
          <w:lang w:eastAsia="en-US"/>
        </w:rPr>
        <w:t xml:space="preserve"> EUR z DDV</w:t>
      </w:r>
      <w:r w:rsidR="00386754" w:rsidRPr="00C62F8C">
        <w:rPr>
          <w:rFonts w:ascii="Arial" w:eastAsiaTheme="minorHAnsi" w:hAnsi="Arial" w:cs="Arial"/>
          <w:sz w:val="20"/>
          <w:szCs w:val="20"/>
          <w:lang w:eastAsia="en-US"/>
        </w:rPr>
        <w:t>, razlika</w:t>
      </w:r>
      <w:r w:rsidR="00C62F8C" w:rsidRPr="00C62F8C">
        <w:rPr>
          <w:rFonts w:ascii="Arial" w:eastAsiaTheme="minorHAnsi" w:hAnsi="Arial" w:cs="Arial"/>
          <w:sz w:val="20"/>
          <w:szCs w:val="20"/>
          <w:lang w:eastAsia="en-US"/>
        </w:rPr>
        <w:t xml:space="preserve"> v višini 0,20 EUR z DDV pa</w:t>
      </w:r>
      <w:r w:rsidR="00386754" w:rsidRPr="00C62F8C">
        <w:rPr>
          <w:rFonts w:ascii="Arial" w:eastAsiaTheme="minorHAnsi" w:hAnsi="Arial" w:cs="Arial"/>
          <w:sz w:val="20"/>
          <w:szCs w:val="20"/>
          <w:lang w:eastAsia="en-US"/>
        </w:rPr>
        <w:t xml:space="preserve"> na račun </w:t>
      </w:r>
      <w:r w:rsidR="00C62F8C" w:rsidRPr="00C62F8C">
        <w:rPr>
          <w:rFonts w:ascii="Arial" w:eastAsiaTheme="minorHAnsi" w:hAnsi="Arial" w:cs="Arial"/>
          <w:sz w:val="20"/>
          <w:szCs w:val="20"/>
          <w:lang w:eastAsia="en-US"/>
        </w:rPr>
        <w:t xml:space="preserve">storitve </w:t>
      </w:r>
      <w:r w:rsidR="00386754" w:rsidRPr="00C62F8C">
        <w:rPr>
          <w:rFonts w:ascii="Arial" w:eastAsiaTheme="minorHAnsi" w:hAnsi="Arial" w:cs="Arial"/>
          <w:sz w:val="20"/>
          <w:szCs w:val="20"/>
          <w:lang w:eastAsia="en-US"/>
        </w:rPr>
        <w:t>čiščenja</w:t>
      </w:r>
      <w:r w:rsidR="00C62F8C">
        <w:rPr>
          <w:rFonts w:ascii="Arial" w:eastAsiaTheme="minorHAnsi" w:hAnsi="Arial" w:cs="Arial"/>
          <w:sz w:val="20"/>
          <w:szCs w:val="20"/>
          <w:lang w:eastAsia="en-US"/>
        </w:rPr>
        <w:t>, ki je prihodek Komunale Ribnica za izvajanje storitev, ki so obrazložene v točki 1.</w:t>
      </w:r>
    </w:p>
    <w:p w:rsidR="00102285" w:rsidRDefault="00102285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02285" w:rsidRDefault="00102285" w:rsidP="00102285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Primerjava cen posameznih postavk po občinah ter prikaz zaračunanega mesečnega zneska za povprečno 4-člansko gospodinjstvo, ki je priključeno na kanalizacijski sistem:</w:t>
      </w:r>
    </w:p>
    <w:p w:rsidR="00102285" w:rsidRDefault="00102285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80"/>
        <w:gridCol w:w="1220"/>
        <w:gridCol w:w="1180"/>
        <w:gridCol w:w="1000"/>
        <w:gridCol w:w="3580"/>
      </w:tblGrid>
      <w:tr w:rsidR="00102285" w:rsidRPr="00DA1F01" w:rsidTr="00102285">
        <w:trPr>
          <w:trHeight w:val="142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Občina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Omrežnina</w:t>
            </w:r>
            <w:proofErr w:type="spellEnd"/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- čiščenje za DN20 v EUR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Omrežnina</w:t>
            </w:r>
            <w:proofErr w:type="spellEnd"/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- odvajanje za DN20 v EUR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Čiščenje - storitev (EUR/m</w:t>
            </w: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Odvajanje - storitev (EUR/m</w:t>
            </w: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Povprečno 4-člansko gospodinjstvo - priključeno na kanalizacijo, skupaj z okoljsko dajatvijo, brez upoštevanja subvencije s povprečno porabo vode 10,83 m</w:t>
            </w: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mesečno (EUR z DDV)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Ribnica - predlog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DA1F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2,0413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DA1F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1,7935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DA1F0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0,1519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DA1F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13,84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Sodražica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2,3616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2,8353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 w:rsidP="00CE45B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0,6</w:t>
            </w:r>
            <w:r w:rsidR="00CE45B7" w:rsidRPr="00DA1F01">
              <w:rPr>
                <w:rFonts w:ascii="Calibri" w:hAnsi="Calibri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0,1408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15,17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Loški Potok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1,1726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18,6119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1,6049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0,6628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49,13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Grosuplje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3,1528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5,5228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0,3968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0,1295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16,31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Dobrepolje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6,8140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22,1690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1,6653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1,3678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68,28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Črnomelj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2,5700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3,9440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0,5696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0,3003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18,02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Metlika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2,9876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7,7530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0,1381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21,09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Loška Dolina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2,5450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7,7819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0,8037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0,2207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24,03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Cerknica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7,7855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9,2933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0,8043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0,2309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31,55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Logatec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5,0996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5,4556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0,7038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0,5722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27,26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Kočevje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3,3647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3,0813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0,2916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0,2696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14,29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Trebnje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1,6701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3,1894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0,5708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0,2622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15,77</w:t>
            </w:r>
          </w:p>
        </w:tc>
      </w:tr>
      <w:tr w:rsidR="00102285" w:rsidRPr="00DA1F01" w:rsidTr="001022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Vrhnika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4,8746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5,5848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0,3423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color w:val="000000"/>
                <w:sz w:val="20"/>
                <w:szCs w:val="20"/>
              </w:rPr>
              <w:t>0,4235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85" w:rsidRPr="00DA1F01" w:rsidRDefault="0010228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A1F0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21,11</w:t>
            </w:r>
          </w:p>
        </w:tc>
      </w:tr>
    </w:tbl>
    <w:p w:rsidR="00D7778F" w:rsidRPr="00DA1F01" w:rsidRDefault="00D7778F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F7094" w:rsidRPr="00DA1F01" w:rsidRDefault="000F7094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F7094" w:rsidRPr="00DA1F01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F01">
        <w:rPr>
          <w:noProof/>
        </w:rPr>
        <w:drawing>
          <wp:inline distT="0" distB="0" distL="0" distR="0" wp14:anchorId="062759A3" wp14:editId="2EA664AF">
            <wp:extent cx="4572000" cy="2743200"/>
            <wp:effectExtent l="0" t="0" r="1905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7094" w:rsidRPr="00DA1F01" w:rsidRDefault="000F7094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F7094" w:rsidRPr="00DA1F01" w:rsidRDefault="000F7094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Pr="00DA1F01" w:rsidRDefault="00214186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94D1C" w:rsidRPr="00DA1F01" w:rsidRDefault="001D6292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F01">
        <w:rPr>
          <w:rFonts w:ascii="Arial" w:eastAsiaTheme="minorHAnsi" w:hAnsi="Arial" w:cs="Arial"/>
          <w:sz w:val="20"/>
          <w:szCs w:val="20"/>
          <w:lang w:eastAsia="en-US"/>
        </w:rPr>
        <w:t>Za podrobnejšo obrazložitev je priložen elaborat.</w:t>
      </w:r>
    </w:p>
    <w:p w:rsidR="00D7778F" w:rsidRPr="00DA1F01" w:rsidRDefault="00D7778F" w:rsidP="009B474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DA1F01" w:rsidRDefault="002C3C34" w:rsidP="002C3C34">
      <w:pPr>
        <w:autoSpaceDE w:val="0"/>
        <w:autoSpaceDN w:val="0"/>
        <w:adjustRightInd w:val="0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Pr="00DA1F01" w:rsidRDefault="00214186" w:rsidP="002C3C34">
      <w:pPr>
        <w:autoSpaceDE w:val="0"/>
        <w:autoSpaceDN w:val="0"/>
        <w:adjustRightInd w:val="0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4186" w:rsidRPr="00DA1F01" w:rsidRDefault="00214186" w:rsidP="002C3C34">
      <w:pPr>
        <w:autoSpaceDE w:val="0"/>
        <w:autoSpaceDN w:val="0"/>
        <w:adjustRightInd w:val="0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3C34" w:rsidRPr="00DA1F01" w:rsidRDefault="002C3C34" w:rsidP="002C3C34">
      <w:pPr>
        <w:autoSpaceDE w:val="0"/>
        <w:autoSpaceDN w:val="0"/>
        <w:adjustRightInd w:val="0"/>
        <w:ind w:left="6372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F01">
        <w:rPr>
          <w:rFonts w:ascii="Arial" w:eastAsiaTheme="minorHAnsi" w:hAnsi="Arial" w:cs="Arial"/>
          <w:sz w:val="20"/>
          <w:szCs w:val="20"/>
          <w:lang w:eastAsia="en-US"/>
        </w:rPr>
        <w:t>Bojan Trdan</w:t>
      </w:r>
    </w:p>
    <w:p w:rsidR="002C3C34" w:rsidRPr="002C3C34" w:rsidRDefault="002C3C34" w:rsidP="002C3C34">
      <w:pPr>
        <w:autoSpaceDE w:val="0"/>
        <w:autoSpaceDN w:val="0"/>
        <w:adjustRightInd w:val="0"/>
        <w:ind w:left="6372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F01">
        <w:rPr>
          <w:rFonts w:ascii="Arial" w:eastAsiaTheme="minorHAnsi" w:hAnsi="Arial" w:cs="Arial"/>
          <w:sz w:val="20"/>
          <w:szCs w:val="20"/>
          <w:lang w:eastAsia="en-US"/>
        </w:rPr>
        <w:t xml:space="preserve">   Direktor</w:t>
      </w:r>
    </w:p>
    <w:sectPr w:rsidR="002C3C34" w:rsidRPr="002C3C34" w:rsidSect="00314F8A">
      <w:footerReference w:type="default" r:id="rId9"/>
      <w:headerReference w:type="first" r:id="rId10"/>
      <w:footerReference w:type="first" r:id="rId11"/>
      <w:pgSz w:w="11906" w:h="16838" w:code="9"/>
      <w:pgMar w:top="851" w:right="1134" w:bottom="2552" w:left="1276" w:header="1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AC" w:rsidRDefault="005439AC">
      <w:r>
        <w:separator/>
      </w:r>
    </w:p>
  </w:endnote>
  <w:endnote w:type="continuationSeparator" w:id="0">
    <w:p w:rsidR="005439AC" w:rsidRDefault="0054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5D32CB" w:rsidP="00B12D16">
    <w:pPr>
      <w:pStyle w:val="Noga"/>
      <w:ind w:left="-1418"/>
    </w:pPr>
    <w:r>
      <w:rPr>
        <w:noProof/>
      </w:rPr>
      <w:drawing>
        <wp:inline distT="0" distB="0" distL="0" distR="0" wp14:anchorId="7A51D8F8" wp14:editId="30FDA96A">
          <wp:extent cx="7645400" cy="14287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24" b="-12624"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8A3228" w:rsidP="00BE0204">
    <w:pPr>
      <w:pStyle w:val="Noga"/>
      <w:ind w:left="-1418" w:right="-1134"/>
    </w:pPr>
    <w:r>
      <w:t xml:space="preserve"> </w:t>
    </w:r>
    <w:r w:rsidR="005D32CB">
      <w:rPr>
        <w:noProof/>
      </w:rPr>
      <w:drawing>
        <wp:inline distT="0" distB="0" distL="0" distR="0" wp14:anchorId="5C6F5E21" wp14:editId="377AEF35">
          <wp:extent cx="7550150" cy="107315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066" b="10066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AC" w:rsidRDefault="005439AC">
      <w:r>
        <w:separator/>
      </w:r>
    </w:p>
  </w:footnote>
  <w:footnote w:type="continuationSeparator" w:id="0">
    <w:p w:rsidR="005439AC" w:rsidRDefault="0054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09386C" w:rsidP="0009386C">
    <w:pPr>
      <w:pStyle w:val="Glava"/>
      <w:ind w:left="-1418"/>
      <w:jc w:val="both"/>
    </w:pPr>
    <w:r>
      <w:rPr>
        <w:noProof/>
      </w:rPr>
      <w:drawing>
        <wp:inline distT="0" distB="0" distL="0" distR="0">
          <wp:extent cx="7513607" cy="142976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465" cy="142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B077C8"/>
    <w:multiLevelType w:val="hybridMultilevel"/>
    <w:tmpl w:val="D116E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720E"/>
    <w:multiLevelType w:val="hybridMultilevel"/>
    <w:tmpl w:val="58066FFE"/>
    <w:lvl w:ilvl="0" w:tplc="65D4D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77A09"/>
    <w:multiLevelType w:val="hybridMultilevel"/>
    <w:tmpl w:val="1A50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A5C"/>
    <w:multiLevelType w:val="hybridMultilevel"/>
    <w:tmpl w:val="CC5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009B"/>
    <w:multiLevelType w:val="hybridMultilevel"/>
    <w:tmpl w:val="D7E2B8D4"/>
    <w:lvl w:ilvl="0" w:tplc="FA1462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6700E1"/>
    <w:multiLevelType w:val="hybridMultilevel"/>
    <w:tmpl w:val="6262D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5407B"/>
    <w:multiLevelType w:val="hybridMultilevel"/>
    <w:tmpl w:val="0302A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182E"/>
    <w:multiLevelType w:val="hybridMultilevel"/>
    <w:tmpl w:val="E6ECB1F2"/>
    <w:lvl w:ilvl="0" w:tplc="33883E78">
      <w:start w:val="4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FF3067"/>
    <w:multiLevelType w:val="hybridMultilevel"/>
    <w:tmpl w:val="97424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F00CE"/>
    <w:multiLevelType w:val="hybridMultilevel"/>
    <w:tmpl w:val="9320BE00"/>
    <w:lvl w:ilvl="0" w:tplc="DC88D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F2057"/>
    <w:multiLevelType w:val="hybridMultilevel"/>
    <w:tmpl w:val="5B5EC338"/>
    <w:lvl w:ilvl="0" w:tplc="B22E4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12FCC"/>
    <w:multiLevelType w:val="hybridMultilevel"/>
    <w:tmpl w:val="CF0C7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33D2F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4">
    <w:nsid w:val="7A1B424E"/>
    <w:multiLevelType w:val="hybridMultilevel"/>
    <w:tmpl w:val="937C8E96"/>
    <w:lvl w:ilvl="0" w:tplc="025608EC">
      <w:start w:val="6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AC"/>
    <w:rsid w:val="00075B8A"/>
    <w:rsid w:val="00090F9A"/>
    <w:rsid w:val="0009386C"/>
    <w:rsid w:val="000C09EB"/>
    <w:rsid w:val="000F183D"/>
    <w:rsid w:val="000F27C5"/>
    <w:rsid w:val="000F7094"/>
    <w:rsid w:val="00102285"/>
    <w:rsid w:val="00125543"/>
    <w:rsid w:val="00176191"/>
    <w:rsid w:val="00184EBA"/>
    <w:rsid w:val="0019224F"/>
    <w:rsid w:val="001D3ED3"/>
    <w:rsid w:val="001D6292"/>
    <w:rsid w:val="00214186"/>
    <w:rsid w:val="00250043"/>
    <w:rsid w:val="00294F76"/>
    <w:rsid w:val="002B442A"/>
    <w:rsid w:val="002C3C34"/>
    <w:rsid w:val="002E544F"/>
    <w:rsid w:val="002F7E88"/>
    <w:rsid w:val="0030012C"/>
    <w:rsid w:val="00314F8A"/>
    <w:rsid w:val="00375CBA"/>
    <w:rsid w:val="00386754"/>
    <w:rsid w:val="003925B2"/>
    <w:rsid w:val="00396219"/>
    <w:rsid w:val="003A6CE0"/>
    <w:rsid w:val="003D4B8B"/>
    <w:rsid w:val="003D72DA"/>
    <w:rsid w:val="003F278C"/>
    <w:rsid w:val="00411197"/>
    <w:rsid w:val="00442F07"/>
    <w:rsid w:val="0046371E"/>
    <w:rsid w:val="004B2CBF"/>
    <w:rsid w:val="004B399B"/>
    <w:rsid w:val="004B3F34"/>
    <w:rsid w:val="004B6481"/>
    <w:rsid w:val="004B6FCD"/>
    <w:rsid w:val="005001F5"/>
    <w:rsid w:val="00532BB4"/>
    <w:rsid w:val="005439AC"/>
    <w:rsid w:val="00554A61"/>
    <w:rsid w:val="005A2667"/>
    <w:rsid w:val="005D32CB"/>
    <w:rsid w:val="00661F1D"/>
    <w:rsid w:val="006749D0"/>
    <w:rsid w:val="006879D2"/>
    <w:rsid w:val="006C04EE"/>
    <w:rsid w:val="006C6A4C"/>
    <w:rsid w:val="006D0482"/>
    <w:rsid w:val="006D1A8A"/>
    <w:rsid w:val="006D65C8"/>
    <w:rsid w:val="006D6BE5"/>
    <w:rsid w:val="00721547"/>
    <w:rsid w:val="00791B50"/>
    <w:rsid w:val="007B2A1E"/>
    <w:rsid w:val="007B2A45"/>
    <w:rsid w:val="007B3AB1"/>
    <w:rsid w:val="007E401C"/>
    <w:rsid w:val="007E4F43"/>
    <w:rsid w:val="00847011"/>
    <w:rsid w:val="00856576"/>
    <w:rsid w:val="00862FD4"/>
    <w:rsid w:val="00890AA8"/>
    <w:rsid w:val="008A3228"/>
    <w:rsid w:val="009042E7"/>
    <w:rsid w:val="00907D13"/>
    <w:rsid w:val="009102A7"/>
    <w:rsid w:val="0094137D"/>
    <w:rsid w:val="009961D2"/>
    <w:rsid w:val="009A7943"/>
    <w:rsid w:val="009B4744"/>
    <w:rsid w:val="009C4469"/>
    <w:rsid w:val="009F4AD2"/>
    <w:rsid w:val="009F5FA2"/>
    <w:rsid w:val="00A224C1"/>
    <w:rsid w:val="00A5372C"/>
    <w:rsid w:val="00A54273"/>
    <w:rsid w:val="00A6000A"/>
    <w:rsid w:val="00A673B0"/>
    <w:rsid w:val="00A711A0"/>
    <w:rsid w:val="00A7297F"/>
    <w:rsid w:val="00AA22D0"/>
    <w:rsid w:val="00AC6450"/>
    <w:rsid w:val="00AD4916"/>
    <w:rsid w:val="00B12D16"/>
    <w:rsid w:val="00B25561"/>
    <w:rsid w:val="00B36369"/>
    <w:rsid w:val="00BE0204"/>
    <w:rsid w:val="00BE10A5"/>
    <w:rsid w:val="00C1177E"/>
    <w:rsid w:val="00C2128C"/>
    <w:rsid w:val="00C61F04"/>
    <w:rsid w:val="00C62F8C"/>
    <w:rsid w:val="00C9389D"/>
    <w:rsid w:val="00C968C2"/>
    <w:rsid w:val="00CA364A"/>
    <w:rsid w:val="00CA68C6"/>
    <w:rsid w:val="00CE32B8"/>
    <w:rsid w:val="00CE45B7"/>
    <w:rsid w:val="00CF00E0"/>
    <w:rsid w:val="00CF746F"/>
    <w:rsid w:val="00D04992"/>
    <w:rsid w:val="00D235B9"/>
    <w:rsid w:val="00D41B94"/>
    <w:rsid w:val="00D431A9"/>
    <w:rsid w:val="00D75B7C"/>
    <w:rsid w:val="00D7778F"/>
    <w:rsid w:val="00D95ACA"/>
    <w:rsid w:val="00DA1F01"/>
    <w:rsid w:val="00DF7612"/>
    <w:rsid w:val="00E14D74"/>
    <w:rsid w:val="00E27C20"/>
    <w:rsid w:val="00E85D09"/>
    <w:rsid w:val="00E87D3F"/>
    <w:rsid w:val="00E949CC"/>
    <w:rsid w:val="00ED5535"/>
    <w:rsid w:val="00EF29CC"/>
    <w:rsid w:val="00F12384"/>
    <w:rsid w:val="00F13021"/>
    <w:rsid w:val="00F14E44"/>
    <w:rsid w:val="00F377A6"/>
    <w:rsid w:val="00F70F07"/>
    <w:rsid w:val="00F737EB"/>
    <w:rsid w:val="00F94D1C"/>
    <w:rsid w:val="00FB5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F20C2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F20C28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rsid w:val="00F20C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20C2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62FD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862FD4"/>
    <w:rPr>
      <w:rFonts w:ascii="Lucida Grande" w:hAnsi="Lucida Grande" w:cs="Lucida Grande"/>
      <w:sz w:val="18"/>
      <w:szCs w:val="18"/>
      <w:lang w:val="sl-SI" w:eastAsia="sl-SI"/>
    </w:rPr>
  </w:style>
  <w:style w:type="paragraph" w:styleId="Telobesedila">
    <w:name w:val="Body Text"/>
    <w:basedOn w:val="Navaden"/>
    <w:link w:val="TelobesedilaZnak"/>
    <w:rsid w:val="006749D0"/>
    <w:pPr>
      <w:widowControl w:val="0"/>
      <w:suppressAutoHyphens/>
      <w:spacing w:after="120"/>
    </w:pPr>
    <w:rPr>
      <w:rFonts w:eastAsia="Lucida Sans Unicode"/>
    </w:rPr>
  </w:style>
  <w:style w:type="character" w:customStyle="1" w:styleId="TelobesedilaZnak">
    <w:name w:val="Telo besedila Znak"/>
    <w:link w:val="Telobesedila"/>
    <w:rsid w:val="006749D0"/>
    <w:rPr>
      <w:rFonts w:eastAsia="Lucida Sans Unicode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C1177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CF00E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CF00E0"/>
    <w:rPr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890AA8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235B9"/>
    <w:pPr>
      <w:spacing w:after="210"/>
    </w:pPr>
    <w:rPr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F20C2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F20C28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rsid w:val="00F20C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20C2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62FD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862FD4"/>
    <w:rPr>
      <w:rFonts w:ascii="Lucida Grande" w:hAnsi="Lucida Grande" w:cs="Lucida Grande"/>
      <w:sz w:val="18"/>
      <w:szCs w:val="18"/>
      <w:lang w:val="sl-SI" w:eastAsia="sl-SI"/>
    </w:rPr>
  </w:style>
  <w:style w:type="paragraph" w:styleId="Telobesedila">
    <w:name w:val="Body Text"/>
    <w:basedOn w:val="Navaden"/>
    <w:link w:val="TelobesedilaZnak"/>
    <w:rsid w:val="006749D0"/>
    <w:pPr>
      <w:widowControl w:val="0"/>
      <w:suppressAutoHyphens/>
      <w:spacing w:after="120"/>
    </w:pPr>
    <w:rPr>
      <w:rFonts w:eastAsia="Lucida Sans Unicode"/>
    </w:rPr>
  </w:style>
  <w:style w:type="character" w:customStyle="1" w:styleId="TelobesedilaZnak">
    <w:name w:val="Telo besedila Znak"/>
    <w:link w:val="Telobesedila"/>
    <w:rsid w:val="006749D0"/>
    <w:rPr>
      <w:rFonts w:eastAsia="Lucida Sans Unicode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C1177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CF00E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CF00E0"/>
    <w:rPr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890AA8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235B9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Povprečno 4-člansko gospodinjstvo - priključeno na kanalizacijo, skupaj z okoljsko dajatvijo, brez upoštevanja subvencije s povprečno porabo vode 10,83 m3 mesečno (EUR z DDV)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'primerjava z drugimi občinami'!$G$4</c:f>
              <c:strCache>
                <c:ptCount val="1"/>
                <c:pt idx="0">
                  <c:v>Povprečno 4-člansko gospodinjstvo - priključeno na kanalizacijo, skupaj z okoljsko dajatvijo, brez upoštevanja subvencije s povprečno porabo vode 10,83 m3 mesečno (EUR z DDV)</c:v>
                </c:pt>
              </c:strCache>
            </c:strRef>
          </c:tx>
          <c:invertIfNegative val="0"/>
          <c:cat>
            <c:strRef>
              <c:f>'primerjava z drugimi občinami'!$A$5:$A$17</c:f>
              <c:strCache>
                <c:ptCount val="13"/>
                <c:pt idx="0">
                  <c:v>Ribnica - predlog</c:v>
                </c:pt>
                <c:pt idx="1">
                  <c:v>Sodražica</c:v>
                </c:pt>
                <c:pt idx="2">
                  <c:v>Loški Potok </c:v>
                </c:pt>
                <c:pt idx="3">
                  <c:v>Grosuplje</c:v>
                </c:pt>
                <c:pt idx="4">
                  <c:v>Dobrepolje</c:v>
                </c:pt>
                <c:pt idx="5">
                  <c:v>Črnomelj</c:v>
                </c:pt>
                <c:pt idx="6">
                  <c:v>Metlika</c:v>
                </c:pt>
                <c:pt idx="7">
                  <c:v>Loška Dolina</c:v>
                </c:pt>
                <c:pt idx="8">
                  <c:v>Cerknica</c:v>
                </c:pt>
                <c:pt idx="9">
                  <c:v>Logatec</c:v>
                </c:pt>
                <c:pt idx="10">
                  <c:v>Kočevje</c:v>
                </c:pt>
                <c:pt idx="11">
                  <c:v>Trebnje</c:v>
                </c:pt>
                <c:pt idx="12">
                  <c:v>Vrhnika</c:v>
                </c:pt>
              </c:strCache>
            </c:strRef>
          </c:cat>
          <c:val>
            <c:numRef>
              <c:f>'primerjava z drugimi občinami'!$G$5:$G$17</c:f>
              <c:numCache>
                <c:formatCode>0.00</c:formatCode>
                <c:ptCount val="13"/>
                <c:pt idx="0">
                  <c:v>13.571785544999999</c:v>
                </c:pt>
                <c:pt idx="1">
                  <c:v>15.16605408</c:v>
                </c:pt>
                <c:pt idx="2">
                  <c:v>49.128165644999996</c:v>
                </c:pt>
                <c:pt idx="3">
                  <c:v>16.312918755000002</c:v>
                </c:pt>
                <c:pt idx="4">
                  <c:v>68.277286935000006</c:v>
                </c:pt>
                <c:pt idx="5">
                  <c:v>18.020667615000001</c:v>
                </c:pt>
                <c:pt idx="6">
                  <c:v>21.085798184999998</c:v>
                </c:pt>
                <c:pt idx="7">
                  <c:v>24.027985439999998</c:v>
                </c:pt>
                <c:pt idx="8">
                  <c:v>31.54939152</c:v>
                </c:pt>
                <c:pt idx="9">
                  <c:v>27.261660599999999</c:v>
                </c:pt>
                <c:pt idx="10">
                  <c:v>14.28538062</c:v>
                </c:pt>
                <c:pt idx="11">
                  <c:v>15.771398550000001</c:v>
                </c:pt>
                <c:pt idx="12">
                  <c:v>21.106374329999998</c:v>
                </c:pt>
              </c:numCache>
            </c:numRef>
          </c:val>
        </c:ser>
        <c:ser>
          <c:idx val="1"/>
          <c:order val="1"/>
          <c:tx>
            <c:strRef>
              <c:f>'primerjava z drugimi občinami'!$H$4</c:f>
              <c:strCache>
                <c:ptCount val="1"/>
                <c:pt idx="0">
                  <c:v>Povprečno 4-člansko gospodinjstvo - priključeno na greznico, skupaj z okoljsko dajatvijo, brez upoštevanja subvencije s povprečno porabo vode 10,83 m3 mesečno (EUR z DDV)</c:v>
                </c:pt>
              </c:strCache>
            </c:strRef>
          </c:tx>
          <c:invertIfNegative val="0"/>
          <c:cat>
            <c:strRef>
              <c:f>'primerjava z drugimi občinami'!$A$5:$A$17</c:f>
              <c:strCache>
                <c:ptCount val="13"/>
                <c:pt idx="0">
                  <c:v>Ribnica - predlog</c:v>
                </c:pt>
                <c:pt idx="1">
                  <c:v>Sodražica</c:v>
                </c:pt>
                <c:pt idx="2">
                  <c:v>Loški Potok </c:v>
                </c:pt>
                <c:pt idx="3">
                  <c:v>Grosuplje</c:v>
                </c:pt>
                <c:pt idx="4">
                  <c:v>Dobrepolje</c:v>
                </c:pt>
                <c:pt idx="5">
                  <c:v>Črnomelj</c:v>
                </c:pt>
                <c:pt idx="6">
                  <c:v>Metlika</c:v>
                </c:pt>
                <c:pt idx="7">
                  <c:v>Loška Dolina</c:v>
                </c:pt>
                <c:pt idx="8">
                  <c:v>Cerknica</c:v>
                </c:pt>
                <c:pt idx="9">
                  <c:v>Logatec</c:v>
                </c:pt>
                <c:pt idx="10">
                  <c:v>Kočevje</c:v>
                </c:pt>
                <c:pt idx="11">
                  <c:v>Trebnje</c:v>
                </c:pt>
                <c:pt idx="12">
                  <c:v>Vrhnika</c:v>
                </c:pt>
              </c:strCache>
            </c:strRef>
          </c:cat>
          <c:val>
            <c:numRef>
              <c:f>'primerjava z drugimi občinami'!$H$5:$H$17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920960"/>
        <c:axId val="64926848"/>
      </c:barChart>
      <c:catAx>
        <c:axId val="6492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64926848"/>
        <c:crosses val="autoZero"/>
        <c:auto val="1"/>
        <c:lblAlgn val="ctr"/>
        <c:lblOffset val="100"/>
        <c:noMultiLvlLbl val="0"/>
      </c:catAx>
      <c:valAx>
        <c:axId val="6492684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64920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</vt:lpstr>
      <vt:lpstr>As</vt:lpstr>
    </vt:vector>
  </TitlesOfParts>
  <Company>___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creator>Andreja</dc:creator>
  <cp:lastModifiedBy>Andreja Henigman</cp:lastModifiedBy>
  <cp:revision>54</cp:revision>
  <cp:lastPrinted>2017-05-23T10:31:00Z</cp:lastPrinted>
  <dcterms:created xsi:type="dcterms:W3CDTF">2015-09-04T07:10:00Z</dcterms:created>
  <dcterms:modified xsi:type="dcterms:W3CDTF">2018-01-18T09:19:00Z</dcterms:modified>
</cp:coreProperties>
</file>