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37" w:rsidRPr="009406EF" w:rsidRDefault="00B84E37" w:rsidP="00B84E37">
      <w:pPr>
        <w:pStyle w:val="Telobesedila"/>
        <w:ind w:right="-143"/>
        <w:rPr>
          <w:rFonts w:ascii="Tahoma" w:hAnsi="Tahoma" w:cs="Tahoma"/>
          <w:sz w:val="18"/>
          <w:szCs w:val="22"/>
        </w:rPr>
      </w:pPr>
      <w:r w:rsidRPr="009406EF">
        <w:rPr>
          <w:rFonts w:ascii="Tahoma" w:hAnsi="Tahoma" w:cs="Tahoma"/>
          <w:sz w:val="18"/>
          <w:szCs w:val="22"/>
        </w:rPr>
        <w:t>Številka: 3523-0006/2015-14</w:t>
      </w:r>
    </w:p>
    <w:p w:rsidR="00B84E37" w:rsidRPr="009406EF" w:rsidRDefault="00B84E37" w:rsidP="00B84E37">
      <w:pPr>
        <w:pStyle w:val="Telobesedila"/>
        <w:ind w:right="-143"/>
        <w:rPr>
          <w:rFonts w:ascii="Tahoma" w:hAnsi="Tahoma" w:cs="Tahoma"/>
          <w:sz w:val="18"/>
          <w:szCs w:val="22"/>
        </w:rPr>
      </w:pPr>
      <w:r w:rsidRPr="009406EF">
        <w:rPr>
          <w:rFonts w:ascii="Tahoma" w:hAnsi="Tahoma" w:cs="Tahoma"/>
          <w:sz w:val="18"/>
          <w:szCs w:val="22"/>
        </w:rPr>
        <w:t>Datum:   13. december 2018</w:t>
      </w:r>
    </w:p>
    <w:p w:rsidR="00B84E37" w:rsidRDefault="00B84E37" w:rsidP="00B84E37">
      <w:pPr>
        <w:pStyle w:val="Telobesedila"/>
        <w:ind w:right="-143"/>
        <w:rPr>
          <w:rFonts w:ascii="Tahoma" w:hAnsi="Tahoma" w:cs="Tahoma"/>
          <w:sz w:val="22"/>
          <w:szCs w:val="22"/>
        </w:rPr>
      </w:pPr>
    </w:p>
    <w:p w:rsidR="00B84E37" w:rsidRDefault="00B84E37" w:rsidP="00B84E37">
      <w:pPr>
        <w:pStyle w:val="Telobesedila"/>
        <w:ind w:right="-143"/>
        <w:rPr>
          <w:rFonts w:ascii="Tahoma" w:hAnsi="Tahoma" w:cs="Tahoma"/>
          <w:sz w:val="22"/>
          <w:szCs w:val="22"/>
        </w:rPr>
      </w:pPr>
    </w:p>
    <w:p w:rsidR="00B84E37" w:rsidRPr="009406EF" w:rsidRDefault="00B84E37" w:rsidP="00B84E37">
      <w:pPr>
        <w:pStyle w:val="Telobesedila"/>
        <w:ind w:right="-143"/>
        <w:rPr>
          <w:rFonts w:ascii="Tahoma" w:hAnsi="Tahoma" w:cs="Tahoma"/>
          <w:b/>
          <w:sz w:val="22"/>
          <w:szCs w:val="22"/>
        </w:rPr>
      </w:pPr>
      <w:r w:rsidRPr="009406EF">
        <w:rPr>
          <w:rFonts w:ascii="Tahoma" w:hAnsi="Tahoma" w:cs="Tahoma"/>
          <w:b/>
          <w:sz w:val="22"/>
          <w:szCs w:val="22"/>
        </w:rPr>
        <w:t>OBČINSKI SVET OBČINE PREVALJE</w:t>
      </w:r>
    </w:p>
    <w:p w:rsidR="00B84E37" w:rsidRDefault="00B84E37" w:rsidP="00B84E37">
      <w:pPr>
        <w:pStyle w:val="Telobesedila"/>
        <w:ind w:right="-143"/>
        <w:rPr>
          <w:rFonts w:ascii="Tahoma" w:hAnsi="Tahoma" w:cs="Tahoma"/>
          <w:sz w:val="22"/>
          <w:szCs w:val="22"/>
        </w:rPr>
      </w:pPr>
    </w:p>
    <w:p w:rsidR="00B84E37" w:rsidRDefault="00B84E37" w:rsidP="00B84E37">
      <w:pPr>
        <w:pStyle w:val="Telobesedila"/>
        <w:ind w:right="-143"/>
        <w:rPr>
          <w:rFonts w:ascii="Tahoma" w:hAnsi="Tahoma" w:cs="Tahoma"/>
          <w:sz w:val="22"/>
          <w:szCs w:val="22"/>
        </w:rPr>
      </w:pPr>
    </w:p>
    <w:tbl>
      <w:tblPr>
        <w:tblW w:w="9468" w:type="dxa"/>
        <w:tblLook w:val="01E0" w:firstRow="1" w:lastRow="1" w:firstColumn="1" w:lastColumn="1" w:noHBand="0" w:noVBand="0"/>
      </w:tblPr>
      <w:tblGrid>
        <w:gridCol w:w="1188"/>
        <w:gridCol w:w="8280"/>
      </w:tblGrid>
      <w:tr w:rsidR="00B84E37" w:rsidTr="000D2F6A">
        <w:tc>
          <w:tcPr>
            <w:tcW w:w="1188" w:type="dxa"/>
          </w:tcPr>
          <w:p w:rsidR="00B84E37" w:rsidRDefault="00B84E37" w:rsidP="000D2F6A">
            <w:pPr>
              <w:pStyle w:val="Telobesedila"/>
              <w:ind w:right="-143"/>
              <w:jc w:val="both"/>
              <w:rPr>
                <w:rFonts w:ascii="Tahoma" w:hAnsi="Tahoma" w:cs="Tahoma"/>
                <w:b/>
                <w:sz w:val="22"/>
                <w:szCs w:val="22"/>
              </w:rPr>
            </w:pPr>
            <w:r>
              <w:rPr>
                <w:rFonts w:ascii="Tahoma" w:hAnsi="Tahoma" w:cs="Tahoma"/>
                <w:b/>
                <w:sz w:val="22"/>
                <w:szCs w:val="22"/>
              </w:rPr>
              <w:t>ZADEVA:</w:t>
            </w:r>
          </w:p>
        </w:tc>
        <w:tc>
          <w:tcPr>
            <w:tcW w:w="8280" w:type="dxa"/>
          </w:tcPr>
          <w:p w:rsidR="00B84E37" w:rsidRDefault="00B84E37" w:rsidP="000D2F6A">
            <w:pPr>
              <w:pStyle w:val="Telobesedila"/>
              <w:jc w:val="both"/>
              <w:rPr>
                <w:rFonts w:ascii="Tahoma" w:hAnsi="Tahoma" w:cs="Tahoma"/>
                <w:b/>
                <w:sz w:val="22"/>
                <w:szCs w:val="22"/>
              </w:rPr>
            </w:pPr>
            <w:r>
              <w:rPr>
                <w:rFonts w:ascii="Tahoma" w:hAnsi="Tahoma" w:cs="Tahoma"/>
                <w:b/>
                <w:sz w:val="22"/>
                <w:szCs w:val="22"/>
              </w:rPr>
              <w:t>VKLJUČITEV SOLIDARNEGA POROKA V ODLOČBE TER POGODBE ZA DODELITEV NEPROFITNIH STANOVANJ V NAJEM</w:t>
            </w:r>
          </w:p>
        </w:tc>
      </w:tr>
      <w:tr w:rsidR="00B84E37" w:rsidTr="000D2F6A">
        <w:tc>
          <w:tcPr>
            <w:tcW w:w="1188" w:type="dxa"/>
          </w:tcPr>
          <w:p w:rsidR="00B84E37" w:rsidRDefault="00B84E37" w:rsidP="000D2F6A">
            <w:pPr>
              <w:pStyle w:val="Telobesedila"/>
              <w:ind w:right="-143"/>
              <w:jc w:val="both"/>
              <w:rPr>
                <w:rFonts w:ascii="Tahoma" w:hAnsi="Tahoma" w:cs="Tahoma"/>
                <w:b/>
                <w:sz w:val="22"/>
                <w:szCs w:val="22"/>
              </w:rPr>
            </w:pPr>
          </w:p>
        </w:tc>
        <w:tc>
          <w:tcPr>
            <w:tcW w:w="8280" w:type="dxa"/>
          </w:tcPr>
          <w:p w:rsidR="00B84E37" w:rsidRDefault="00B84E37" w:rsidP="000D2F6A">
            <w:pPr>
              <w:pStyle w:val="Telobesedila"/>
              <w:ind w:right="-143"/>
              <w:jc w:val="both"/>
              <w:rPr>
                <w:rFonts w:ascii="Tahoma" w:hAnsi="Tahoma" w:cs="Tahoma"/>
                <w:b/>
                <w:sz w:val="22"/>
                <w:szCs w:val="22"/>
              </w:rPr>
            </w:pPr>
          </w:p>
        </w:tc>
      </w:tr>
    </w:tbl>
    <w:p w:rsidR="00B84E37" w:rsidRDefault="00B84E37" w:rsidP="00B84E37">
      <w:pPr>
        <w:pStyle w:val="Telobesedila"/>
        <w:ind w:right="-143"/>
        <w:jc w:val="both"/>
        <w:rPr>
          <w:rFonts w:ascii="Tahoma" w:hAnsi="Tahoma" w:cs="Tahoma"/>
          <w:sz w:val="22"/>
          <w:szCs w:val="22"/>
        </w:rPr>
      </w:pPr>
    </w:p>
    <w:tbl>
      <w:tblPr>
        <w:tblW w:w="9468" w:type="dxa"/>
        <w:tblLook w:val="01E0" w:firstRow="1" w:lastRow="1" w:firstColumn="1" w:lastColumn="1" w:noHBand="0" w:noVBand="0"/>
      </w:tblPr>
      <w:tblGrid>
        <w:gridCol w:w="1188"/>
        <w:gridCol w:w="8280"/>
      </w:tblGrid>
      <w:tr w:rsidR="00B84E37" w:rsidTr="000D2F6A">
        <w:tc>
          <w:tcPr>
            <w:tcW w:w="1188" w:type="dxa"/>
          </w:tcPr>
          <w:p w:rsidR="00B84E37" w:rsidRDefault="00B84E37" w:rsidP="000D2F6A">
            <w:pPr>
              <w:pStyle w:val="Telobesedila"/>
              <w:ind w:right="-143"/>
              <w:jc w:val="both"/>
              <w:rPr>
                <w:rFonts w:ascii="Tahoma" w:hAnsi="Tahoma" w:cs="Tahoma"/>
                <w:b/>
                <w:sz w:val="22"/>
                <w:szCs w:val="22"/>
              </w:rPr>
            </w:pPr>
            <w:r>
              <w:rPr>
                <w:rFonts w:ascii="Tahoma" w:hAnsi="Tahoma" w:cs="Tahoma"/>
                <w:b/>
                <w:sz w:val="22"/>
                <w:szCs w:val="22"/>
              </w:rPr>
              <w:t>Predlog sklepa 1:</w:t>
            </w:r>
          </w:p>
        </w:tc>
        <w:tc>
          <w:tcPr>
            <w:tcW w:w="8280" w:type="dxa"/>
          </w:tcPr>
          <w:p w:rsidR="00B84E37" w:rsidRDefault="00D10A0B" w:rsidP="000D2F6A">
            <w:pPr>
              <w:pStyle w:val="Telobesedila"/>
              <w:ind w:right="38"/>
              <w:jc w:val="both"/>
              <w:rPr>
                <w:rFonts w:ascii="Tahoma" w:hAnsi="Tahoma" w:cs="Tahoma"/>
                <w:b/>
                <w:sz w:val="22"/>
                <w:szCs w:val="22"/>
              </w:rPr>
            </w:pPr>
            <w:r>
              <w:rPr>
                <w:rFonts w:ascii="Tahoma" w:hAnsi="Tahoma" w:cs="Tahoma"/>
                <w:b/>
                <w:sz w:val="22"/>
                <w:szCs w:val="22"/>
              </w:rPr>
              <w:t>Občinski svet Občine Prevalje se strinja s predlogom Komisije</w:t>
            </w:r>
            <w:r w:rsidR="00B84E37">
              <w:rPr>
                <w:rFonts w:ascii="Tahoma" w:hAnsi="Tahoma" w:cs="Tahoma"/>
                <w:b/>
                <w:sz w:val="22"/>
                <w:szCs w:val="22"/>
              </w:rPr>
              <w:t xml:space="preserve"> za odpiranje in pregled vlog ter stanovanjskih razmer in oblikovanje liste prosilcev za dodelitev neprofitnih stanovanj v najem</w:t>
            </w:r>
            <w:r>
              <w:rPr>
                <w:rFonts w:ascii="Tahoma" w:hAnsi="Tahoma" w:cs="Tahoma"/>
                <w:b/>
                <w:sz w:val="22"/>
                <w:szCs w:val="22"/>
              </w:rPr>
              <w:t>, ki</w:t>
            </w:r>
            <w:r w:rsidR="00B84E37">
              <w:rPr>
                <w:rFonts w:ascii="Tahoma" w:hAnsi="Tahoma" w:cs="Tahoma"/>
                <w:b/>
                <w:sz w:val="22"/>
                <w:szCs w:val="22"/>
              </w:rPr>
              <w:t xml:space="preserve"> predlaga občinski upravi, da se v vse najemne pogodbe, ki se sklepajo za nedoločen čas z najemniki, ki so dodeljeni v neprofitno stanovanje na podlagi javnega razpisa za dodelitev neprofitnih stanovanj v najem, vnese naslednji odstavek:</w:t>
            </w:r>
          </w:p>
          <w:p w:rsidR="00B84E37" w:rsidRDefault="00B84E37" w:rsidP="000D2F6A">
            <w:pPr>
              <w:pStyle w:val="Telobesedila"/>
              <w:ind w:right="38"/>
              <w:jc w:val="both"/>
              <w:rPr>
                <w:rFonts w:ascii="Tahoma" w:hAnsi="Tahoma" w:cs="Tahoma"/>
                <w:b/>
                <w:sz w:val="22"/>
                <w:szCs w:val="22"/>
              </w:rPr>
            </w:pPr>
            <w:r>
              <w:rPr>
                <w:rFonts w:ascii="Tahoma" w:hAnsi="Tahoma" w:cs="Tahoma"/>
                <w:b/>
                <w:sz w:val="22"/>
                <w:szCs w:val="22"/>
              </w:rPr>
              <w:t>»Najemnik/ca mora ob podpisu najemne pogodbe imenovati določeno osebo, ki bo imela ob podpisu pogodbe sklenjeno delovno razmerje s pogodbo o zaposlitvi za nedoločen čas. Ta oseba bo k najemni pogodbi pristopila kot solidarni porok za vse denarne obveznosti izhajajoče iz najemne pogodbe oziroma za vse obveznosti, ki bodo iz nje nastale v bodoče, kar bo potrdila s svojim podpisom na najemni pogodbi.«</w:t>
            </w:r>
          </w:p>
          <w:p w:rsidR="00B84E37" w:rsidRDefault="00B84E37" w:rsidP="000D2F6A">
            <w:pPr>
              <w:pStyle w:val="Telobesedila"/>
              <w:ind w:right="-143"/>
              <w:jc w:val="both"/>
              <w:rPr>
                <w:rFonts w:ascii="Tahoma" w:hAnsi="Tahoma" w:cs="Tahoma"/>
                <w:b/>
                <w:sz w:val="22"/>
                <w:szCs w:val="22"/>
              </w:rPr>
            </w:pPr>
          </w:p>
          <w:p w:rsidR="00B84E37" w:rsidRDefault="00B84E37" w:rsidP="000D2F6A">
            <w:pPr>
              <w:pStyle w:val="Telobesedila"/>
              <w:ind w:right="-143"/>
              <w:jc w:val="both"/>
              <w:rPr>
                <w:rFonts w:ascii="Tahoma" w:hAnsi="Tahoma" w:cs="Tahoma"/>
                <w:b/>
                <w:sz w:val="22"/>
                <w:szCs w:val="22"/>
              </w:rPr>
            </w:pPr>
          </w:p>
        </w:tc>
      </w:tr>
    </w:tbl>
    <w:p w:rsidR="00B84E37" w:rsidRDefault="00B84E37" w:rsidP="00B84E37">
      <w:pPr>
        <w:pStyle w:val="Telobesedila"/>
        <w:ind w:right="-143"/>
        <w:jc w:val="both"/>
        <w:rPr>
          <w:rFonts w:ascii="Tahoma" w:hAnsi="Tahoma" w:cs="Tahoma"/>
          <w:sz w:val="22"/>
          <w:szCs w:val="22"/>
        </w:rPr>
      </w:pPr>
    </w:p>
    <w:p w:rsidR="00B84E37" w:rsidRDefault="00B84E37" w:rsidP="00B84E37">
      <w:pPr>
        <w:pStyle w:val="Telobesedila"/>
        <w:ind w:right="-143"/>
        <w:rPr>
          <w:rFonts w:ascii="Tahoma" w:hAnsi="Tahoma" w:cs="Tahoma"/>
          <w:sz w:val="22"/>
          <w:szCs w:val="22"/>
        </w:rPr>
      </w:pPr>
      <w:r>
        <w:rPr>
          <w:rFonts w:ascii="Tahoma" w:hAnsi="Tahoma" w:cs="Tahoma"/>
          <w:sz w:val="22"/>
          <w:szCs w:val="22"/>
        </w:rPr>
        <w:t>Obrazložitev:</w:t>
      </w:r>
    </w:p>
    <w:p w:rsidR="00B84E37" w:rsidRDefault="00B84E37" w:rsidP="00B84E37">
      <w:pPr>
        <w:pStyle w:val="Telobesedila"/>
        <w:ind w:right="-143"/>
        <w:jc w:val="both"/>
        <w:rPr>
          <w:rFonts w:ascii="Tahoma" w:hAnsi="Tahoma" w:cs="Tahoma"/>
          <w:sz w:val="22"/>
          <w:szCs w:val="22"/>
        </w:rPr>
      </w:pPr>
    </w:p>
    <w:p w:rsidR="00B84E37" w:rsidRDefault="00B84E37" w:rsidP="00B84E37">
      <w:pPr>
        <w:pStyle w:val="Telobesedila"/>
        <w:ind w:right="-143"/>
        <w:jc w:val="both"/>
        <w:rPr>
          <w:rFonts w:ascii="Tahoma" w:hAnsi="Tahoma" w:cs="Tahoma"/>
          <w:sz w:val="22"/>
          <w:szCs w:val="22"/>
        </w:rPr>
      </w:pPr>
      <w:r>
        <w:rPr>
          <w:rFonts w:ascii="Tahoma" w:hAnsi="Tahoma" w:cs="Tahoma"/>
          <w:sz w:val="22"/>
          <w:szCs w:val="22"/>
        </w:rPr>
        <w:t>Pri izvajanju javnega razpisa za dodelitev neprofitnih stanovanj v najem se ugotavlja, da se p</w:t>
      </w:r>
      <w:r w:rsidR="00603C8F">
        <w:rPr>
          <w:rFonts w:ascii="Tahoma" w:hAnsi="Tahoma" w:cs="Tahoma"/>
          <w:sz w:val="22"/>
          <w:szCs w:val="22"/>
        </w:rPr>
        <w:t>ri</w:t>
      </w:r>
      <w:bookmarkStart w:id="0" w:name="_GoBack"/>
      <w:bookmarkEnd w:id="0"/>
      <w:r>
        <w:rPr>
          <w:rFonts w:ascii="Tahoma" w:hAnsi="Tahoma" w:cs="Tahoma"/>
          <w:sz w:val="22"/>
          <w:szCs w:val="22"/>
        </w:rPr>
        <w:t xml:space="preserve"> sklenitvah najemnih pogodb in dodelitvi neprofitnega stanovanja pojavljajo pri nekaterih najemnikih dolgovi, tako na najemninah, kot tudi na obratovalnih stroških. Ker je občina subsidiarno odgovorna za obratovalne stroške, se ti stroški poravnavajo s strani občine Stanovanjskemu podjetju, le to pa potem toži posamezne najemnike. Pri mesečnem pregledu dolžnikov ugotavljamo, da prihaja do nezanemarljivih dolgov tudi pri najemnikih, ki so v letu 2018 prejeli odločbo o dodelitvi neprofitnega stanovanja v najem ter najemno pogodbo. Ugotavljamo pa tudi, da se za stanovanja, za katera si Občina Prevalje pridobi razpolagalno pravico - to so stanovanja v lasti Stanovanjskega sklada in/ali Nepremičninskega sklada, sklene pogodba, v kateri je navedena obveza solidarnega poroka.</w:t>
      </w:r>
    </w:p>
    <w:p w:rsidR="00B84E37" w:rsidRDefault="00B84E37" w:rsidP="00B84E37">
      <w:pPr>
        <w:pStyle w:val="Telobesedila"/>
        <w:ind w:right="-143"/>
        <w:jc w:val="both"/>
        <w:rPr>
          <w:rFonts w:ascii="Tahoma" w:hAnsi="Tahoma" w:cs="Tahoma"/>
          <w:sz w:val="22"/>
          <w:szCs w:val="22"/>
        </w:rPr>
      </w:pPr>
      <w:r>
        <w:rPr>
          <w:rFonts w:ascii="Tahoma" w:hAnsi="Tahoma" w:cs="Tahoma"/>
          <w:sz w:val="22"/>
          <w:szCs w:val="22"/>
        </w:rPr>
        <w:t xml:space="preserve">V izogib dolgovom, subsidiarne odgovornosti občine ter samim tožbam, izvršbam ter morebitnim deložacijam, predlagamo, da Občinski svet potrdi sklep, s katerim se nalaga, da se od dneva sprejetja sklepa v odločbe o dodelitvi neprofitnega stanovanja v najem ter v same najemne pogodbe, vnese obveznost poroka. Prosilec, ki morebiti ne bi mogel zagotoviti solidarnega poroka v trenutku, ko mu je ponujeno neprofitno stanovanje v najem, s tem ne izgubi pravice do pridobitve neprofitnega stanovanja za čas trajanja razpisa, na katerem je podal vlogo. Porok je lahko katera koli oseba, ki ima v času podpisa poroštvene izjave sklenjeno pogodbo za nedoločen čas.    </w:t>
      </w:r>
    </w:p>
    <w:p w:rsidR="00B84E37" w:rsidRDefault="00B84E37" w:rsidP="00B84E37">
      <w:pPr>
        <w:pStyle w:val="Telobesedila"/>
        <w:ind w:right="-143"/>
        <w:rPr>
          <w:rFonts w:ascii="Tahoma" w:hAnsi="Tahoma" w:cs="Tahoma"/>
          <w:sz w:val="22"/>
          <w:szCs w:val="22"/>
        </w:rPr>
      </w:pPr>
    </w:p>
    <w:p w:rsidR="00B84E37" w:rsidRDefault="00B84E37" w:rsidP="00B84E37">
      <w:pPr>
        <w:pStyle w:val="Telobesedila"/>
        <w:ind w:right="-143"/>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Predsednik Komisije:</w:t>
      </w:r>
    </w:p>
    <w:p w:rsidR="008E4716" w:rsidRPr="00B84E37" w:rsidRDefault="00B84E37" w:rsidP="00B84E37">
      <w:pPr>
        <w:pStyle w:val="Telobesedila"/>
        <w:ind w:right="-143"/>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Zdravko FAJMUT, </w:t>
      </w:r>
      <w:proofErr w:type="spellStart"/>
      <w:r>
        <w:rPr>
          <w:rFonts w:ascii="Tahoma" w:hAnsi="Tahoma" w:cs="Tahoma"/>
          <w:sz w:val="22"/>
          <w:szCs w:val="22"/>
        </w:rPr>
        <w:t>l.r</w:t>
      </w:r>
      <w:proofErr w:type="spellEnd"/>
      <w:r>
        <w:rPr>
          <w:rFonts w:ascii="Tahoma" w:hAnsi="Tahoma" w:cs="Tahoma"/>
          <w:sz w:val="22"/>
          <w:szCs w:val="22"/>
        </w:rPr>
        <w:t>.</w:t>
      </w:r>
    </w:p>
    <w:sectPr w:rsidR="008E4716" w:rsidRPr="00B84E37" w:rsidSect="00D10A0B">
      <w:headerReference w:type="default" r:id="rId6"/>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86B" w:rsidRDefault="0078386B">
      <w:r>
        <w:separator/>
      </w:r>
    </w:p>
  </w:endnote>
  <w:endnote w:type="continuationSeparator" w:id="0">
    <w:p w:rsidR="0078386B" w:rsidRDefault="0078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86B" w:rsidRDefault="0078386B">
      <w:r>
        <w:separator/>
      </w:r>
    </w:p>
  </w:footnote>
  <w:footnote w:type="continuationSeparator" w:id="0">
    <w:p w:rsidR="0078386B" w:rsidRDefault="0078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94" w:rsidRDefault="00B84E37">
    <w:pPr>
      <w:pStyle w:val="Glava"/>
      <w:shd w:val="clear" w:color="auto" w:fill="FFFFFF"/>
      <w:ind w:left="-851" w:right="-568"/>
      <w:rPr>
        <w:rFonts w:ascii="BernhardMod BT" w:hAnsi="BernhardMod BT" w:cs="BernhardMod BT"/>
        <w:color w:val="0000FF"/>
        <w:sz w:val="56"/>
        <w:szCs w:val="56"/>
      </w:rPr>
    </w:pPr>
    <w:r>
      <w:rPr>
        <w:rFonts w:ascii="BernhardMod BT" w:hAnsi="BernhardMod BT" w:cs="BernhardMod BT"/>
        <w:color w:val="0000FF"/>
        <w:sz w:val="56"/>
        <w:szCs w:val="56"/>
      </w:rPr>
      <w:t xml:space="preserve">   občina </w:t>
    </w:r>
    <w:proofErr w:type="spellStart"/>
    <w:r>
      <w:rPr>
        <w:rFonts w:ascii="BernhardMod BT" w:hAnsi="BernhardMod BT" w:cs="BernhardMod BT"/>
        <w:color w:val="0000FF"/>
        <w:sz w:val="56"/>
        <w:szCs w:val="56"/>
      </w:rPr>
      <w:t>prevalje</w:t>
    </w:r>
    <w:proofErr w:type="spellEnd"/>
  </w:p>
  <w:p w:rsidR="009B3494" w:rsidRDefault="0078386B">
    <w:pPr>
      <w:pStyle w:val="Glava"/>
      <w:shd w:val="clear" w:color="auto" w:fill="FFFFFF"/>
      <w:tabs>
        <w:tab w:val="clear" w:pos="9072"/>
        <w:tab w:val="right" w:pos="9923"/>
      </w:tabs>
      <w:ind w:left="-993" w:right="-710"/>
      <w:rPr>
        <w:rFonts w:ascii="Tahoma" w:hAnsi="Tahoma" w:cs="Tahoma"/>
        <w:b/>
        <w:bCs/>
      </w:rPr>
    </w:pPr>
  </w:p>
  <w:p w:rsidR="009B3494" w:rsidRDefault="0078386B">
    <w:pPr>
      <w:pStyle w:val="Glava"/>
      <w:shd w:val="clear" w:color="auto" w:fill="FFFFFF"/>
      <w:tabs>
        <w:tab w:val="clear" w:pos="9072"/>
        <w:tab w:val="right" w:pos="9923"/>
      </w:tabs>
      <w:ind w:left="-993" w:right="-710"/>
      <w:rPr>
        <w:rFonts w:ascii="Tahoma" w:hAnsi="Tahoma" w:cs="Tahoma"/>
        <w:b/>
        <w:bCs/>
        <w:sz w:val="12"/>
        <w:szCs w:val="12"/>
      </w:rPr>
    </w:pPr>
  </w:p>
  <w:p w:rsidR="009B3494" w:rsidRDefault="00B84E37">
    <w:pPr>
      <w:pStyle w:val="Glava"/>
      <w:shd w:val="clear" w:color="auto" w:fill="FFFFFF"/>
      <w:tabs>
        <w:tab w:val="clear" w:pos="9072"/>
        <w:tab w:val="right" w:pos="9923"/>
      </w:tabs>
      <w:ind w:left="-709" w:right="-710"/>
      <w:rPr>
        <w:rFonts w:ascii="Tahoma" w:hAnsi="Tahoma" w:cs="Tahoma"/>
        <w:sz w:val="19"/>
        <w:szCs w:val="19"/>
      </w:rPr>
    </w:pPr>
    <w:r>
      <w:rPr>
        <w:rFonts w:ascii="Tahoma" w:hAnsi="Tahoma" w:cs="Tahoma"/>
        <w:b/>
        <w:bCs/>
        <w:sz w:val="18"/>
        <w:szCs w:val="18"/>
      </w:rPr>
      <w:t xml:space="preserve">OBČINA </w:t>
    </w:r>
    <w:proofErr w:type="gramStart"/>
    <w:r>
      <w:rPr>
        <w:rFonts w:ascii="Tahoma" w:hAnsi="Tahoma" w:cs="Tahoma"/>
        <w:b/>
        <w:bCs/>
        <w:sz w:val="18"/>
        <w:szCs w:val="18"/>
      </w:rPr>
      <w:t>PREVALJE ,</w:t>
    </w:r>
    <w:proofErr w:type="gramEnd"/>
    <w:r>
      <w:rPr>
        <w:rFonts w:ascii="Tahoma" w:hAnsi="Tahoma" w:cs="Tahoma"/>
        <w:b/>
        <w:bCs/>
        <w:sz w:val="18"/>
        <w:szCs w:val="18"/>
      </w:rPr>
      <w:t xml:space="preserve"> </w:t>
    </w:r>
    <w:proofErr w:type="spellStart"/>
    <w:r>
      <w:rPr>
        <w:rFonts w:ascii="Tahoma" w:hAnsi="Tahoma" w:cs="Tahoma"/>
        <w:b/>
        <w:bCs/>
        <w:sz w:val="18"/>
        <w:szCs w:val="18"/>
      </w:rPr>
      <w:t>Trg</w:t>
    </w:r>
    <w:proofErr w:type="spellEnd"/>
    <w:r>
      <w:rPr>
        <w:rFonts w:ascii="Tahoma" w:hAnsi="Tahoma" w:cs="Tahoma"/>
        <w:b/>
        <w:bCs/>
        <w:sz w:val="18"/>
        <w:szCs w:val="18"/>
      </w:rPr>
      <w:t xml:space="preserve"> 2a , Si 2391 Prevalje</w:t>
    </w:r>
  </w:p>
  <w:p w:rsidR="009B3494" w:rsidRPr="00603C8F" w:rsidRDefault="00B84E37">
    <w:pPr>
      <w:pStyle w:val="Glava"/>
      <w:ind w:left="-709"/>
      <w:rPr>
        <w:rFonts w:ascii="Tahoma" w:hAnsi="Tahoma" w:cs="Tahoma"/>
        <w:sz w:val="13"/>
        <w:szCs w:val="13"/>
        <w:lang w:val="de-AT"/>
      </w:rPr>
    </w:pPr>
    <w:r>
      <w:rPr>
        <w:rFonts w:ascii="Tahoma" w:hAnsi="Tahoma" w:cs="Tahoma"/>
        <w:b/>
        <w:bCs/>
        <w:sz w:val="10"/>
        <w:szCs w:val="10"/>
      </w:rPr>
      <w:t xml:space="preserve"> </w:t>
    </w:r>
    <w:r>
      <w:rPr>
        <w:rFonts w:ascii="Tahoma" w:hAnsi="Tahoma" w:cs="Tahoma"/>
        <w:b/>
        <w:bCs/>
        <w:sz w:val="10"/>
        <w:szCs w:val="10"/>
        <w:lang w:val="de-DE"/>
      </w:rPr>
      <w:t>tel</w:t>
    </w:r>
    <w:r>
      <w:rPr>
        <w:rFonts w:ascii="Tahoma" w:hAnsi="Tahoma" w:cs="Tahoma"/>
        <w:b/>
        <w:bCs/>
        <w:sz w:val="13"/>
        <w:szCs w:val="13"/>
        <w:lang w:val="de-DE"/>
      </w:rPr>
      <w:t xml:space="preserve">. </w:t>
    </w:r>
    <w:r>
      <w:rPr>
        <w:rFonts w:ascii="Tahoma" w:hAnsi="Tahoma" w:cs="Tahoma"/>
        <w:sz w:val="13"/>
        <w:szCs w:val="13"/>
        <w:lang w:val="de-DE"/>
      </w:rPr>
      <w:t>(02) 824 61 00</w:t>
    </w:r>
    <w:r>
      <w:rPr>
        <w:rFonts w:ascii="Tahoma" w:hAnsi="Tahoma" w:cs="Tahoma"/>
        <w:sz w:val="16"/>
        <w:szCs w:val="16"/>
        <w:lang w:val="de-DE"/>
      </w:rPr>
      <w:t>,</w:t>
    </w:r>
    <w:r>
      <w:rPr>
        <w:rFonts w:ascii="Tahoma" w:hAnsi="Tahoma" w:cs="Tahoma"/>
        <w:b/>
        <w:bCs/>
        <w:sz w:val="10"/>
        <w:szCs w:val="10"/>
        <w:lang w:val="de-DE"/>
      </w:rPr>
      <w:t>telefax. (</w:t>
    </w:r>
    <w:r>
      <w:rPr>
        <w:rFonts w:ascii="Tahoma" w:hAnsi="Tahoma" w:cs="Tahoma"/>
        <w:sz w:val="13"/>
        <w:szCs w:val="13"/>
        <w:lang w:val="de-DE"/>
      </w:rPr>
      <w:t>02) 824 61 24</w:t>
    </w:r>
    <w:r>
      <w:rPr>
        <w:rFonts w:ascii="Tahoma" w:hAnsi="Tahoma" w:cs="Tahoma"/>
        <w:sz w:val="16"/>
        <w:szCs w:val="16"/>
        <w:lang w:val="de-DE"/>
      </w:rPr>
      <w:t xml:space="preserve">, </w:t>
    </w:r>
    <w:r>
      <w:rPr>
        <w:rFonts w:ascii="Tahoma" w:hAnsi="Tahoma" w:cs="Tahoma"/>
        <w:b/>
        <w:bCs/>
        <w:sz w:val="10"/>
        <w:szCs w:val="10"/>
        <w:lang w:val="de-DE"/>
      </w:rPr>
      <w:t>e-</w:t>
    </w:r>
    <w:proofErr w:type="spellStart"/>
    <w:r>
      <w:rPr>
        <w:rFonts w:ascii="Tahoma" w:hAnsi="Tahoma" w:cs="Tahoma"/>
        <w:b/>
        <w:bCs/>
        <w:sz w:val="10"/>
        <w:szCs w:val="10"/>
        <w:lang w:val="de-DE"/>
      </w:rPr>
      <w:t>pošta</w:t>
    </w:r>
    <w:proofErr w:type="spellEnd"/>
    <w:r>
      <w:rPr>
        <w:rFonts w:ascii="Tahoma" w:hAnsi="Tahoma" w:cs="Tahoma"/>
        <w:b/>
        <w:bCs/>
        <w:sz w:val="10"/>
        <w:szCs w:val="10"/>
        <w:lang w:val="de-DE"/>
      </w:rPr>
      <w:t xml:space="preserve">:  </w:t>
    </w:r>
    <w:hyperlink r:id="rId1" w:history="1">
      <w:r>
        <w:rPr>
          <w:rStyle w:val="Hiperpovezava"/>
          <w:rFonts w:ascii="Tahoma" w:hAnsi="Tahoma" w:cs="Tahoma"/>
          <w:sz w:val="13"/>
          <w:szCs w:val="13"/>
          <w:lang w:val="de-DE"/>
        </w:rPr>
        <w:t>obcina@prevalje.si</w:t>
      </w:r>
    </w:hyperlink>
  </w:p>
  <w:p w:rsidR="009B3494" w:rsidRDefault="0078386B">
    <w:pPr>
      <w:pStyle w:val="Glava"/>
      <w:ind w:left="-709"/>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37"/>
    <w:rsid w:val="000D5C32"/>
    <w:rsid w:val="000F74A1"/>
    <w:rsid w:val="00186802"/>
    <w:rsid w:val="00603C8F"/>
    <w:rsid w:val="0078386B"/>
    <w:rsid w:val="00955C98"/>
    <w:rsid w:val="00B1331C"/>
    <w:rsid w:val="00B84E37"/>
    <w:rsid w:val="00D10A0B"/>
    <w:rsid w:val="00DB00F9"/>
    <w:rsid w:val="00F6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B9E7"/>
  <w15:chartTrackingRefBased/>
  <w15:docId w15:val="{6302825F-6665-448A-BCF9-038561A6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84E37"/>
    <w:pPr>
      <w:spacing w:after="0" w:line="240" w:lineRule="auto"/>
    </w:pPr>
    <w:rPr>
      <w:rFonts w:ascii="Tahoma" w:eastAsia="Times New Roman" w:hAnsi="Tahoma" w:cs="Tahom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84E37"/>
    <w:rPr>
      <w:rFonts w:ascii="Times New Roman" w:hAnsi="Times New Roman" w:cs="Times New Roman"/>
      <w:sz w:val="24"/>
      <w:szCs w:val="20"/>
    </w:rPr>
  </w:style>
  <w:style w:type="character" w:customStyle="1" w:styleId="TelobesedilaZnak">
    <w:name w:val="Telo besedila Znak"/>
    <w:basedOn w:val="Privzetapisavaodstavka"/>
    <w:link w:val="Telobesedila"/>
    <w:rsid w:val="00B84E37"/>
    <w:rPr>
      <w:rFonts w:ascii="Times New Roman" w:eastAsia="Times New Roman" w:hAnsi="Times New Roman" w:cs="Times New Roman"/>
      <w:sz w:val="24"/>
      <w:szCs w:val="20"/>
      <w:lang w:eastAsia="sl-SI"/>
    </w:rPr>
  </w:style>
  <w:style w:type="paragraph" w:styleId="Glava">
    <w:name w:val="header"/>
    <w:basedOn w:val="Navaden"/>
    <w:link w:val="GlavaZnak"/>
    <w:rsid w:val="00B84E37"/>
    <w:pPr>
      <w:tabs>
        <w:tab w:val="center" w:pos="4536"/>
        <w:tab w:val="right" w:pos="9072"/>
      </w:tabs>
    </w:pPr>
    <w:rPr>
      <w:rFonts w:ascii="Times New Roman" w:hAnsi="Times New Roman" w:cs="Times New Roman"/>
      <w:sz w:val="20"/>
      <w:szCs w:val="20"/>
      <w:lang w:val="en-US"/>
    </w:rPr>
  </w:style>
  <w:style w:type="character" w:customStyle="1" w:styleId="GlavaZnak">
    <w:name w:val="Glava Znak"/>
    <w:basedOn w:val="Privzetapisavaodstavka"/>
    <w:link w:val="Glava"/>
    <w:rsid w:val="00B84E37"/>
    <w:rPr>
      <w:rFonts w:ascii="Times New Roman" w:eastAsia="Times New Roman" w:hAnsi="Times New Roman" w:cs="Times New Roman"/>
      <w:sz w:val="20"/>
      <w:szCs w:val="20"/>
      <w:lang w:val="en-US" w:eastAsia="sl-SI"/>
    </w:rPr>
  </w:style>
  <w:style w:type="character" w:styleId="Hiperpovezava">
    <w:name w:val="Hyperlink"/>
    <w:rsid w:val="00B84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obcina@preval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Emilija Ivančič</cp:lastModifiedBy>
  <cp:revision>3</cp:revision>
  <dcterms:created xsi:type="dcterms:W3CDTF">2018-12-13T09:24:00Z</dcterms:created>
  <dcterms:modified xsi:type="dcterms:W3CDTF">2018-12-13T11:53:00Z</dcterms:modified>
</cp:coreProperties>
</file>