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7A" w:rsidRDefault="0019707A" w:rsidP="0019707A">
      <w:pPr>
        <w:jc w:val="right"/>
      </w:pPr>
      <w:r>
        <w:t>OSNUTEK</w:t>
      </w:r>
    </w:p>
    <w:p w:rsidR="0019707A" w:rsidRDefault="0019707A" w:rsidP="00771E0A">
      <w:pPr>
        <w:jc w:val="left"/>
      </w:pPr>
    </w:p>
    <w:p w:rsidR="00615ADF" w:rsidRPr="002636CF" w:rsidRDefault="000F1152" w:rsidP="00771E0A">
      <w:pPr>
        <w:jc w:val="left"/>
      </w:pPr>
      <w:r w:rsidRPr="002636CF">
        <w:t xml:space="preserve">Na podlagi 99. člena Zakona o </w:t>
      </w:r>
      <w:r w:rsidR="00967271" w:rsidRPr="002636CF">
        <w:t>socialnem</w:t>
      </w:r>
      <w:r w:rsidRPr="002636CF">
        <w:t xml:space="preserve"> varstvu (Uradni list RS, št. 3/07 – UPB-2, </w:t>
      </w:r>
      <w:hyperlink r:id="rId6" w:tgtFrame="_blank" w:tooltip="Popravek Uradnega prečiščenega besedila Zakona o socialnem varstvu (ZSV-UPB2)" w:history="1">
        <w:r w:rsidR="0019707A" w:rsidRPr="002636CF">
          <w:rPr>
            <w:rFonts w:cs="Arial"/>
            <w:bCs/>
          </w:rPr>
          <w:t xml:space="preserve">23/07 – </w:t>
        </w:r>
        <w:proofErr w:type="spellStart"/>
        <w:r w:rsidR="0019707A" w:rsidRPr="002636CF">
          <w:rPr>
            <w:rFonts w:cs="Arial"/>
            <w:bCs/>
          </w:rPr>
          <w:t>popr</w:t>
        </w:r>
        <w:proofErr w:type="spellEnd"/>
        <w:r w:rsidR="0019707A" w:rsidRPr="002636CF">
          <w:rPr>
            <w:rFonts w:cs="Arial"/>
            <w:bCs/>
          </w:rPr>
          <w:t>.</w:t>
        </w:r>
      </w:hyperlink>
      <w:r w:rsidR="0019707A" w:rsidRPr="002636CF">
        <w:rPr>
          <w:rFonts w:cs="Arial"/>
          <w:bCs/>
        </w:rPr>
        <w:t xml:space="preserve">, </w:t>
      </w:r>
      <w:hyperlink r:id="rId7" w:tgtFrame="_blank" w:tooltip="Popravek Zakona o socialnem varstvu – uradno prečiščeno besedilo (ZSV-UPB2)" w:history="1">
        <w:r w:rsidR="0019707A" w:rsidRPr="002636CF">
          <w:rPr>
            <w:rFonts w:cs="Arial"/>
            <w:bCs/>
          </w:rPr>
          <w:t xml:space="preserve">41/07 – </w:t>
        </w:r>
        <w:proofErr w:type="spellStart"/>
        <w:r w:rsidR="0019707A" w:rsidRPr="002636CF">
          <w:rPr>
            <w:rFonts w:cs="Arial"/>
            <w:bCs/>
          </w:rPr>
          <w:t>popr</w:t>
        </w:r>
        <w:proofErr w:type="spellEnd"/>
        <w:r w:rsidR="0019707A" w:rsidRPr="002636CF">
          <w:rPr>
            <w:rFonts w:cs="Arial"/>
            <w:bCs/>
          </w:rPr>
          <w:t>.</w:t>
        </w:r>
      </w:hyperlink>
      <w:r w:rsidR="0019707A" w:rsidRPr="002636CF">
        <w:rPr>
          <w:rFonts w:cs="Arial"/>
          <w:bCs/>
        </w:rPr>
        <w:t xml:space="preserve">, </w:t>
      </w:r>
      <w:hyperlink r:id="rId8" w:tgtFrame="_blank" w:tooltip="Zakon o socialno varstvenih prejemkih" w:history="1">
        <w:r w:rsidR="0019707A" w:rsidRPr="002636CF">
          <w:rPr>
            <w:rFonts w:cs="Arial"/>
            <w:bCs/>
          </w:rPr>
          <w:t>61/10</w:t>
        </w:r>
      </w:hyperlink>
      <w:r w:rsidR="0019707A" w:rsidRPr="002636CF">
        <w:rPr>
          <w:rFonts w:cs="Arial"/>
          <w:bCs/>
        </w:rPr>
        <w:t xml:space="preserve"> – </w:t>
      </w:r>
      <w:proofErr w:type="spellStart"/>
      <w:r w:rsidR="0019707A" w:rsidRPr="002636CF">
        <w:rPr>
          <w:rFonts w:cs="Arial"/>
          <w:bCs/>
        </w:rPr>
        <w:t>ZSVarPre</w:t>
      </w:r>
      <w:proofErr w:type="spellEnd"/>
      <w:r w:rsidR="0019707A" w:rsidRPr="002636CF">
        <w:rPr>
          <w:rFonts w:cs="Arial"/>
          <w:bCs/>
        </w:rPr>
        <w:t xml:space="preserve">, </w:t>
      </w:r>
      <w:hyperlink r:id="rId9" w:tgtFrame="_blank" w:tooltip="Zakon o uveljavljanju pravic iz javnih sredstev" w:history="1">
        <w:r w:rsidR="0019707A" w:rsidRPr="002636CF">
          <w:rPr>
            <w:rFonts w:cs="Arial"/>
            <w:bCs/>
          </w:rPr>
          <w:t>62/10</w:t>
        </w:r>
      </w:hyperlink>
      <w:r w:rsidR="0019707A" w:rsidRPr="002636CF">
        <w:rPr>
          <w:rFonts w:cs="Arial"/>
          <w:bCs/>
        </w:rPr>
        <w:t xml:space="preserve"> – ZUPJS in </w:t>
      </w:r>
      <w:hyperlink r:id="rId10" w:tgtFrame="_blank" w:tooltip="Zakon o dopolnitvi Zakona o socialnem varstvu" w:history="1">
        <w:r w:rsidR="0019707A" w:rsidRPr="002636CF">
          <w:rPr>
            <w:rFonts w:cs="Arial"/>
            <w:bCs/>
          </w:rPr>
          <w:t>57/12</w:t>
        </w:r>
      </w:hyperlink>
      <w:r w:rsidRPr="002636CF">
        <w:t xml:space="preserve">), 26. člena Zakona o </w:t>
      </w:r>
      <w:r w:rsidR="00967271" w:rsidRPr="002636CF">
        <w:t>socialnovarstvenih</w:t>
      </w:r>
      <w:r w:rsidRPr="002636CF">
        <w:t xml:space="preserve"> prejemkih (Uradni list RS, št. </w:t>
      </w:r>
      <w:r w:rsidR="0019707A" w:rsidRPr="002636CF">
        <w:rPr>
          <w:rFonts w:cs="Arial"/>
          <w:bCs/>
        </w:rPr>
        <w:t xml:space="preserve">. </w:t>
      </w:r>
      <w:hyperlink r:id="rId11" w:tgtFrame="_blank" w:tooltip="Zakon o socialno varstvenih prejemkih (ZSVarPre)" w:history="1">
        <w:r w:rsidR="0019707A" w:rsidRPr="002636CF">
          <w:rPr>
            <w:rFonts w:cs="Arial"/>
            <w:bCs/>
          </w:rPr>
          <w:t>61/10</w:t>
        </w:r>
      </w:hyperlink>
      <w:r w:rsidR="0019707A" w:rsidRPr="002636CF">
        <w:rPr>
          <w:rFonts w:cs="Arial"/>
          <w:bCs/>
        </w:rPr>
        <w:t xml:space="preserve">, </w:t>
      </w:r>
      <w:hyperlink r:id="rId12" w:tgtFrame="_blank" w:tooltip="Zakon o spremembah in dopolnitvi Zakona o socialno varstvenih prejemkih" w:history="1">
        <w:r w:rsidR="0019707A" w:rsidRPr="002636CF">
          <w:rPr>
            <w:rFonts w:cs="Arial"/>
            <w:bCs/>
          </w:rPr>
          <w:t>40/11</w:t>
        </w:r>
      </w:hyperlink>
      <w:r w:rsidR="0019707A" w:rsidRPr="002636CF">
        <w:rPr>
          <w:rFonts w:cs="Arial"/>
          <w:bCs/>
        </w:rPr>
        <w:t xml:space="preserve">, </w:t>
      </w:r>
      <w:hyperlink r:id="rId13" w:tgtFrame="_blank" w:tooltip="Zakon o spremembi Zakona o socialno varstvenih prejemkih" w:history="1">
        <w:r w:rsidR="0019707A" w:rsidRPr="002636CF">
          <w:rPr>
            <w:rFonts w:cs="Arial"/>
            <w:bCs/>
          </w:rPr>
          <w:t>14/13</w:t>
        </w:r>
      </w:hyperlink>
      <w:r w:rsidR="0019707A" w:rsidRPr="002636CF">
        <w:rPr>
          <w:rFonts w:cs="Arial"/>
          <w:bCs/>
        </w:rPr>
        <w:t xml:space="preserve"> in </w:t>
      </w:r>
      <w:hyperlink r:id="rId14" w:tgtFrame="_blank" w:tooltip="Zakon o spremembah in dopolnitvah Zakona o socialno varstvenih prejemkih" w:history="1">
        <w:r w:rsidR="0019707A" w:rsidRPr="002636CF">
          <w:rPr>
            <w:rFonts w:cs="Arial"/>
            <w:bCs/>
          </w:rPr>
          <w:t>99/13</w:t>
        </w:r>
      </w:hyperlink>
      <w:r w:rsidR="0019707A" w:rsidRPr="002636CF">
        <w:rPr>
          <w:rFonts w:cs="Arial"/>
          <w:bCs/>
        </w:rPr>
        <w:t>)</w:t>
      </w:r>
      <w:r w:rsidRPr="002636CF">
        <w:t xml:space="preserve">), 21. člena Zakona o lokalni samoupravi (Uradni list RS, št. 94/07 – UPB2, </w:t>
      </w:r>
      <w:hyperlink r:id="rId15" w:tgtFrame="_blank" w:tooltip="Zakon o dopolnitvi Zakona o lokalni samoupravi" w:history="1">
        <w:r w:rsidR="0019707A" w:rsidRPr="002636CF">
          <w:rPr>
            <w:rFonts w:cs="Arial"/>
            <w:bCs/>
          </w:rPr>
          <w:t>76/08</w:t>
        </w:r>
      </w:hyperlink>
      <w:r w:rsidR="0019707A" w:rsidRPr="002636CF">
        <w:rPr>
          <w:rFonts w:cs="Arial"/>
          <w:bCs/>
        </w:rPr>
        <w:t xml:space="preserve">, </w:t>
      </w:r>
      <w:hyperlink r:id="rId16" w:tgtFrame="_blank" w:tooltip="Zakon o spremembah in dopolnitvah Zakona o lokalni samoupravi" w:history="1">
        <w:r w:rsidR="0019707A" w:rsidRPr="002636CF">
          <w:rPr>
            <w:rFonts w:cs="Arial"/>
            <w:bCs/>
          </w:rPr>
          <w:t>79/09</w:t>
        </w:r>
      </w:hyperlink>
      <w:r w:rsidR="0019707A" w:rsidRPr="002636CF">
        <w:rPr>
          <w:rFonts w:cs="Arial"/>
          <w:bCs/>
        </w:rPr>
        <w:t xml:space="preserve">, </w:t>
      </w:r>
      <w:hyperlink r:id="rId17" w:tgtFrame="_blank" w:tooltip="Zakon o spremembah in dopolnitvah Zakona o lokalni samoupravi" w:history="1">
        <w:r w:rsidR="0019707A" w:rsidRPr="002636CF">
          <w:rPr>
            <w:rFonts w:cs="Arial"/>
            <w:bCs/>
          </w:rPr>
          <w:t>51/10</w:t>
        </w:r>
      </w:hyperlink>
      <w:r w:rsidR="0019707A" w:rsidRPr="002636CF">
        <w:rPr>
          <w:rFonts w:cs="Arial"/>
          <w:bCs/>
        </w:rPr>
        <w:t xml:space="preserve">, </w:t>
      </w:r>
      <w:hyperlink r:id="rId18" w:tgtFrame="_blank" w:tooltip="Zakon za uravnoteženje javnih financ" w:history="1">
        <w:r w:rsidR="0019707A" w:rsidRPr="002636CF">
          <w:rPr>
            <w:rFonts w:cs="Arial"/>
            <w:bCs/>
          </w:rPr>
          <w:t>40/12</w:t>
        </w:r>
      </w:hyperlink>
      <w:r w:rsidR="0019707A" w:rsidRPr="002636CF">
        <w:rPr>
          <w:rFonts w:cs="Arial"/>
          <w:bCs/>
        </w:rPr>
        <w:t xml:space="preserve"> – ZUJF in </w:t>
      </w:r>
      <w:hyperlink r:id="rId19" w:tgtFrame="_blank" w:tooltip="Zakon o ukrepih za uravnoteženje javnih financ občin" w:history="1">
        <w:r w:rsidR="0019707A" w:rsidRPr="002636CF">
          <w:rPr>
            <w:rFonts w:cs="Arial"/>
            <w:bCs/>
          </w:rPr>
          <w:t>14/15</w:t>
        </w:r>
      </w:hyperlink>
      <w:r w:rsidR="0019707A" w:rsidRPr="002636CF">
        <w:rPr>
          <w:rFonts w:cs="Arial"/>
          <w:bCs/>
        </w:rPr>
        <w:t xml:space="preserve"> – ZUUJFO</w:t>
      </w:r>
      <w:r w:rsidRPr="002636CF">
        <w:t xml:space="preserve">) in </w:t>
      </w:r>
      <w:r w:rsidR="00BF06FE" w:rsidRPr="002636CF">
        <w:t>16.</w:t>
      </w:r>
      <w:r w:rsidR="008304E5" w:rsidRPr="002636CF">
        <w:t xml:space="preserve"> </w:t>
      </w:r>
      <w:r w:rsidRPr="002636CF">
        <w:t>člen</w:t>
      </w:r>
      <w:r w:rsidR="00BF06FE" w:rsidRPr="002636CF">
        <w:t>a</w:t>
      </w:r>
      <w:r w:rsidRPr="002636CF">
        <w:t xml:space="preserve"> </w:t>
      </w:r>
      <w:r w:rsidR="00BF06FE" w:rsidRPr="002636CF">
        <w:t>Statuta Občine</w:t>
      </w:r>
      <w:r w:rsidRPr="002636CF">
        <w:t xml:space="preserve"> </w:t>
      </w:r>
      <w:r w:rsidR="00BF06FE" w:rsidRPr="002636CF">
        <w:t xml:space="preserve">Gornji Petrovci je občinski svet Občine Gornji Petrovci </w:t>
      </w:r>
      <w:r w:rsidRPr="002636CF">
        <w:t xml:space="preserve">na seji dne </w:t>
      </w:r>
      <w:r w:rsidR="00BF06FE" w:rsidRPr="002636CF">
        <w:t xml:space="preserve">  </w:t>
      </w:r>
      <w:r w:rsidRPr="002636CF">
        <w:t xml:space="preserve"> sprejel</w:t>
      </w:r>
    </w:p>
    <w:p w:rsidR="000F1152" w:rsidRDefault="000F1152" w:rsidP="00771E0A">
      <w:pPr>
        <w:jc w:val="left"/>
      </w:pPr>
    </w:p>
    <w:p w:rsidR="000F1152" w:rsidRPr="000F1152" w:rsidRDefault="00771E0A" w:rsidP="00771E0A">
      <w:pPr>
        <w:ind w:left="2832" w:firstLine="708"/>
        <w:jc w:val="left"/>
        <w:rPr>
          <w:b/>
        </w:rPr>
      </w:pPr>
      <w:r>
        <w:rPr>
          <w:b/>
        </w:rPr>
        <w:t xml:space="preserve">           </w:t>
      </w:r>
      <w:r w:rsidR="000F1152" w:rsidRPr="000F1152">
        <w:rPr>
          <w:b/>
        </w:rPr>
        <w:t>O D L O K</w:t>
      </w:r>
    </w:p>
    <w:p w:rsidR="000F1152" w:rsidRDefault="00771E0A" w:rsidP="00771E0A">
      <w:pPr>
        <w:ind w:left="1416"/>
        <w:jc w:val="left"/>
        <w:rPr>
          <w:b/>
        </w:rPr>
      </w:pPr>
      <w:r>
        <w:rPr>
          <w:b/>
        </w:rPr>
        <w:t xml:space="preserve">    </w:t>
      </w:r>
      <w:r w:rsidR="000F1152" w:rsidRPr="000F1152">
        <w:rPr>
          <w:b/>
        </w:rPr>
        <w:t>O ENKRATNI ZIMSKI DENARNI POMOČI V OBČINI GORNJI PETROVCI</w:t>
      </w:r>
    </w:p>
    <w:p w:rsidR="000F1152" w:rsidRDefault="000F1152" w:rsidP="00771E0A">
      <w:pPr>
        <w:jc w:val="left"/>
        <w:rPr>
          <w:b/>
        </w:rPr>
      </w:pPr>
    </w:p>
    <w:p w:rsidR="000F1152" w:rsidRPr="00771E0A" w:rsidRDefault="000F1152" w:rsidP="00771E0A">
      <w:pPr>
        <w:pStyle w:val="Odstavekseznama"/>
        <w:numPr>
          <w:ilvl w:val="0"/>
          <w:numId w:val="1"/>
        </w:numPr>
        <w:jc w:val="left"/>
      </w:pPr>
      <w:r w:rsidRPr="00771E0A">
        <w:t>člen</w:t>
      </w:r>
    </w:p>
    <w:p w:rsidR="000F1152" w:rsidRDefault="000F1152" w:rsidP="00771E0A">
      <w:pPr>
        <w:jc w:val="left"/>
      </w:pPr>
    </w:p>
    <w:p w:rsidR="000F1152" w:rsidRDefault="000F1152" w:rsidP="00771E0A">
      <w:pPr>
        <w:jc w:val="left"/>
      </w:pPr>
      <w:r>
        <w:t>S tem odlokom se določajo upravičenci</w:t>
      </w:r>
      <w:r w:rsidR="00967271">
        <w:t>, kriteriji za določitev enkratne zimske denarne pomoči in postopki dodeljevanja enkratne zimske denarne pomoči v Občini Gornji Petrovci.</w:t>
      </w:r>
    </w:p>
    <w:p w:rsidR="00967271" w:rsidRDefault="00967271" w:rsidP="00771E0A">
      <w:pPr>
        <w:jc w:val="left"/>
      </w:pPr>
    </w:p>
    <w:p w:rsidR="00967271" w:rsidRDefault="00BF06FE" w:rsidP="00771E0A">
      <w:pPr>
        <w:pStyle w:val="Odstavekseznama"/>
        <w:numPr>
          <w:ilvl w:val="0"/>
          <w:numId w:val="1"/>
        </w:numPr>
        <w:jc w:val="left"/>
      </w:pPr>
      <w:r>
        <w:t>č</w:t>
      </w:r>
      <w:r w:rsidR="00967271">
        <w:t>len</w:t>
      </w:r>
    </w:p>
    <w:p w:rsidR="00967271" w:rsidRPr="00BF06FE" w:rsidRDefault="00967271" w:rsidP="00771E0A"/>
    <w:p w:rsidR="00967271" w:rsidRPr="00BF06FE" w:rsidRDefault="00967271" w:rsidP="00771E0A">
      <w:bookmarkStart w:id="0" w:name="_GoBack"/>
      <w:r w:rsidRPr="00BF06FE">
        <w:t>Upravičenci do denarne pomoči so osebe, ki so brez lastnega dohodka in osebe, ki z lastnim dohodkom do 30 % presegajo minimalni dohodek za posameznega družinskega člana po zakonodaji, ki ureja socialno varstvo in imajo stalno prebivališče v Občini Gornji Petrovci.</w:t>
      </w:r>
    </w:p>
    <w:bookmarkEnd w:id="0"/>
    <w:p w:rsidR="00967271" w:rsidRPr="00BF06FE" w:rsidRDefault="00967271" w:rsidP="00771E0A">
      <w:pPr>
        <w:jc w:val="left"/>
      </w:pPr>
    </w:p>
    <w:p w:rsidR="00967271" w:rsidRPr="00BF06FE" w:rsidRDefault="00BF06FE" w:rsidP="00771E0A">
      <w:pPr>
        <w:pStyle w:val="Odstavekseznama"/>
        <w:numPr>
          <w:ilvl w:val="0"/>
          <w:numId w:val="1"/>
        </w:numPr>
        <w:jc w:val="left"/>
      </w:pPr>
      <w:r w:rsidRPr="00BF06FE">
        <w:t>č</w:t>
      </w:r>
      <w:r w:rsidR="00967271" w:rsidRPr="00BF06FE">
        <w:t>len</w:t>
      </w:r>
    </w:p>
    <w:p w:rsidR="00967271" w:rsidRPr="00BF06FE" w:rsidRDefault="00967271" w:rsidP="00771E0A">
      <w:pPr>
        <w:jc w:val="left"/>
      </w:pPr>
    </w:p>
    <w:p w:rsidR="00967271" w:rsidRPr="00BF06FE" w:rsidRDefault="00967271" w:rsidP="00771E0A">
      <w:pPr>
        <w:jc w:val="left"/>
      </w:pPr>
      <w:r w:rsidRPr="00BF06FE">
        <w:t>Enkratna zimska denarna pomoč se dodeli enkrat letno.</w:t>
      </w:r>
    </w:p>
    <w:p w:rsidR="00967271" w:rsidRPr="00BF06FE" w:rsidRDefault="00967271" w:rsidP="00771E0A">
      <w:pPr>
        <w:jc w:val="left"/>
      </w:pPr>
    </w:p>
    <w:p w:rsidR="00967271" w:rsidRPr="00BF06FE" w:rsidRDefault="00BF06FE" w:rsidP="00771E0A">
      <w:pPr>
        <w:pStyle w:val="Odstavekseznama"/>
        <w:numPr>
          <w:ilvl w:val="0"/>
          <w:numId w:val="1"/>
        </w:numPr>
        <w:jc w:val="left"/>
      </w:pPr>
      <w:r w:rsidRPr="00BF06FE">
        <w:t>č</w:t>
      </w:r>
      <w:r w:rsidR="00967271" w:rsidRPr="00BF06FE">
        <w:t>len</w:t>
      </w:r>
    </w:p>
    <w:p w:rsidR="00967271" w:rsidRPr="00BF06FE" w:rsidRDefault="00967271" w:rsidP="00771E0A">
      <w:pPr>
        <w:jc w:val="left"/>
      </w:pPr>
    </w:p>
    <w:p w:rsidR="00967271" w:rsidRPr="00BF06FE" w:rsidRDefault="00967271" w:rsidP="00771E0A">
      <w:pPr>
        <w:jc w:val="left"/>
      </w:pPr>
      <w:r w:rsidRPr="00BF06FE">
        <w:t>Enkratna zimska denarna pomoč se dodeli za nakup prehrambnih izdelkov.</w:t>
      </w:r>
    </w:p>
    <w:p w:rsidR="00967271" w:rsidRPr="00BF06FE" w:rsidRDefault="00967271" w:rsidP="00771E0A">
      <w:pPr>
        <w:jc w:val="left"/>
      </w:pPr>
    </w:p>
    <w:p w:rsidR="00967271" w:rsidRPr="00BF06FE" w:rsidRDefault="00BF06FE" w:rsidP="00771E0A">
      <w:pPr>
        <w:pStyle w:val="Odstavekseznama"/>
        <w:numPr>
          <w:ilvl w:val="0"/>
          <w:numId w:val="1"/>
        </w:numPr>
        <w:jc w:val="left"/>
      </w:pPr>
      <w:r w:rsidRPr="00BF06FE">
        <w:t>č</w:t>
      </w:r>
      <w:r w:rsidR="00967271" w:rsidRPr="00BF06FE">
        <w:t>len</w:t>
      </w:r>
    </w:p>
    <w:p w:rsidR="00967271" w:rsidRPr="00BF06FE" w:rsidRDefault="00967271" w:rsidP="00771E0A"/>
    <w:p w:rsidR="00967271" w:rsidRPr="00BF06FE" w:rsidRDefault="005A3177" w:rsidP="00771E0A">
      <w:r w:rsidRPr="00BF06FE">
        <w:t>Enoten z</w:t>
      </w:r>
      <w:r w:rsidR="00967271" w:rsidRPr="00BF06FE">
        <w:t>nesek enkratne zimske denarne pomoči iz 1., 2., 3. in 4. člena tega odloka znaša 20</w:t>
      </w:r>
      <w:r w:rsidR="00BF06FE" w:rsidRPr="00BF06FE">
        <w:t>,00 EUR</w:t>
      </w:r>
      <w:r w:rsidR="00967271" w:rsidRPr="00BF06FE">
        <w:t>.</w:t>
      </w:r>
    </w:p>
    <w:p w:rsidR="00967271" w:rsidRPr="00BF06FE" w:rsidRDefault="00967271" w:rsidP="00771E0A">
      <w:r w:rsidRPr="00BF06FE">
        <w:t xml:space="preserve">Enkratna </w:t>
      </w:r>
      <w:r w:rsidR="00DA1A7E" w:rsidRPr="00BF06FE">
        <w:t>zimska denarna pomoč se izplača neposredno upravičencu, razen v primeru, ko strokovna služba Centra za socialno delo oceni, da pomoč ne bi bila namensko uporabljena.</w:t>
      </w:r>
    </w:p>
    <w:p w:rsidR="00DA1A7E" w:rsidRPr="00BF06FE" w:rsidRDefault="00DA1A7E" w:rsidP="00771E0A">
      <w:pPr>
        <w:jc w:val="left"/>
      </w:pPr>
    </w:p>
    <w:p w:rsidR="00DA1A7E" w:rsidRDefault="00BF06FE" w:rsidP="00771E0A">
      <w:pPr>
        <w:pStyle w:val="Odstavekseznama"/>
        <w:numPr>
          <w:ilvl w:val="0"/>
          <w:numId w:val="1"/>
        </w:numPr>
        <w:jc w:val="left"/>
      </w:pPr>
      <w:r>
        <w:t>č</w:t>
      </w:r>
      <w:r w:rsidR="00DA1A7E">
        <w:t>len</w:t>
      </w:r>
    </w:p>
    <w:p w:rsidR="00DA1A7E" w:rsidRDefault="00DA1A7E" w:rsidP="00771E0A">
      <w:pPr>
        <w:jc w:val="left"/>
      </w:pPr>
    </w:p>
    <w:p w:rsidR="00DA1A7E" w:rsidRDefault="00DA1A7E" w:rsidP="00771E0A">
      <w:r>
        <w:t>Enkratna zimska denarna pomoč se lahko upravičencu dodeli v nižjem znesku, kot bi mu pripadala po tem odloku ali se mu ne dodeli, če se ugotovi, da kljub izkazanemu nizkemu dohodku ni ogrožena socialna varnost upravičenca in družinskih članov.</w:t>
      </w:r>
    </w:p>
    <w:p w:rsidR="00DA1A7E" w:rsidRDefault="00DA1A7E" w:rsidP="00771E0A">
      <w:r>
        <w:t>Center za socialno delo lahko o upravičenosti do enkratne zimske denarne pomoči posamezniku in družini uporabi prosto presojo glede dodelitve ali zavrnitve upravičenosti do pomoči.</w:t>
      </w:r>
    </w:p>
    <w:p w:rsidR="00DA1A7E" w:rsidRDefault="00DA1A7E" w:rsidP="00771E0A">
      <w:pPr>
        <w:jc w:val="left"/>
      </w:pPr>
    </w:p>
    <w:p w:rsidR="00DA1A7E" w:rsidRDefault="00BF06FE" w:rsidP="00771E0A">
      <w:pPr>
        <w:pStyle w:val="Odstavekseznama"/>
        <w:numPr>
          <w:ilvl w:val="0"/>
          <w:numId w:val="1"/>
        </w:numPr>
        <w:jc w:val="left"/>
      </w:pPr>
      <w:r>
        <w:t>č</w:t>
      </w:r>
      <w:r w:rsidR="00DA1A7E">
        <w:t>len</w:t>
      </w:r>
    </w:p>
    <w:p w:rsidR="00DA1A7E" w:rsidRDefault="00DA1A7E" w:rsidP="00771E0A"/>
    <w:p w:rsidR="00DA1A7E" w:rsidRDefault="00DA1A7E" w:rsidP="00771E0A">
      <w:r>
        <w:t>Postopke o enkratnih zimskih denarnih pomočeh, na podlagi pogodbe, ki jo sklene z Občino Gornji Petrovci, vodi in o njih odloča Center za socialno delo Murska Sobota.</w:t>
      </w:r>
    </w:p>
    <w:p w:rsidR="00DA1A7E" w:rsidRDefault="00DA1A7E" w:rsidP="00771E0A"/>
    <w:p w:rsidR="00DA1A7E" w:rsidRDefault="00DA1A7E" w:rsidP="00771E0A">
      <w:r>
        <w:t xml:space="preserve">Občani vlagajo zahtevke za dodelitev enkratnih zimskih denarnih pomoči na obrazcu </w:t>
      </w:r>
      <w:r w:rsidR="004210C2">
        <w:t>'' Vloga za dodelitev enkratne zimske denarne pomoči '' pri Centru za socialno delo Murska Sobota.</w:t>
      </w:r>
    </w:p>
    <w:p w:rsidR="004210C2" w:rsidRDefault="004210C2" w:rsidP="00771E0A">
      <w:pPr>
        <w:jc w:val="left"/>
      </w:pPr>
    </w:p>
    <w:p w:rsidR="004210C2" w:rsidRDefault="004210C2" w:rsidP="00771E0A">
      <w:r>
        <w:lastRenderedPageBreak/>
        <w:t>Vlogi so dolžni</w:t>
      </w:r>
      <w:r w:rsidR="00771E0A">
        <w:t xml:space="preserve"> priložiti vas potrebna dokazila o izpolnjevanju pogojev v skladu z zakonodajo, ki ureja socialno varstvo in s tem odlokom.</w:t>
      </w:r>
    </w:p>
    <w:p w:rsidR="00771E0A" w:rsidRDefault="00771E0A" w:rsidP="00771E0A"/>
    <w:p w:rsidR="00771E0A" w:rsidRDefault="00771E0A" w:rsidP="00771E0A">
      <w:r>
        <w:t>Center za socialno delo Murska Sobota preveri podatke iz vloge in dokazil in v roku trideset dni od vložitve zahtevka odloči o upravičenosti do enkratne zimske denarne pomoči z odločbo.</w:t>
      </w:r>
    </w:p>
    <w:p w:rsidR="00771E0A" w:rsidRDefault="00771E0A" w:rsidP="00771E0A"/>
    <w:p w:rsidR="00771E0A" w:rsidRDefault="00771E0A" w:rsidP="00771E0A">
      <w:r>
        <w:t>Zoper odločbo Centra za socialno delo je možna pritožba, ki jo občan vloži v roku petnajst dni po prejemu odločbe na naslov Občina Gornji Petrovci, Gornji Petrovci 31/d, 9203 Petrovci.</w:t>
      </w:r>
    </w:p>
    <w:p w:rsidR="00771E0A" w:rsidRDefault="00771E0A" w:rsidP="00771E0A"/>
    <w:p w:rsidR="00771E0A" w:rsidRDefault="00771E0A" w:rsidP="00771E0A">
      <w:r>
        <w:t>O pritožbi zoper odločbo Centra za socialno delo Murska Sobota  odloča župan Občine Gornji Petrovci.</w:t>
      </w:r>
    </w:p>
    <w:p w:rsidR="00771E0A" w:rsidRDefault="00771E0A" w:rsidP="00771E0A">
      <w:pPr>
        <w:jc w:val="left"/>
      </w:pPr>
    </w:p>
    <w:p w:rsidR="00771E0A" w:rsidRDefault="00771E0A" w:rsidP="00771E0A">
      <w:pPr>
        <w:jc w:val="left"/>
      </w:pPr>
    </w:p>
    <w:p w:rsidR="00771E0A" w:rsidRDefault="00BF06FE" w:rsidP="00BF06FE">
      <w:pPr>
        <w:pStyle w:val="Odstavekseznama"/>
        <w:numPr>
          <w:ilvl w:val="0"/>
          <w:numId w:val="1"/>
        </w:numPr>
        <w:jc w:val="left"/>
      </w:pPr>
      <w:r>
        <w:t>č</w:t>
      </w:r>
      <w:r w:rsidR="00771E0A">
        <w:t>len</w:t>
      </w:r>
    </w:p>
    <w:p w:rsidR="00771E0A" w:rsidRPr="008304E5" w:rsidRDefault="00771E0A" w:rsidP="00771E0A">
      <w:pPr>
        <w:jc w:val="left"/>
        <w:rPr>
          <w:b/>
        </w:rPr>
      </w:pPr>
    </w:p>
    <w:p w:rsidR="00771E0A" w:rsidRPr="00BF06FE" w:rsidRDefault="00771E0A" w:rsidP="00771E0A">
      <w:pPr>
        <w:jc w:val="left"/>
      </w:pPr>
      <w:r>
        <w:t xml:space="preserve">Ta odlok začne veljati  osmi dan po objavi v Uradnem listu Republike Slovenije in se uporablja od </w:t>
      </w:r>
      <w:r w:rsidR="00BF06FE" w:rsidRPr="00BF06FE">
        <w:t>01</w:t>
      </w:r>
      <w:r w:rsidRPr="00BF06FE">
        <w:t>.</w:t>
      </w:r>
      <w:r w:rsidR="00BF06FE" w:rsidRPr="00BF06FE">
        <w:t>11</w:t>
      </w:r>
      <w:r w:rsidRPr="00BF06FE">
        <w:t>.2015 dalje</w:t>
      </w:r>
      <w:r w:rsidR="00BF06FE">
        <w:t>.</w:t>
      </w:r>
    </w:p>
    <w:p w:rsidR="00771E0A" w:rsidRDefault="00771E0A" w:rsidP="00771E0A"/>
    <w:p w:rsidR="00771E0A" w:rsidRDefault="00771E0A" w:rsidP="00771E0A"/>
    <w:p w:rsidR="00771E0A" w:rsidRDefault="00771E0A" w:rsidP="00771E0A">
      <w:r>
        <w:t xml:space="preserve">Št.: </w:t>
      </w:r>
    </w:p>
    <w:p w:rsidR="00771E0A" w:rsidRDefault="00771E0A" w:rsidP="00771E0A"/>
    <w:p w:rsidR="00771E0A" w:rsidRDefault="00771E0A" w:rsidP="00771E0A"/>
    <w:p w:rsidR="00771E0A" w:rsidRPr="008304E5" w:rsidRDefault="00771E0A" w:rsidP="00771E0A">
      <w:pPr>
        <w:rPr>
          <w:b/>
        </w:rPr>
      </w:pPr>
    </w:p>
    <w:p w:rsidR="00771E0A" w:rsidRPr="00BF06FE" w:rsidRDefault="00771E0A" w:rsidP="00771E0A">
      <w:r w:rsidRPr="00BF06FE">
        <w:t xml:space="preserve">Gornji Petrovci, dne </w:t>
      </w:r>
      <w:r w:rsidR="00BF06FE">
        <w:t xml:space="preserve">    </w:t>
      </w:r>
      <w:r w:rsidRPr="00BF06FE">
        <w:t>2015</w:t>
      </w:r>
    </w:p>
    <w:p w:rsidR="00771E0A" w:rsidRDefault="00771E0A" w:rsidP="00771E0A"/>
    <w:p w:rsidR="00771E0A" w:rsidRDefault="00771E0A" w:rsidP="00771E0A"/>
    <w:p w:rsidR="00771E0A" w:rsidRPr="00BF06FE" w:rsidRDefault="00771E0A" w:rsidP="00771E0A">
      <w:pPr>
        <w:rPr>
          <w:b/>
        </w:rPr>
      </w:pPr>
      <w:r>
        <w:tab/>
      </w:r>
      <w:r>
        <w:tab/>
        <w:t xml:space="preserve">   </w:t>
      </w:r>
      <w:r>
        <w:tab/>
      </w:r>
      <w:r>
        <w:tab/>
      </w:r>
      <w:r w:rsidR="00BF06FE">
        <w:tab/>
      </w:r>
      <w:r w:rsidR="00BF06FE">
        <w:tab/>
      </w:r>
      <w:r w:rsidR="00BF06FE">
        <w:tab/>
        <w:t xml:space="preserve">  </w:t>
      </w:r>
      <w:r w:rsidRPr="00BF06FE">
        <w:rPr>
          <w:b/>
        </w:rPr>
        <w:t>Župan občine Gornji Petrovci</w:t>
      </w:r>
    </w:p>
    <w:p w:rsidR="00771E0A" w:rsidRPr="00BF06FE" w:rsidRDefault="00771E0A" w:rsidP="00771E0A">
      <w:pPr>
        <w:rPr>
          <w:b/>
        </w:rPr>
      </w:pPr>
      <w:r w:rsidRPr="00BF06FE">
        <w:rPr>
          <w:b/>
        </w:rPr>
        <w:tab/>
      </w:r>
      <w:r w:rsidRPr="00BF06FE">
        <w:rPr>
          <w:b/>
        </w:rPr>
        <w:tab/>
      </w:r>
      <w:r w:rsidRPr="00BF06FE">
        <w:rPr>
          <w:b/>
        </w:rPr>
        <w:tab/>
      </w:r>
      <w:r w:rsidRPr="00BF06FE">
        <w:rPr>
          <w:b/>
        </w:rPr>
        <w:tab/>
      </w:r>
      <w:r w:rsidRPr="00BF06FE">
        <w:rPr>
          <w:b/>
        </w:rPr>
        <w:tab/>
      </w:r>
      <w:r w:rsidR="00BF06FE" w:rsidRPr="00BF06FE">
        <w:rPr>
          <w:b/>
        </w:rPr>
        <w:tab/>
      </w:r>
      <w:r w:rsidR="00BF06FE" w:rsidRPr="00BF06FE">
        <w:rPr>
          <w:b/>
        </w:rPr>
        <w:tab/>
      </w:r>
      <w:r w:rsidR="00BF06FE" w:rsidRPr="00BF06FE">
        <w:rPr>
          <w:b/>
        </w:rPr>
        <w:tab/>
      </w:r>
      <w:r w:rsidRPr="00BF06FE">
        <w:rPr>
          <w:b/>
        </w:rPr>
        <w:t>Franc Šliht</w:t>
      </w:r>
      <w:r w:rsidR="00B776F8" w:rsidRPr="00BF06FE">
        <w:rPr>
          <w:b/>
        </w:rPr>
        <w:t>huber</w:t>
      </w:r>
    </w:p>
    <w:sectPr w:rsidR="00771E0A" w:rsidRPr="00BF0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237A1"/>
    <w:multiLevelType w:val="hybridMultilevel"/>
    <w:tmpl w:val="7346DC9A"/>
    <w:lvl w:ilvl="0" w:tplc="FAECDE72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325" w:hanging="360"/>
      </w:pPr>
    </w:lvl>
    <w:lvl w:ilvl="2" w:tplc="0424001B" w:tentative="1">
      <w:start w:val="1"/>
      <w:numFmt w:val="lowerRoman"/>
      <w:lvlText w:val="%3."/>
      <w:lvlJc w:val="right"/>
      <w:pPr>
        <w:ind w:left="6045" w:hanging="180"/>
      </w:pPr>
    </w:lvl>
    <w:lvl w:ilvl="3" w:tplc="0424000F" w:tentative="1">
      <w:start w:val="1"/>
      <w:numFmt w:val="decimal"/>
      <w:lvlText w:val="%4."/>
      <w:lvlJc w:val="left"/>
      <w:pPr>
        <w:ind w:left="6765" w:hanging="360"/>
      </w:pPr>
    </w:lvl>
    <w:lvl w:ilvl="4" w:tplc="04240019" w:tentative="1">
      <w:start w:val="1"/>
      <w:numFmt w:val="lowerLetter"/>
      <w:lvlText w:val="%5."/>
      <w:lvlJc w:val="left"/>
      <w:pPr>
        <w:ind w:left="7485" w:hanging="360"/>
      </w:pPr>
    </w:lvl>
    <w:lvl w:ilvl="5" w:tplc="0424001B" w:tentative="1">
      <w:start w:val="1"/>
      <w:numFmt w:val="lowerRoman"/>
      <w:lvlText w:val="%6."/>
      <w:lvlJc w:val="right"/>
      <w:pPr>
        <w:ind w:left="8205" w:hanging="180"/>
      </w:pPr>
    </w:lvl>
    <w:lvl w:ilvl="6" w:tplc="0424000F" w:tentative="1">
      <w:start w:val="1"/>
      <w:numFmt w:val="decimal"/>
      <w:lvlText w:val="%7."/>
      <w:lvlJc w:val="left"/>
      <w:pPr>
        <w:ind w:left="8925" w:hanging="360"/>
      </w:pPr>
    </w:lvl>
    <w:lvl w:ilvl="7" w:tplc="04240019" w:tentative="1">
      <w:start w:val="1"/>
      <w:numFmt w:val="lowerLetter"/>
      <w:lvlText w:val="%8."/>
      <w:lvlJc w:val="left"/>
      <w:pPr>
        <w:ind w:left="9645" w:hanging="360"/>
      </w:pPr>
    </w:lvl>
    <w:lvl w:ilvl="8" w:tplc="0424001B" w:tentative="1">
      <w:start w:val="1"/>
      <w:numFmt w:val="lowerRoman"/>
      <w:lvlText w:val="%9."/>
      <w:lvlJc w:val="right"/>
      <w:pPr>
        <w:ind w:left="103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52"/>
    <w:rsid w:val="000B1CCA"/>
    <w:rsid w:val="000F1152"/>
    <w:rsid w:val="0019707A"/>
    <w:rsid w:val="002636CF"/>
    <w:rsid w:val="004210C2"/>
    <w:rsid w:val="005A3177"/>
    <w:rsid w:val="00615ADF"/>
    <w:rsid w:val="00771E0A"/>
    <w:rsid w:val="008304E5"/>
    <w:rsid w:val="00967271"/>
    <w:rsid w:val="00A646EB"/>
    <w:rsid w:val="00B776F8"/>
    <w:rsid w:val="00BF06FE"/>
    <w:rsid w:val="00DA1A7E"/>
    <w:rsid w:val="00E1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F115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76F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76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F115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76F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7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0-01-3350" TargetMode="External"/><Relationship Id="rId13" Type="http://schemas.openxmlformats.org/officeDocument/2006/relationships/hyperlink" Target="http://www.uradni-list.si/1/objava.jsp?sop=2013-01-0371" TargetMode="External"/><Relationship Id="rId18" Type="http://schemas.openxmlformats.org/officeDocument/2006/relationships/hyperlink" Target="http://www.uradni-list.si/1/objava.jsp?sop=2012-01-1700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uradni-list.si/1/objava.jsp?sop=2007-21-2284" TargetMode="External"/><Relationship Id="rId12" Type="http://schemas.openxmlformats.org/officeDocument/2006/relationships/hyperlink" Target="http://www.uradni-list.si/1/objava.jsp?sop=2011-01-1911" TargetMode="External"/><Relationship Id="rId17" Type="http://schemas.openxmlformats.org/officeDocument/2006/relationships/hyperlink" Target="http://www.uradni-list.si/1/objava.jsp?sop=2010-01-276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09-01-343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07-21-1207" TargetMode="External"/><Relationship Id="rId11" Type="http://schemas.openxmlformats.org/officeDocument/2006/relationships/hyperlink" Target="http://www.uradni-list.si/1/objava.jsp?sop=2010-01-33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08-01-3347" TargetMode="External"/><Relationship Id="rId10" Type="http://schemas.openxmlformats.org/officeDocument/2006/relationships/hyperlink" Target="http://www.uradni-list.si/1/objava.jsp?sop=2012-01-2404" TargetMode="External"/><Relationship Id="rId19" Type="http://schemas.openxmlformats.org/officeDocument/2006/relationships/hyperlink" Target="http://www.uradni-list.si/1/objava.jsp?sop=2015-01-05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0-01-3387" TargetMode="External"/><Relationship Id="rId14" Type="http://schemas.openxmlformats.org/officeDocument/2006/relationships/hyperlink" Target="http://www.uradni-list.si/1/objava.jsp?sop=2013-01-354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</dc:creator>
  <cp:lastModifiedBy>Biserka</cp:lastModifiedBy>
  <cp:revision>6</cp:revision>
  <cp:lastPrinted>2015-09-21T09:48:00Z</cp:lastPrinted>
  <dcterms:created xsi:type="dcterms:W3CDTF">2015-09-21T07:09:00Z</dcterms:created>
  <dcterms:modified xsi:type="dcterms:W3CDTF">2015-09-21T12:56:00Z</dcterms:modified>
</cp:coreProperties>
</file>