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5C209" w14:textId="77777777" w:rsidR="00DA32DC" w:rsidRDefault="00DA32DC" w:rsidP="0060223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highlight w:val="white"/>
        </w:rPr>
      </w:pPr>
      <w:bookmarkStart w:id="0" w:name="_GoBack"/>
      <w:bookmarkEnd w:id="0"/>
    </w:p>
    <w:p w14:paraId="18C970CE" w14:textId="4E70A1CC" w:rsidR="00941D44" w:rsidRDefault="00941D44" w:rsidP="0060223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highlight w:val="white"/>
        </w:rPr>
      </w:pPr>
      <w:r w:rsidRPr="00941D44">
        <w:rPr>
          <w:rFonts w:ascii="Verdana" w:hAnsi="Verdana" w:cs="Verdana"/>
          <w:sz w:val="20"/>
          <w:szCs w:val="20"/>
          <w:highlight w:val="white"/>
        </w:rPr>
        <w:t>Na podlagi 21. Zakona o lokalni samoupravi (</w:t>
      </w:r>
      <w:r w:rsidR="00863FBF">
        <w:rPr>
          <w:rFonts w:ascii="Verdana" w:hAnsi="Verdana" w:cs="Verdana"/>
          <w:sz w:val="20"/>
          <w:szCs w:val="20"/>
        </w:rPr>
        <w:t>U</w:t>
      </w:r>
      <w:r w:rsidR="00863FBF" w:rsidRPr="00863FBF">
        <w:rPr>
          <w:rFonts w:cs="Arial"/>
          <w:bCs/>
          <w:color w:val="000000" w:themeColor="text1"/>
          <w:shd w:val="clear" w:color="auto" w:fill="FFFFFF"/>
        </w:rPr>
        <w:t>radni list RS, št. </w:t>
      </w:r>
      <w:hyperlink r:id="rId6" w:tgtFrame="_blank" w:tooltip="Zakon o lokalni samoupravi (uradno prečiščeno besedilo)" w:history="1">
        <w:r w:rsidR="00863FBF" w:rsidRPr="00863FBF">
          <w:rPr>
            <w:rStyle w:val="Hiperpovezava"/>
            <w:rFonts w:cs="Arial"/>
            <w:bCs/>
            <w:color w:val="000000" w:themeColor="text1"/>
            <w:u w:val="none"/>
            <w:shd w:val="clear" w:color="auto" w:fill="FFFFFF"/>
          </w:rPr>
          <w:t>94/07</w:t>
        </w:r>
      </w:hyperlink>
      <w:r w:rsidR="00863FBF" w:rsidRPr="00863FBF">
        <w:rPr>
          <w:rFonts w:cs="Arial"/>
          <w:bCs/>
          <w:color w:val="000000" w:themeColor="text1"/>
          <w:shd w:val="clear" w:color="auto" w:fill="FFFFFF"/>
        </w:rPr>
        <w:t> – uradno prečiščeno besedilo, </w:t>
      </w:r>
      <w:hyperlink r:id="rId7" w:tgtFrame="_blank" w:tooltip="Zakon o dopolnitvi Zakona o lokalni samoupravi" w:history="1">
        <w:r w:rsidR="00863FBF" w:rsidRPr="00863FBF">
          <w:rPr>
            <w:rStyle w:val="Hiperpovezava"/>
            <w:rFonts w:cs="Arial"/>
            <w:bCs/>
            <w:color w:val="000000" w:themeColor="text1"/>
            <w:u w:val="none"/>
            <w:shd w:val="clear" w:color="auto" w:fill="FFFFFF"/>
          </w:rPr>
          <w:t>76/08</w:t>
        </w:r>
      </w:hyperlink>
      <w:r w:rsidR="00863FBF" w:rsidRPr="00863FBF">
        <w:rPr>
          <w:rFonts w:cs="Arial"/>
          <w:bCs/>
          <w:color w:val="000000" w:themeColor="text1"/>
          <w:shd w:val="clear" w:color="auto" w:fill="FFFFFF"/>
        </w:rPr>
        <w:t>, </w:t>
      </w:r>
      <w:hyperlink r:id="rId8" w:tgtFrame="_blank" w:tooltip="Zakon o spremembah in dopolnitvah Zakona o lokalni samoupravi" w:history="1">
        <w:r w:rsidR="00863FBF" w:rsidRPr="00863FBF">
          <w:rPr>
            <w:rStyle w:val="Hiperpovezava"/>
            <w:rFonts w:cs="Arial"/>
            <w:bCs/>
            <w:color w:val="000000" w:themeColor="text1"/>
            <w:u w:val="none"/>
            <w:shd w:val="clear" w:color="auto" w:fill="FFFFFF"/>
          </w:rPr>
          <w:t>79/09</w:t>
        </w:r>
      </w:hyperlink>
      <w:r w:rsidR="00863FBF" w:rsidRPr="00863FBF">
        <w:rPr>
          <w:rFonts w:cs="Arial"/>
          <w:bCs/>
          <w:color w:val="000000" w:themeColor="text1"/>
          <w:shd w:val="clear" w:color="auto" w:fill="FFFFFF"/>
        </w:rPr>
        <w:t>, </w:t>
      </w:r>
      <w:hyperlink r:id="rId9" w:tgtFrame="_blank" w:tooltip="Zakon o spremembah in dopolnitvah Zakona o lokalni samoupravi" w:history="1">
        <w:r w:rsidR="00863FBF" w:rsidRPr="00863FBF">
          <w:rPr>
            <w:rStyle w:val="Hiperpovezava"/>
            <w:rFonts w:cs="Arial"/>
            <w:bCs/>
            <w:color w:val="000000" w:themeColor="text1"/>
            <w:u w:val="none"/>
            <w:shd w:val="clear" w:color="auto" w:fill="FFFFFF"/>
          </w:rPr>
          <w:t>51/10</w:t>
        </w:r>
      </w:hyperlink>
      <w:r w:rsidR="00863FBF" w:rsidRPr="00863FBF">
        <w:rPr>
          <w:rFonts w:cs="Arial"/>
          <w:bCs/>
          <w:color w:val="000000" w:themeColor="text1"/>
          <w:shd w:val="clear" w:color="auto" w:fill="FFFFFF"/>
        </w:rPr>
        <w:t>, </w:t>
      </w:r>
      <w:hyperlink r:id="rId10" w:tgtFrame="_blank" w:tooltip="Zakon za uravnoteženje javnih financ" w:history="1">
        <w:r w:rsidR="00863FBF" w:rsidRPr="00863FBF">
          <w:rPr>
            <w:rStyle w:val="Hiperpovezava"/>
            <w:rFonts w:cs="Arial"/>
            <w:bCs/>
            <w:color w:val="000000" w:themeColor="text1"/>
            <w:u w:val="none"/>
            <w:shd w:val="clear" w:color="auto" w:fill="FFFFFF"/>
          </w:rPr>
          <w:t>40/12</w:t>
        </w:r>
      </w:hyperlink>
      <w:r w:rsidR="00863FBF" w:rsidRPr="00863FBF">
        <w:rPr>
          <w:rFonts w:cs="Arial"/>
          <w:bCs/>
          <w:color w:val="000000" w:themeColor="text1"/>
          <w:shd w:val="clear" w:color="auto" w:fill="FFFFFF"/>
        </w:rPr>
        <w:t> – ZUJF, </w:t>
      </w:r>
      <w:hyperlink r:id="rId11" w:tgtFrame="_blank" w:tooltip="Zakon o ukrepih za uravnoteženje javnih financ občin" w:history="1">
        <w:r w:rsidR="00863FBF" w:rsidRPr="00863FBF">
          <w:rPr>
            <w:rStyle w:val="Hiperpovezava"/>
            <w:rFonts w:cs="Arial"/>
            <w:bCs/>
            <w:color w:val="000000" w:themeColor="text1"/>
            <w:u w:val="none"/>
            <w:shd w:val="clear" w:color="auto" w:fill="FFFFFF"/>
          </w:rPr>
          <w:t>14/15</w:t>
        </w:r>
      </w:hyperlink>
      <w:r w:rsidR="00863FBF" w:rsidRPr="00863FBF">
        <w:rPr>
          <w:rFonts w:cs="Arial"/>
          <w:bCs/>
          <w:color w:val="000000" w:themeColor="text1"/>
          <w:shd w:val="clear" w:color="auto" w:fill="FFFFFF"/>
        </w:rPr>
        <w:t> – ZUUJFO, </w:t>
      </w:r>
      <w:hyperlink r:id="rId12" w:tgtFrame="_blank" w:tooltip="Zakon o stvarnem premoženju države in samoupravnih lokalnih skupnosti" w:history="1">
        <w:r w:rsidR="00863FBF" w:rsidRPr="00863FBF">
          <w:rPr>
            <w:rStyle w:val="Hiperpovezava"/>
            <w:rFonts w:cs="Arial"/>
            <w:bCs/>
            <w:color w:val="000000" w:themeColor="text1"/>
            <w:u w:val="none"/>
            <w:shd w:val="clear" w:color="auto" w:fill="FFFFFF"/>
          </w:rPr>
          <w:t>11/18</w:t>
        </w:r>
      </w:hyperlink>
      <w:r w:rsidR="00863FBF" w:rsidRPr="00863FBF">
        <w:rPr>
          <w:rFonts w:cs="Arial"/>
          <w:bCs/>
          <w:color w:val="000000" w:themeColor="text1"/>
          <w:shd w:val="clear" w:color="auto" w:fill="FFFFFF"/>
        </w:rPr>
        <w:t> – ZSPDSLS-1 in </w:t>
      </w:r>
      <w:hyperlink r:id="rId13" w:tgtFrame="_blank" w:tooltip="Zakon o spremembah in dopolnitvah Zakona o lokalni samoupravi" w:history="1">
        <w:r w:rsidR="00863FBF" w:rsidRPr="00863FBF">
          <w:rPr>
            <w:rStyle w:val="Hiperpovezava"/>
            <w:rFonts w:cs="Arial"/>
            <w:bCs/>
            <w:color w:val="000000" w:themeColor="text1"/>
            <w:u w:val="none"/>
            <w:shd w:val="clear" w:color="auto" w:fill="FFFFFF"/>
          </w:rPr>
          <w:t>30/18</w:t>
        </w:r>
      </w:hyperlink>
      <w:r w:rsidRPr="00941D44">
        <w:rPr>
          <w:rFonts w:ascii="Verdana" w:hAnsi="Verdana" w:cs="Verdana"/>
          <w:sz w:val="20"/>
          <w:szCs w:val="20"/>
          <w:highlight w:val="white"/>
        </w:rPr>
        <w:t xml:space="preserve">), 34. člena Zakona o pogrebni in pokopališki dejavnosti (Uradni list RS, </w:t>
      </w:r>
      <w:r w:rsidR="00B54B28">
        <w:rPr>
          <w:rFonts w:ascii="Verdana" w:hAnsi="Verdana" w:cs="Verdana"/>
          <w:sz w:val="20"/>
          <w:szCs w:val="20"/>
          <w:highlight w:val="white"/>
        </w:rPr>
        <w:t xml:space="preserve">št. </w:t>
      </w:r>
      <w:r w:rsidRPr="00941D44">
        <w:rPr>
          <w:rFonts w:ascii="Verdana" w:hAnsi="Verdana" w:cs="Verdana"/>
          <w:sz w:val="20"/>
          <w:szCs w:val="20"/>
          <w:highlight w:val="white"/>
        </w:rPr>
        <w:t>62/2016)</w:t>
      </w:r>
      <w:r w:rsidRPr="00941D44">
        <w:rPr>
          <w:rFonts w:ascii="Verdana" w:hAnsi="Verdana" w:cs="Verdana"/>
          <w:color w:val="444444"/>
          <w:sz w:val="20"/>
          <w:szCs w:val="20"/>
          <w:highlight w:val="white"/>
        </w:rPr>
        <w:t xml:space="preserve"> </w:t>
      </w:r>
      <w:r w:rsidRPr="00941D44">
        <w:rPr>
          <w:rFonts w:ascii="Verdana" w:hAnsi="Verdana" w:cs="Verdana"/>
          <w:sz w:val="20"/>
          <w:szCs w:val="20"/>
          <w:highlight w:val="white"/>
        </w:rPr>
        <w:t>in ___</w:t>
      </w:r>
      <w:r w:rsidRPr="00941D44">
        <w:rPr>
          <w:rFonts w:ascii="Verdana" w:hAnsi="Verdana" w:cs="Verdana"/>
          <w:color w:val="0000FF"/>
          <w:sz w:val="20"/>
          <w:szCs w:val="20"/>
          <w:highlight w:val="white"/>
          <w:u w:val="single"/>
        </w:rPr>
        <w:t xml:space="preserve"> </w:t>
      </w:r>
      <w:r w:rsidRPr="00941D44">
        <w:rPr>
          <w:rFonts w:ascii="Verdana" w:hAnsi="Verdana" w:cs="Verdana"/>
          <w:color w:val="0000FF"/>
          <w:sz w:val="20"/>
          <w:szCs w:val="20"/>
          <w:highlight w:val="white"/>
        </w:rPr>
        <w:t xml:space="preserve"> </w:t>
      </w:r>
      <w:r w:rsidRPr="00941D44">
        <w:rPr>
          <w:rFonts w:ascii="Verdana" w:hAnsi="Verdana" w:cs="Verdana"/>
          <w:color w:val="000000" w:themeColor="text1"/>
          <w:sz w:val="20"/>
          <w:szCs w:val="20"/>
          <w:highlight w:val="white"/>
        </w:rPr>
        <w:t xml:space="preserve">člena Statuta Občine </w:t>
      </w:r>
      <w:r w:rsidR="00CF0BE6">
        <w:rPr>
          <w:rFonts w:ascii="Verdana" w:hAnsi="Verdana" w:cs="Verdana"/>
          <w:color w:val="000000" w:themeColor="text1"/>
          <w:sz w:val="20"/>
          <w:szCs w:val="20"/>
          <w:highlight w:val="white"/>
        </w:rPr>
        <w:t>Črna na Koroškem</w:t>
      </w:r>
      <w:r w:rsidRPr="00265FF7">
        <w:rPr>
          <w:rFonts w:ascii="Verdana" w:hAnsi="Verdana" w:cs="Verdana"/>
          <w:color w:val="000000" w:themeColor="text1"/>
          <w:sz w:val="20"/>
          <w:szCs w:val="20"/>
          <w:highlight w:val="white"/>
        </w:rPr>
        <w:t xml:space="preserve"> </w:t>
      </w:r>
      <w:r w:rsidRPr="00941D44">
        <w:rPr>
          <w:rFonts w:ascii="Verdana" w:hAnsi="Verdana" w:cs="Verdana"/>
          <w:sz w:val="20"/>
          <w:szCs w:val="20"/>
          <w:highlight w:val="white"/>
        </w:rPr>
        <w:t xml:space="preserve">(Uradno glasilo slovenskih občin, št. </w:t>
      </w:r>
      <w:r w:rsidR="00863FBF">
        <w:rPr>
          <w:rFonts w:ascii="Verdana" w:hAnsi="Verdana" w:cs="Verdana"/>
          <w:sz w:val="20"/>
          <w:szCs w:val="20"/>
          <w:highlight w:val="white"/>
        </w:rPr>
        <w:t>12/17, 59/17</w:t>
      </w:r>
      <w:r w:rsidRPr="00941D44">
        <w:rPr>
          <w:rFonts w:ascii="Verdana" w:hAnsi="Verdana" w:cs="Verdana"/>
          <w:sz w:val="20"/>
          <w:szCs w:val="20"/>
          <w:highlight w:val="white"/>
        </w:rPr>
        <w:t xml:space="preserve">) </w:t>
      </w:r>
      <w:r w:rsidR="00CF0BE6">
        <w:rPr>
          <w:rFonts w:ascii="Verdana" w:hAnsi="Verdana" w:cs="Verdana"/>
          <w:sz w:val="20"/>
          <w:szCs w:val="20"/>
          <w:highlight w:val="white"/>
        </w:rPr>
        <w:t>je</w:t>
      </w:r>
      <w:r w:rsidRPr="00941D44">
        <w:rPr>
          <w:rFonts w:ascii="Verdana" w:hAnsi="Verdana" w:cs="Verdana"/>
          <w:sz w:val="20"/>
          <w:szCs w:val="20"/>
          <w:highlight w:val="white"/>
        </w:rPr>
        <w:t xml:space="preserve"> Občinski svet Občine </w:t>
      </w:r>
      <w:r w:rsidR="00602231">
        <w:rPr>
          <w:rFonts w:ascii="Verdana" w:hAnsi="Verdana" w:cs="Verdana"/>
          <w:sz w:val="20"/>
          <w:szCs w:val="20"/>
          <w:highlight w:val="white"/>
        </w:rPr>
        <w:t>Črna</w:t>
      </w:r>
      <w:r w:rsidRPr="00941D44">
        <w:rPr>
          <w:rFonts w:ascii="Verdana" w:hAnsi="Verdana" w:cs="Verdana"/>
          <w:sz w:val="20"/>
          <w:szCs w:val="20"/>
          <w:highlight w:val="white"/>
        </w:rPr>
        <w:t xml:space="preserve"> na Koroškem, na svoji ___ redni seji, dne ___ </w:t>
      </w:r>
      <w:r w:rsidR="00602231">
        <w:rPr>
          <w:rFonts w:ascii="Verdana" w:hAnsi="Verdana" w:cs="Verdana"/>
          <w:sz w:val="20"/>
          <w:szCs w:val="20"/>
          <w:highlight w:val="white"/>
        </w:rPr>
        <w:t>sprejel</w:t>
      </w:r>
    </w:p>
    <w:p w14:paraId="3562ECC4" w14:textId="77777777" w:rsidR="00CF0BE6" w:rsidRPr="00941D44" w:rsidRDefault="00CF0BE6" w:rsidP="0060223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highlight w:val="white"/>
        </w:rPr>
      </w:pPr>
    </w:p>
    <w:p w14:paraId="02F93AD3" w14:textId="77777777" w:rsidR="00941D44" w:rsidRPr="00941D44" w:rsidRDefault="00941D44" w:rsidP="00941D4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  <w:r w:rsidRPr="00941D44">
        <w:rPr>
          <w:rFonts w:ascii="Verdana" w:hAnsi="Verdana" w:cs="Verdana"/>
          <w:b/>
          <w:bCs/>
          <w:sz w:val="20"/>
          <w:szCs w:val="20"/>
        </w:rPr>
        <w:t>SKLEP</w:t>
      </w:r>
    </w:p>
    <w:p w14:paraId="2E5255AB" w14:textId="0481C82C" w:rsidR="00941D44" w:rsidRPr="00941D44" w:rsidRDefault="00941D44" w:rsidP="00941D4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  <w:r w:rsidRPr="00941D44">
        <w:rPr>
          <w:rFonts w:ascii="Verdana" w:hAnsi="Verdana" w:cs="Verdana"/>
          <w:b/>
          <w:bCs/>
          <w:sz w:val="20"/>
          <w:szCs w:val="20"/>
        </w:rPr>
        <w:t xml:space="preserve">O VIŠINI GROBNINE NA POKOPALIŠČIH </w:t>
      </w:r>
      <w:r w:rsidR="00602231">
        <w:rPr>
          <w:rFonts w:ascii="Verdana" w:hAnsi="Verdana" w:cs="Verdana"/>
          <w:b/>
          <w:bCs/>
          <w:sz w:val="20"/>
          <w:szCs w:val="20"/>
        </w:rPr>
        <w:t>ČRNA, KOPRIVNA IN JAVORJE</w:t>
      </w:r>
      <w:r w:rsidRPr="00941D44">
        <w:rPr>
          <w:rFonts w:ascii="Verdana" w:hAnsi="Verdana" w:cs="Verdana"/>
          <w:b/>
          <w:bCs/>
          <w:sz w:val="20"/>
          <w:szCs w:val="20"/>
        </w:rPr>
        <w:t xml:space="preserve"> V OBČINI </w:t>
      </w:r>
      <w:r w:rsidR="00DD3697">
        <w:rPr>
          <w:rFonts w:ascii="Verdana" w:hAnsi="Verdana" w:cs="Verdana"/>
          <w:b/>
          <w:bCs/>
          <w:sz w:val="20"/>
          <w:szCs w:val="20"/>
        </w:rPr>
        <w:t>ČRNA</w:t>
      </w:r>
      <w:r w:rsidRPr="00941D44">
        <w:rPr>
          <w:rFonts w:ascii="Verdana" w:hAnsi="Verdana" w:cs="Verdana"/>
          <w:b/>
          <w:bCs/>
          <w:sz w:val="20"/>
          <w:szCs w:val="20"/>
        </w:rPr>
        <w:t xml:space="preserve"> NA KOROŠKEM </w:t>
      </w:r>
      <w:r w:rsidR="00DA32DC">
        <w:rPr>
          <w:rFonts w:ascii="Verdana" w:hAnsi="Verdana" w:cs="Verdana"/>
          <w:b/>
          <w:bCs/>
          <w:sz w:val="20"/>
          <w:szCs w:val="20"/>
        </w:rPr>
        <w:t>ZA LETO 2019</w:t>
      </w:r>
    </w:p>
    <w:p w14:paraId="27AD50A0" w14:textId="77777777" w:rsidR="00941D44" w:rsidRPr="00941D44" w:rsidRDefault="00941D44" w:rsidP="00941D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highlight w:val="white"/>
        </w:rPr>
      </w:pPr>
    </w:p>
    <w:p w14:paraId="3EFAC9E4" w14:textId="77777777" w:rsidR="00941D44" w:rsidRPr="00941D44" w:rsidRDefault="00941D44" w:rsidP="00941D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  <w:highlight w:val="white"/>
        </w:rPr>
      </w:pPr>
      <w:r w:rsidRPr="00941D44">
        <w:rPr>
          <w:rFonts w:ascii="Verdana" w:hAnsi="Verdana" w:cs="Verdana"/>
          <w:b/>
          <w:bCs/>
          <w:sz w:val="20"/>
          <w:szCs w:val="20"/>
          <w:highlight w:val="white"/>
        </w:rPr>
        <w:t>1</w:t>
      </w:r>
      <w:r w:rsidRPr="00941D44">
        <w:rPr>
          <w:rFonts w:ascii="Verdana" w:hAnsi="Verdana" w:cs="Verdana"/>
          <w:b/>
          <w:bCs/>
          <w:sz w:val="20"/>
          <w:szCs w:val="20"/>
          <w:highlight w:val="white"/>
        </w:rPr>
        <w:tab/>
        <w:t xml:space="preserve"> Splošne določbe</w:t>
      </w:r>
    </w:p>
    <w:p w14:paraId="03AFF2DC" w14:textId="77777777" w:rsidR="00941D44" w:rsidRPr="00941D44" w:rsidRDefault="00941D44" w:rsidP="001F37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Verdana" w:hAnsi="Verdana" w:cs="Verdana"/>
          <w:b/>
          <w:bCs/>
          <w:color w:val="000000"/>
          <w:spacing w:val="15"/>
          <w:sz w:val="20"/>
          <w:szCs w:val="20"/>
        </w:rPr>
      </w:pPr>
      <w:r w:rsidRPr="00941D44">
        <w:rPr>
          <w:rFonts w:ascii="Verdana" w:hAnsi="Verdana" w:cs="Verdana"/>
          <w:b/>
          <w:bCs/>
          <w:color w:val="000000"/>
          <w:spacing w:val="15"/>
          <w:sz w:val="20"/>
          <w:szCs w:val="20"/>
        </w:rPr>
        <w:t>člen</w:t>
      </w:r>
    </w:p>
    <w:p w14:paraId="1004A0DD" w14:textId="77777777" w:rsidR="00941D44" w:rsidRPr="00941D44" w:rsidRDefault="00941D44" w:rsidP="001F37D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pacing w:val="15"/>
          <w:sz w:val="20"/>
          <w:szCs w:val="20"/>
        </w:rPr>
      </w:pPr>
      <w:r w:rsidRPr="00941D44">
        <w:rPr>
          <w:rFonts w:ascii="Verdana" w:hAnsi="Verdana" w:cs="Verdana"/>
          <w:b/>
          <w:bCs/>
          <w:color w:val="000000"/>
          <w:spacing w:val="15"/>
          <w:sz w:val="20"/>
          <w:szCs w:val="20"/>
        </w:rPr>
        <w:t>(uporaba izrazov)</w:t>
      </w:r>
    </w:p>
    <w:p w14:paraId="1C9C07F1" w14:textId="5B0401C3" w:rsidR="00941D44" w:rsidRPr="00941D44" w:rsidRDefault="00941D44" w:rsidP="00DE00E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highlight w:val="white"/>
        </w:rPr>
      </w:pPr>
      <w:r w:rsidRPr="00941D44">
        <w:rPr>
          <w:rFonts w:ascii="Verdana" w:hAnsi="Verdana" w:cs="Verdana"/>
          <w:sz w:val="20"/>
          <w:szCs w:val="20"/>
          <w:highlight w:val="white"/>
        </w:rPr>
        <w:t xml:space="preserve">V </w:t>
      </w:r>
      <w:r w:rsidR="00221D3B">
        <w:rPr>
          <w:rFonts w:ascii="Verdana" w:hAnsi="Verdana" w:cs="Verdana"/>
          <w:sz w:val="20"/>
          <w:szCs w:val="20"/>
          <w:highlight w:val="white"/>
        </w:rPr>
        <w:t>sklepu</w:t>
      </w:r>
      <w:r w:rsidRPr="00941D44">
        <w:rPr>
          <w:rFonts w:ascii="Verdana" w:hAnsi="Verdana" w:cs="Verdana"/>
          <w:sz w:val="20"/>
          <w:szCs w:val="20"/>
          <w:highlight w:val="white"/>
        </w:rPr>
        <w:t xml:space="preserve"> uporabljeni izrazi v slovnični obliki za moški spol se uporabljajo kot nevtralni za ženski in moški spol.</w:t>
      </w:r>
    </w:p>
    <w:p w14:paraId="720F086D" w14:textId="77777777" w:rsidR="00941D44" w:rsidRPr="00941D44" w:rsidRDefault="00941D44" w:rsidP="00941D44">
      <w:p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Verdana" w:hAnsi="Verdana" w:cs="Verdana"/>
          <w:b/>
          <w:bCs/>
          <w:color w:val="000000"/>
          <w:spacing w:val="15"/>
          <w:sz w:val="20"/>
          <w:szCs w:val="20"/>
        </w:rPr>
      </w:pPr>
      <w:r w:rsidRPr="00941D44">
        <w:rPr>
          <w:rFonts w:ascii="Verdana" w:hAnsi="Verdana" w:cs="Verdana"/>
          <w:b/>
          <w:bCs/>
          <w:color w:val="000000"/>
          <w:spacing w:val="15"/>
          <w:sz w:val="20"/>
          <w:szCs w:val="20"/>
        </w:rPr>
        <w:t>2.</w:t>
      </w:r>
      <w:r w:rsidRPr="00941D44">
        <w:rPr>
          <w:rFonts w:ascii="Verdana" w:hAnsi="Verdana" w:cs="Verdana"/>
          <w:b/>
          <w:bCs/>
          <w:color w:val="000000"/>
          <w:spacing w:val="15"/>
          <w:sz w:val="20"/>
          <w:szCs w:val="20"/>
        </w:rPr>
        <w:tab/>
        <w:t>člen</w:t>
      </w:r>
    </w:p>
    <w:p w14:paraId="45C3291F" w14:textId="77777777" w:rsidR="00941D44" w:rsidRPr="00941D44" w:rsidRDefault="00941D44" w:rsidP="00941D4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pacing w:val="15"/>
          <w:sz w:val="20"/>
          <w:szCs w:val="20"/>
        </w:rPr>
      </w:pPr>
      <w:r w:rsidRPr="00941D44">
        <w:rPr>
          <w:rFonts w:ascii="Verdana" w:hAnsi="Verdana" w:cs="Verdana"/>
          <w:b/>
          <w:bCs/>
          <w:color w:val="000000"/>
          <w:spacing w:val="15"/>
          <w:sz w:val="20"/>
          <w:szCs w:val="20"/>
        </w:rPr>
        <w:t>(vsebina sklepa)</w:t>
      </w:r>
    </w:p>
    <w:p w14:paraId="6B0D56E9" w14:textId="610C1BC6" w:rsidR="00941D44" w:rsidRPr="00941D44" w:rsidRDefault="00941D44" w:rsidP="00941D4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highlight w:val="white"/>
        </w:rPr>
      </w:pPr>
      <w:r w:rsidRPr="00941D44">
        <w:rPr>
          <w:rFonts w:ascii="Verdana" w:hAnsi="Verdana" w:cs="Verdana"/>
          <w:sz w:val="20"/>
          <w:szCs w:val="20"/>
          <w:highlight w:val="white"/>
        </w:rPr>
        <w:t xml:space="preserve">S tem sklepom Občina </w:t>
      </w:r>
      <w:r w:rsidR="00DD3697">
        <w:rPr>
          <w:rFonts w:ascii="Verdana" w:hAnsi="Verdana" w:cs="Verdana"/>
          <w:sz w:val="20"/>
          <w:szCs w:val="20"/>
          <w:highlight w:val="white"/>
        </w:rPr>
        <w:t>Črna</w:t>
      </w:r>
      <w:r w:rsidRPr="00941D44">
        <w:rPr>
          <w:rFonts w:ascii="Verdana" w:hAnsi="Verdana" w:cs="Verdana"/>
          <w:sz w:val="20"/>
          <w:szCs w:val="20"/>
          <w:highlight w:val="white"/>
        </w:rPr>
        <w:t xml:space="preserve"> na Koroškem  (v nadaljnjem besedilu: Občin</w:t>
      </w:r>
      <w:r w:rsidR="00DD3697">
        <w:rPr>
          <w:rFonts w:ascii="Verdana" w:hAnsi="Verdana" w:cs="Verdana"/>
          <w:sz w:val="20"/>
          <w:szCs w:val="20"/>
          <w:highlight w:val="white"/>
        </w:rPr>
        <w:t>a</w:t>
      </w:r>
      <w:r w:rsidRPr="00941D44">
        <w:rPr>
          <w:rFonts w:ascii="Verdana" w:hAnsi="Verdana" w:cs="Verdana"/>
          <w:sz w:val="20"/>
          <w:szCs w:val="20"/>
          <w:highlight w:val="white"/>
        </w:rPr>
        <w:t xml:space="preserve">) določi višino grobnine na pokopališčih </w:t>
      </w:r>
      <w:r w:rsidR="00DD3697">
        <w:rPr>
          <w:rFonts w:ascii="Verdana" w:hAnsi="Verdana" w:cs="Verdana"/>
          <w:sz w:val="20"/>
          <w:szCs w:val="20"/>
          <w:highlight w:val="white"/>
        </w:rPr>
        <w:t>Črna, Koprivna in Javorje</w:t>
      </w:r>
      <w:r w:rsidRPr="00941D44">
        <w:rPr>
          <w:rFonts w:ascii="Verdana" w:hAnsi="Verdana" w:cs="Verdana"/>
          <w:sz w:val="20"/>
          <w:szCs w:val="20"/>
          <w:highlight w:val="white"/>
        </w:rPr>
        <w:t xml:space="preserve"> (v nadaljnjem besedilu: pokopališča) v Občin</w:t>
      </w:r>
      <w:r w:rsidR="00767478">
        <w:rPr>
          <w:rFonts w:ascii="Verdana" w:hAnsi="Verdana" w:cs="Verdana"/>
          <w:sz w:val="20"/>
          <w:szCs w:val="20"/>
          <w:highlight w:val="white"/>
        </w:rPr>
        <w:t>i</w:t>
      </w:r>
      <w:r w:rsidRPr="00941D44">
        <w:rPr>
          <w:rFonts w:ascii="Verdana" w:hAnsi="Verdana" w:cs="Verdana"/>
          <w:sz w:val="20"/>
          <w:szCs w:val="20"/>
          <w:highlight w:val="white"/>
        </w:rPr>
        <w:t>.</w:t>
      </w:r>
    </w:p>
    <w:p w14:paraId="273C8AAF" w14:textId="77777777" w:rsidR="00941D44" w:rsidRPr="00941D44" w:rsidRDefault="00941D44" w:rsidP="00941D4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pacing w:val="15"/>
          <w:sz w:val="20"/>
          <w:szCs w:val="20"/>
        </w:rPr>
      </w:pPr>
    </w:p>
    <w:p w14:paraId="58A11C3C" w14:textId="77777777" w:rsidR="00941D44" w:rsidRPr="00497FF5" w:rsidRDefault="00941D44" w:rsidP="00B64D27">
      <w:pPr>
        <w:pStyle w:val="Brezrazmikov"/>
        <w:rPr>
          <w:rFonts w:ascii="Verdana" w:hAnsi="Verdana"/>
          <w:b/>
          <w:sz w:val="20"/>
          <w:szCs w:val="20"/>
        </w:rPr>
      </w:pPr>
      <w:r w:rsidRPr="00497FF5">
        <w:rPr>
          <w:rFonts w:ascii="Verdana" w:hAnsi="Verdana"/>
          <w:b/>
          <w:sz w:val="20"/>
          <w:szCs w:val="20"/>
        </w:rPr>
        <w:t>2</w:t>
      </w:r>
      <w:r w:rsidRPr="00497FF5">
        <w:rPr>
          <w:rFonts w:ascii="Verdana" w:hAnsi="Verdana"/>
          <w:b/>
          <w:sz w:val="20"/>
          <w:szCs w:val="20"/>
        </w:rPr>
        <w:tab/>
        <w:t>Grobnina</w:t>
      </w:r>
    </w:p>
    <w:p w14:paraId="37C520A2" w14:textId="77777777" w:rsidR="00941D44" w:rsidRPr="00941D44" w:rsidRDefault="00941D44" w:rsidP="00941D44">
      <w:p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Verdana" w:hAnsi="Verdana" w:cs="Verdana"/>
          <w:b/>
          <w:bCs/>
          <w:color w:val="000000"/>
          <w:spacing w:val="15"/>
          <w:sz w:val="20"/>
          <w:szCs w:val="20"/>
        </w:rPr>
      </w:pPr>
      <w:r w:rsidRPr="00941D44">
        <w:rPr>
          <w:rFonts w:ascii="Verdana" w:hAnsi="Verdana" w:cs="Verdana"/>
          <w:b/>
          <w:bCs/>
          <w:color w:val="000000"/>
          <w:spacing w:val="15"/>
          <w:sz w:val="20"/>
          <w:szCs w:val="20"/>
        </w:rPr>
        <w:t>3.</w:t>
      </w:r>
      <w:r w:rsidRPr="00941D44">
        <w:rPr>
          <w:rFonts w:ascii="Verdana" w:hAnsi="Verdana" w:cs="Verdana"/>
          <w:b/>
          <w:bCs/>
          <w:color w:val="000000"/>
          <w:spacing w:val="15"/>
          <w:sz w:val="20"/>
          <w:szCs w:val="20"/>
        </w:rPr>
        <w:tab/>
        <w:t>člen</w:t>
      </w:r>
    </w:p>
    <w:p w14:paraId="2081C3D7" w14:textId="77777777" w:rsidR="00941D44" w:rsidRPr="00941D44" w:rsidRDefault="00941D44" w:rsidP="00941D4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pacing w:val="15"/>
          <w:sz w:val="20"/>
          <w:szCs w:val="20"/>
        </w:rPr>
      </w:pPr>
      <w:r w:rsidRPr="00941D44">
        <w:rPr>
          <w:rFonts w:ascii="Verdana" w:hAnsi="Verdana" w:cs="Verdana"/>
          <w:b/>
          <w:bCs/>
          <w:color w:val="000000"/>
          <w:spacing w:val="15"/>
          <w:sz w:val="20"/>
          <w:szCs w:val="20"/>
        </w:rPr>
        <w:t>(višina grobnine)</w:t>
      </w:r>
    </w:p>
    <w:p w14:paraId="2D42D28B" w14:textId="77777777" w:rsidR="00941D44" w:rsidRDefault="00941D44" w:rsidP="00941D4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highlight w:val="white"/>
        </w:rPr>
      </w:pPr>
      <w:r w:rsidRPr="00941D44">
        <w:rPr>
          <w:rFonts w:ascii="Verdana" w:hAnsi="Verdana" w:cs="Verdana"/>
          <w:sz w:val="20"/>
          <w:szCs w:val="20"/>
          <w:highlight w:val="white"/>
        </w:rPr>
        <w:t>Višina grobnine za naslednje zvrsti grobov in prostorov za pokope na pokopališčih znašajo:</w:t>
      </w:r>
    </w:p>
    <w:p w14:paraId="78644996" w14:textId="77777777" w:rsidR="00221D3B" w:rsidRPr="00941D44" w:rsidRDefault="00221D3B" w:rsidP="00941D4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highlight w:val="white"/>
        </w:rPr>
      </w:pPr>
    </w:p>
    <w:tbl>
      <w:tblPr>
        <w:tblW w:w="64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4"/>
        <w:gridCol w:w="1610"/>
        <w:gridCol w:w="1171"/>
        <w:gridCol w:w="1440"/>
      </w:tblGrid>
      <w:tr w:rsidR="00221D3B" w:rsidRPr="00EE4416" w14:paraId="57BF11EF" w14:textId="77777777" w:rsidTr="00EB59BC">
        <w:trPr>
          <w:trHeight w:val="1020"/>
          <w:jc w:val="center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B2CAFA" w14:textId="77777777" w:rsidR="00221D3B" w:rsidRPr="00EE4416" w:rsidRDefault="00221D3B" w:rsidP="00901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41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GROBOVI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21B8F4" w14:textId="77777777" w:rsidR="00221D3B" w:rsidRPr="00EE4416" w:rsidRDefault="00221D3B" w:rsidP="00901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41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cena </w:t>
            </w:r>
            <w:r w:rsidRPr="00EE441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>brez DDV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C14434" w14:textId="77777777" w:rsidR="00221D3B" w:rsidRPr="00EE4416" w:rsidRDefault="00221D3B" w:rsidP="00901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41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DDV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625763" w14:textId="77777777" w:rsidR="00221D3B" w:rsidRPr="00EE4416" w:rsidRDefault="00221D3B" w:rsidP="00901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41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cena z DDV</w:t>
            </w:r>
          </w:p>
        </w:tc>
      </w:tr>
      <w:tr w:rsidR="00221D3B" w:rsidRPr="00EE4416" w14:paraId="0C7346A9" w14:textId="77777777" w:rsidTr="00EB59BC">
        <w:trPr>
          <w:trHeight w:val="300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1FD4AB" w14:textId="77777777" w:rsidR="00221D3B" w:rsidRPr="00EE4416" w:rsidRDefault="00221D3B" w:rsidP="00901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41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Družinski in žarni veliki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2E79FD" w14:textId="2A890D27" w:rsidR="00221D3B" w:rsidRPr="00DA32DC" w:rsidRDefault="00DA32DC" w:rsidP="009019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A32DC"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  <w:t>23,53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0ABEE6" w14:textId="77777777" w:rsidR="00221D3B" w:rsidRPr="00DA32DC" w:rsidRDefault="00221D3B" w:rsidP="009019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</w:rPr>
            </w:pPr>
            <w:r w:rsidRPr="00DA32DC">
              <w:rPr>
                <w:rFonts w:ascii="Verdana" w:eastAsia="Times New Roman" w:hAnsi="Verdana" w:cs="Tahoma"/>
                <w:sz w:val="20"/>
                <w:szCs w:val="20"/>
              </w:rPr>
              <w:t>22%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4A24D1" w14:textId="4F78D0F6" w:rsidR="00221D3B" w:rsidRPr="00DA32DC" w:rsidRDefault="00DA32DC" w:rsidP="009019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DA32DC">
              <w:rPr>
                <w:rFonts w:ascii="Verdana" w:eastAsia="Times New Roman" w:hAnsi="Verdana" w:cs="Times New Roman"/>
                <w:b/>
                <w:sz w:val="20"/>
                <w:szCs w:val="20"/>
              </w:rPr>
              <w:t>28,71</w:t>
            </w:r>
          </w:p>
        </w:tc>
      </w:tr>
      <w:tr w:rsidR="00221D3B" w:rsidRPr="00EE4416" w14:paraId="26D9F8DA" w14:textId="77777777" w:rsidTr="00EB59BC">
        <w:trPr>
          <w:trHeight w:val="300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6A87FA" w14:textId="77777777" w:rsidR="00221D3B" w:rsidRPr="00EE4416" w:rsidRDefault="00221D3B" w:rsidP="00901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41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Enojni in žarni mali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EF5FB5" w14:textId="510F086C" w:rsidR="00221D3B" w:rsidRPr="00DA32DC" w:rsidRDefault="00DA32DC" w:rsidP="009019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A32DC"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  <w:t>17,41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376D16" w14:textId="77777777" w:rsidR="00221D3B" w:rsidRPr="00DA32DC" w:rsidRDefault="00221D3B" w:rsidP="009019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A32DC">
              <w:rPr>
                <w:rFonts w:ascii="Verdana" w:eastAsia="Times New Roman" w:hAnsi="Verdana" w:cs="Tahoma"/>
                <w:sz w:val="20"/>
                <w:szCs w:val="20"/>
              </w:rPr>
              <w:t>22%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609FA9" w14:textId="7C3979F5" w:rsidR="00221D3B" w:rsidRPr="00DA32DC" w:rsidRDefault="00DA32DC" w:rsidP="009019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DA32DC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</w:rPr>
              <w:t>21,24</w:t>
            </w:r>
          </w:p>
        </w:tc>
      </w:tr>
      <w:tr w:rsidR="00221D3B" w:rsidRPr="00EE4416" w14:paraId="6C437ACA" w14:textId="77777777" w:rsidTr="00EB59BC">
        <w:trPr>
          <w:trHeight w:val="300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2C9099" w14:textId="77777777" w:rsidR="00221D3B" w:rsidRPr="00EE4416" w:rsidRDefault="00221D3B" w:rsidP="00901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41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Družinski+enojni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B40969" w14:textId="183F878F" w:rsidR="00221D3B" w:rsidRPr="00DA32DC" w:rsidRDefault="00DA32DC" w:rsidP="009019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A32DC"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  <w:t>40,94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D9D418" w14:textId="77777777" w:rsidR="00221D3B" w:rsidRPr="00DA32DC" w:rsidRDefault="00221D3B" w:rsidP="009019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A32DC">
              <w:rPr>
                <w:rFonts w:ascii="Verdana" w:eastAsia="Times New Roman" w:hAnsi="Verdana" w:cs="Tahoma"/>
                <w:sz w:val="20"/>
                <w:szCs w:val="20"/>
              </w:rPr>
              <w:t>22%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AA531E" w14:textId="6349BC21" w:rsidR="00221D3B" w:rsidRPr="00DA32DC" w:rsidRDefault="00DA32DC" w:rsidP="009019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DA32DC">
              <w:rPr>
                <w:rFonts w:ascii="Verdana" w:eastAsia="Times New Roman" w:hAnsi="Verdana" w:cs="Times New Roman"/>
                <w:b/>
                <w:sz w:val="20"/>
                <w:szCs w:val="20"/>
              </w:rPr>
              <w:t>49,95</w:t>
            </w:r>
          </w:p>
        </w:tc>
      </w:tr>
      <w:tr w:rsidR="00221D3B" w:rsidRPr="00EE4416" w14:paraId="3D072D31" w14:textId="77777777" w:rsidTr="00EB59BC">
        <w:trPr>
          <w:trHeight w:val="300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CA8FDD" w14:textId="77777777" w:rsidR="00221D3B" w:rsidRPr="00EE4416" w:rsidRDefault="00221D3B" w:rsidP="00901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41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2x družinski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FE147C" w14:textId="474C8BB0" w:rsidR="00221D3B" w:rsidRPr="00DA32DC" w:rsidRDefault="00DA32DC" w:rsidP="009019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A32DC"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  <w:t>47,06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64B4FB" w14:textId="77777777" w:rsidR="00221D3B" w:rsidRPr="00DA32DC" w:rsidRDefault="00221D3B" w:rsidP="009019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A32DC">
              <w:rPr>
                <w:rFonts w:ascii="Verdana" w:eastAsia="Times New Roman" w:hAnsi="Verdana" w:cs="Tahoma"/>
                <w:sz w:val="20"/>
                <w:szCs w:val="20"/>
              </w:rPr>
              <w:t>22%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7FFC85" w14:textId="6CCF7E63" w:rsidR="00221D3B" w:rsidRPr="00DA32DC" w:rsidRDefault="00DA32DC" w:rsidP="009019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DA32DC">
              <w:rPr>
                <w:rFonts w:ascii="Verdana" w:eastAsia="Times New Roman" w:hAnsi="Verdana" w:cs="Times New Roman"/>
                <w:b/>
                <w:sz w:val="20"/>
                <w:szCs w:val="20"/>
              </w:rPr>
              <w:t>57,41</w:t>
            </w:r>
          </w:p>
        </w:tc>
      </w:tr>
      <w:tr w:rsidR="00221D3B" w:rsidRPr="00EE4416" w14:paraId="0A6A56B1" w14:textId="77777777" w:rsidTr="00EB59BC">
        <w:trPr>
          <w:trHeight w:val="300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5D9774" w14:textId="77777777" w:rsidR="00221D3B" w:rsidRPr="00EE4416" w:rsidRDefault="00221D3B" w:rsidP="00901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41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2x enojni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881123" w14:textId="38370B04" w:rsidR="00221D3B" w:rsidRPr="00DA32DC" w:rsidRDefault="00DA32DC" w:rsidP="009019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A32DC"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  <w:t>34,82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0636F1" w14:textId="77777777" w:rsidR="00221D3B" w:rsidRPr="00DA32DC" w:rsidRDefault="00221D3B" w:rsidP="009019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A32DC">
              <w:rPr>
                <w:rFonts w:ascii="Verdana" w:eastAsia="Times New Roman" w:hAnsi="Verdana" w:cs="Tahoma"/>
                <w:sz w:val="20"/>
                <w:szCs w:val="20"/>
              </w:rPr>
              <w:t>22%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76A37A" w14:textId="32AE5CCA" w:rsidR="00221D3B" w:rsidRPr="00DA32DC" w:rsidRDefault="00DA32DC" w:rsidP="009019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DA32DC">
              <w:rPr>
                <w:rFonts w:ascii="Verdana" w:eastAsia="Times New Roman" w:hAnsi="Verdana" w:cs="Times New Roman"/>
                <w:b/>
                <w:sz w:val="20"/>
                <w:szCs w:val="20"/>
              </w:rPr>
              <w:t>42,47</w:t>
            </w:r>
          </w:p>
        </w:tc>
      </w:tr>
      <w:tr w:rsidR="00221D3B" w:rsidRPr="00EE4416" w14:paraId="48F9FC0D" w14:textId="77777777" w:rsidTr="00EB59BC">
        <w:trPr>
          <w:trHeight w:val="300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8C6FD6" w14:textId="7F40B2FA" w:rsidR="00221D3B" w:rsidRPr="00EE4416" w:rsidRDefault="00EB59BC" w:rsidP="00901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Grobnica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AB2CAD" w14:textId="182768CE" w:rsidR="00221D3B" w:rsidRPr="00DA32DC" w:rsidRDefault="00DA32DC" w:rsidP="009019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A32DC"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  <w:t>70,59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DDAAB6" w14:textId="77777777" w:rsidR="00221D3B" w:rsidRPr="00DA32DC" w:rsidRDefault="00221D3B" w:rsidP="009019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A32DC">
              <w:rPr>
                <w:rFonts w:ascii="Verdana" w:eastAsia="Times New Roman" w:hAnsi="Verdana" w:cs="Tahoma"/>
                <w:sz w:val="20"/>
                <w:szCs w:val="20"/>
              </w:rPr>
              <w:t>22%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EAD4FF" w14:textId="3AEC63E7" w:rsidR="00221D3B" w:rsidRPr="00DA32DC" w:rsidRDefault="00DA32DC" w:rsidP="009019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DA32DC">
              <w:rPr>
                <w:rFonts w:ascii="Verdana" w:eastAsia="Times New Roman" w:hAnsi="Verdana" w:cs="Times New Roman"/>
                <w:b/>
                <w:sz w:val="20"/>
                <w:szCs w:val="20"/>
              </w:rPr>
              <w:t>86,12</w:t>
            </w:r>
          </w:p>
        </w:tc>
      </w:tr>
      <w:tr w:rsidR="00221D3B" w:rsidRPr="00EE4416" w14:paraId="46A30E31" w14:textId="77777777" w:rsidTr="00EB59BC">
        <w:trPr>
          <w:trHeight w:val="315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474827" w14:textId="77777777" w:rsidR="00221D3B" w:rsidRPr="00EE4416" w:rsidRDefault="00221D3B" w:rsidP="00901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41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druž./2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A7DA4E" w14:textId="5E3039AD" w:rsidR="00221D3B" w:rsidRPr="00DA32DC" w:rsidRDefault="00DA32DC" w:rsidP="009019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A32DC"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  <w:t>11,77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6ECFE3" w14:textId="77777777" w:rsidR="00221D3B" w:rsidRPr="00DA32DC" w:rsidRDefault="00221D3B" w:rsidP="009019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A32DC">
              <w:rPr>
                <w:rFonts w:ascii="Verdana" w:eastAsia="Times New Roman" w:hAnsi="Verdana" w:cs="Tahoma"/>
                <w:sz w:val="20"/>
                <w:szCs w:val="20"/>
              </w:rPr>
              <w:t>22%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29DA29" w14:textId="2B1D01F6" w:rsidR="00221D3B" w:rsidRPr="00DA32DC" w:rsidRDefault="00DA32DC" w:rsidP="009019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DA32DC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</w:rPr>
              <w:t>14,36</w:t>
            </w:r>
          </w:p>
        </w:tc>
      </w:tr>
      <w:tr w:rsidR="00EB59BC" w:rsidRPr="00EE4416" w14:paraId="75FE1838" w14:textId="77777777" w:rsidTr="00EB59BC">
        <w:trPr>
          <w:trHeight w:val="315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B32829" w14:textId="2FF41847" w:rsidR="00EB59BC" w:rsidRPr="00EE4416" w:rsidRDefault="00EB59BC" w:rsidP="009019F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Raztros pepela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184C97" w14:textId="5C8BBD01" w:rsidR="00EB59BC" w:rsidRPr="00DA32DC" w:rsidRDefault="00DA32DC" w:rsidP="009019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 w:rsidRPr="00DA32DC"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  <w:t>5,23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3F1054" w14:textId="3432228F" w:rsidR="00EB59BC" w:rsidRPr="00DA32DC" w:rsidRDefault="00EB59BC" w:rsidP="009019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</w:rPr>
            </w:pPr>
            <w:r w:rsidRPr="00DA32DC">
              <w:rPr>
                <w:rFonts w:ascii="Verdana" w:eastAsia="Times New Roman" w:hAnsi="Verdana" w:cs="Tahoma"/>
                <w:sz w:val="20"/>
                <w:szCs w:val="20"/>
              </w:rPr>
              <w:t>22%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623E56" w14:textId="6DF598E9" w:rsidR="00EB59BC" w:rsidRPr="00DA32DC" w:rsidRDefault="00DA32DC" w:rsidP="009019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</w:rPr>
            </w:pPr>
            <w:r w:rsidRPr="00DA32DC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</w:rPr>
              <w:t>6,37</w:t>
            </w:r>
          </w:p>
        </w:tc>
      </w:tr>
      <w:tr w:rsidR="00EB59BC" w:rsidRPr="00EE4416" w14:paraId="424A3AAB" w14:textId="77777777" w:rsidTr="00EB59BC">
        <w:trPr>
          <w:trHeight w:val="315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358024" w14:textId="34B993C1" w:rsidR="00EB59BC" w:rsidRDefault="00EB59BC" w:rsidP="009019F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Bio žare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81A5F7" w14:textId="48D4CFF5" w:rsidR="00EB59BC" w:rsidRPr="00DA32DC" w:rsidRDefault="00DA32DC" w:rsidP="009019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 w:rsidRPr="00DA32DC"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  <w:t>8,71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C8DA1C" w14:textId="3EFD13A7" w:rsidR="00EB59BC" w:rsidRPr="00DA32DC" w:rsidRDefault="00EB59BC" w:rsidP="009019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</w:rPr>
            </w:pPr>
            <w:r w:rsidRPr="00DA32DC">
              <w:rPr>
                <w:rFonts w:ascii="Verdana" w:eastAsia="Times New Roman" w:hAnsi="Verdana" w:cs="Tahoma"/>
                <w:sz w:val="20"/>
                <w:szCs w:val="20"/>
              </w:rPr>
              <w:t>22%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6434CB" w14:textId="2D7AE239" w:rsidR="00EB59BC" w:rsidRPr="00DA32DC" w:rsidRDefault="00DA32DC" w:rsidP="00EB59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</w:rPr>
            </w:pPr>
            <w:r w:rsidRPr="00DA32DC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</w:rPr>
              <w:t>10,63</w:t>
            </w:r>
          </w:p>
        </w:tc>
      </w:tr>
    </w:tbl>
    <w:p w14:paraId="09180EC2" w14:textId="0E370AEA" w:rsidR="00941D44" w:rsidRPr="00941D44" w:rsidRDefault="00941D44" w:rsidP="00941D4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pacing w:val="15"/>
          <w:sz w:val="20"/>
          <w:szCs w:val="20"/>
        </w:rPr>
      </w:pPr>
    </w:p>
    <w:p w14:paraId="7AFAE3BE" w14:textId="77777777" w:rsidR="00941D44" w:rsidRPr="00941D44" w:rsidRDefault="00941D44" w:rsidP="00941D44">
      <w:p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Verdana" w:hAnsi="Verdana" w:cs="Verdana"/>
          <w:b/>
          <w:bCs/>
          <w:color w:val="000000"/>
          <w:spacing w:val="15"/>
          <w:sz w:val="20"/>
          <w:szCs w:val="20"/>
        </w:rPr>
      </w:pPr>
      <w:r w:rsidRPr="00941D44">
        <w:rPr>
          <w:rFonts w:ascii="Verdana" w:hAnsi="Verdana" w:cs="Verdana"/>
          <w:b/>
          <w:bCs/>
          <w:color w:val="000000"/>
          <w:spacing w:val="15"/>
          <w:sz w:val="20"/>
          <w:szCs w:val="20"/>
        </w:rPr>
        <w:t>4.</w:t>
      </w:r>
      <w:r w:rsidRPr="00941D44">
        <w:rPr>
          <w:rFonts w:ascii="Verdana" w:hAnsi="Verdana" w:cs="Verdana"/>
          <w:b/>
          <w:bCs/>
          <w:color w:val="000000"/>
          <w:spacing w:val="15"/>
          <w:sz w:val="20"/>
          <w:szCs w:val="20"/>
        </w:rPr>
        <w:tab/>
        <w:t>člen</w:t>
      </w:r>
    </w:p>
    <w:p w14:paraId="05FFE3DE" w14:textId="77777777" w:rsidR="00941D44" w:rsidRPr="00941D44" w:rsidRDefault="00941D44" w:rsidP="00941D4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pacing w:val="15"/>
          <w:sz w:val="20"/>
          <w:szCs w:val="20"/>
        </w:rPr>
      </w:pPr>
      <w:r w:rsidRPr="00941D44">
        <w:rPr>
          <w:rFonts w:ascii="Verdana" w:hAnsi="Verdana" w:cs="Verdana"/>
          <w:b/>
          <w:bCs/>
          <w:color w:val="000000"/>
          <w:spacing w:val="15"/>
          <w:sz w:val="20"/>
          <w:szCs w:val="20"/>
        </w:rPr>
        <w:t>(plačilo grobnine)</w:t>
      </w:r>
    </w:p>
    <w:p w14:paraId="44D5683B" w14:textId="77777777" w:rsidR="00941D44" w:rsidRPr="00941D44" w:rsidRDefault="00941D44" w:rsidP="00941D4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941D44">
        <w:rPr>
          <w:rFonts w:ascii="Verdana" w:hAnsi="Verdana" w:cs="Verdana"/>
          <w:sz w:val="20"/>
          <w:szCs w:val="20"/>
        </w:rPr>
        <w:t>(1) Grobnina se lahko plača za obdobje daljše od enega leta, a največ za deset let. Način plačila grobnine se določi s pogodbo o najemu groba.</w:t>
      </w:r>
    </w:p>
    <w:p w14:paraId="4A0C7C32" w14:textId="6B35F15E" w:rsidR="00941D44" w:rsidRPr="00941D44" w:rsidRDefault="00941D44" w:rsidP="00941D4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941D44">
        <w:rPr>
          <w:rFonts w:ascii="Verdana" w:hAnsi="Verdana" w:cs="Verdana"/>
          <w:sz w:val="20"/>
          <w:szCs w:val="20"/>
        </w:rPr>
        <w:t>(2) Ob prvem najemu groba se grobnina plača v sorazmernem delu do konca letnega obdobja</w:t>
      </w:r>
      <w:r w:rsidR="00805875">
        <w:rPr>
          <w:rFonts w:ascii="Verdana" w:hAnsi="Verdana" w:cs="Verdana"/>
          <w:sz w:val="20"/>
          <w:szCs w:val="20"/>
        </w:rPr>
        <w:t xml:space="preserve">, razen za </w:t>
      </w:r>
      <w:r w:rsidR="00767478">
        <w:rPr>
          <w:rFonts w:ascii="Verdana" w:hAnsi="Verdana" w:cs="Verdana"/>
          <w:sz w:val="20"/>
          <w:szCs w:val="20"/>
        </w:rPr>
        <w:t>prostor, ki je namenjen raztrosu pepela</w:t>
      </w:r>
      <w:r w:rsidR="009E6D6E">
        <w:rPr>
          <w:rFonts w:ascii="Verdana" w:hAnsi="Verdana" w:cs="Verdana"/>
          <w:sz w:val="20"/>
          <w:szCs w:val="20"/>
        </w:rPr>
        <w:t xml:space="preserve">, kjer se plača grobnina za dobo desetih let v enkratnem znesku ob </w:t>
      </w:r>
      <w:r w:rsidR="00017580">
        <w:rPr>
          <w:rFonts w:ascii="Verdana" w:hAnsi="Verdana" w:cs="Verdana"/>
          <w:sz w:val="20"/>
          <w:szCs w:val="20"/>
        </w:rPr>
        <w:t>pogrebu</w:t>
      </w:r>
      <w:r w:rsidRPr="00941D44">
        <w:rPr>
          <w:rFonts w:ascii="Verdana" w:hAnsi="Verdana" w:cs="Verdana"/>
          <w:sz w:val="20"/>
          <w:szCs w:val="20"/>
        </w:rPr>
        <w:t xml:space="preserve">. </w:t>
      </w:r>
    </w:p>
    <w:p w14:paraId="5C055F0E" w14:textId="77777777" w:rsidR="00941D44" w:rsidRPr="00941D44" w:rsidRDefault="00941D44" w:rsidP="00941D4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941D44">
        <w:rPr>
          <w:rFonts w:ascii="Verdana" w:hAnsi="Verdana" w:cs="Verdana"/>
          <w:sz w:val="20"/>
          <w:szCs w:val="20"/>
        </w:rPr>
        <w:lastRenderedPageBreak/>
        <w:t>(3) Če želi najemnik groba odstopiti od najemne pogodbe pred potekom mirovalne dobe, mora plačati grobnino do konca poteka mirovalne dobe.</w:t>
      </w:r>
    </w:p>
    <w:p w14:paraId="551C9492" w14:textId="77777777" w:rsidR="00941D44" w:rsidRDefault="00941D44" w:rsidP="00941D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3A67ECE3" w14:textId="77777777" w:rsidR="00221D3B" w:rsidRDefault="00221D3B" w:rsidP="00941D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3FF7A1CC" w14:textId="77777777" w:rsidR="00221D3B" w:rsidRPr="00941D44" w:rsidRDefault="00221D3B" w:rsidP="00941D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778F4A3C" w14:textId="77777777" w:rsidR="00941D44" w:rsidRPr="00941D44" w:rsidRDefault="00941D44" w:rsidP="00941D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  <w:highlight w:val="white"/>
        </w:rPr>
      </w:pPr>
      <w:r w:rsidRPr="00941D44">
        <w:rPr>
          <w:rFonts w:ascii="Verdana" w:hAnsi="Verdana" w:cs="Verdana"/>
          <w:b/>
          <w:bCs/>
          <w:sz w:val="20"/>
          <w:szCs w:val="20"/>
          <w:highlight w:val="white"/>
        </w:rPr>
        <w:t>3</w:t>
      </w:r>
      <w:r w:rsidRPr="00941D44">
        <w:rPr>
          <w:rFonts w:ascii="Verdana" w:hAnsi="Verdana" w:cs="Verdana"/>
          <w:b/>
          <w:bCs/>
          <w:sz w:val="20"/>
          <w:szCs w:val="20"/>
          <w:highlight w:val="white"/>
        </w:rPr>
        <w:tab/>
        <w:t>Prehodna in končna določba</w:t>
      </w:r>
    </w:p>
    <w:p w14:paraId="1DE1E129" w14:textId="291654AC" w:rsidR="00941D44" w:rsidRPr="00941D44" w:rsidRDefault="00863FBF" w:rsidP="00941D44">
      <w:p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Verdana" w:hAnsi="Verdana" w:cs="Verdana"/>
          <w:b/>
          <w:bCs/>
          <w:color w:val="000000"/>
          <w:spacing w:val="15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15"/>
          <w:sz w:val="20"/>
          <w:szCs w:val="20"/>
        </w:rPr>
        <w:t>5</w:t>
      </w:r>
      <w:r w:rsidR="00941D44" w:rsidRPr="00941D44">
        <w:rPr>
          <w:rFonts w:ascii="Verdana" w:hAnsi="Verdana" w:cs="Verdana"/>
          <w:b/>
          <w:bCs/>
          <w:color w:val="000000"/>
          <w:spacing w:val="15"/>
          <w:sz w:val="20"/>
          <w:szCs w:val="20"/>
        </w:rPr>
        <w:t>.</w:t>
      </w:r>
      <w:r w:rsidR="00941D44" w:rsidRPr="00941D44">
        <w:rPr>
          <w:rFonts w:ascii="Verdana" w:hAnsi="Verdana" w:cs="Verdana"/>
          <w:b/>
          <w:bCs/>
          <w:color w:val="000000"/>
          <w:spacing w:val="15"/>
          <w:sz w:val="20"/>
          <w:szCs w:val="20"/>
        </w:rPr>
        <w:tab/>
        <w:t>člen</w:t>
      </w:r>
    </w:p>
    <w:p w14:paraId="7D8792D2" w14:textId="77777777" w:rsidR="00941D44" w:rsidRPr="00941D44" w:rsidRDefault="00941D44" w:rsidP="00941D4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pacing w:val="15"/>
          <w:sz w:val="20"/>
          <w:szCs w:val="20"/>
        </w:rPr>
      </w:pPr>
      <w:r w:rsidRPr="00941D44">
        <w:rPr>
          <w:rFonts w:ascii="Verdana" w:hAnsi="Verdana" w:cs="Verdana"/>
          <w:b/>
          <w:bCs/>
          <w:color w:val="000000"/>
          <w:spacing w:val="15"/>
          <w:sz w:val="20"/>
          <w:szCs w:val="20"/>
        </w:rPr>
        <w:t>(objava in začetek veljavnosti)</w:t>
      </w:r>
    </w:p>
    <w:p w14:paraId="55187394" w14:textId="0E844096" w:rsidR="00941D44" w:rsidRPr="00941D44" w:rsidRDefault="00941D44" w:rsidP="00941D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highlight w:val="white"/>
        </w:rPr>
      </w:pPr>
      <w:r w:rsidRPr="00941D44">
        <w:rPr>
          <w:rFonts w:ascii="Verdana" w:hAnsi="Verdana" w:cs="Verdana"/>
          <w:sz w:val="20"/>
          <w:szCs w:val="20"/>
          <w:highlight w:val="white"/>
        </w:rPr>
        <w:t xml:space="preserve">Ta sklep začne veljati </w:t>
      </w:r>
      <w:r w:rsidR="00221D3B">
        <w:rPr>
          <w:rFonts w:ascii="Verdana" w:hAnsi="Verdana" w:cs="Verdana"/>
          <w:sz w:val="20"/>
          <w:szCs w:val="20"/>
          <w:highlight w:val="white"/>
        </w:rPr>
        <w:t>takoj</w:t>
      </w:r>
      <w:r w:rsidRPr="00941D44">
        <w:rPr>
          <w:rFonts w:ascii="Verdana" w:hAnsi="Verdana" w:cs="Verdana"/>
          <w:sz w:val="20"/>
          <w:szCs w:val="20"/>
          <w:highlight w:val="white"/>
        </w:rPr>
        <w:t xml:space="preserve"> po objavi v Uradnem glasilu slovenskih občin.</w:t>
      </w:r>
    </w:p>
    <w:p w14:paraId="0B21DFB7" w14:textId="77777777" w:rsidR="006C4643" w:rsidRDefault="006C4643" w:rsidP="006C4643">
      <w:pPr>
        <w:pStyle w:val="Odstavekseznama"/>
        <w:tabs>
          <w:tab w:val="left" w:pos="426"/>
        </w:tabs>
        <w:spacing w:line="240" w:lineRule="auto"/>
        <w:ind w:hanging="720"/>
        <w:jc w:val="both"/>
        <w:rPr>
          <w:rFonts w:ascii="Verdana" w:hAnsi="Verdana"/>
          <w:b/>
          <w:sz w:val="20"/>
          <w:szCs w:val="20"/>
        </w:rPr>
      </w:pPr>
    </w:p>
    <w:p w14:paraId="5CFB6977" w14:textId="77777777" w:rsidR="00221D3B" w:rsidRDefault="00221D3B" w:rsidP="006C4643">
      <w:pPr>
        <w:pStyle w:val="Odstavekseznama"/>
        <w:tabs>
          <w:tab w:val="left" w:pos="426"/>
        </w:tabs>
        <w:spacing w:line="240" w:lineRule="auto"/>
        <w:ind w:hanging="720"/>
        <w:jc w:val="both"/>
        <w:rPr>
          <w:rFonts w:ascii="Verdana" w:hAnsi="Verdana"/>
          <w:b/>
          <w:sz w:val="20"/>
          <w:szCs w:val="20"/>
        </w:rPr>
      </w:pPr>
    </w:p>
    <w:p w14:paraId="3409D040" w14:textId="77777777" w:rsidR="00221D3B" w:rsidRDefault="00221D3B" w:rsidP="006C4643">
      <w:pPr>
        <w:pStyle w:val="Odstavekseznama"/>
        <w:tabs>
          <w:tab w:val="left" w:pos="426"/>
        </w:tabs>
        <w:spacing w:line="240" w:lineRule="auto"/>
        <w:ind w:hanging="720"/>
        <w:jc w:val="both"/>
        <w:rPr>
          <w:rFonts w:ascii="Verdana" w:hAnsi="Verdana"/>
          <w:b/>
          <w:sz w:val="20"/>
          <w:szCs w:val="20"/>
        </w:rPr>
      </w:pPr>
    </w:p>
    <w:p w14:paraId="2D901F23" w14:textId="77777777" w:rsidR="006C4643" w:rsidRPr="00830ADF" w:rsidRDefault="006C4643" w:rsidP="006C4643">
      <w:pPr>
        <w:pStyle w:val="Odstavekseznama"/>
        <w:tabs>
          <w:tab w:val="left" w:pos="426"/>
        </w:tabs>
        <w:spacing w:line="240" w:lineRule="auto"/>
        <w:ind w:hanging="720"/>
        <w:jc w:val="both"/>
        <w:rPr>
          <w:rFonts w:ascii="Verdana" w:hAnsi="Verdana"/>
          <w:b/>
          <w:sz w:val="20"/>
          <w:szCs w:val="20"/>
        </w:rPr>
      </w:pPr>
      <w:r w:rsidRPr="00830ADF">
        <w:rPr>
          <w:rFonts w:ascii="Verdana" w:hAnsi="Verdana"/>
          <w:b/>
          <w:sz w:val="20"/>
          <w:szCs w:val="20"/>
        </w:rPr>
        <w:t>Številka:</w:t>
      </w:r>
    </w:p>
    <w:p w14:paraId="0D074946" w14:textId="77777777" w:rsidR="006C4643" w:rsidRPr="00830ADF" w:rsidRDefault="006C4643" w:rsidP="006C4643">
      <w:pPr>
        <w:pStyle w:val="Odstavekseznama"/>
        <w:tabs>
          <w:tab w:val="left" w:pos="426"/>
        </w:tabs>
        <w:spacing w:line="240" w:lineRule="auto"/>
        <w:ind w:hanging="720"/>
        <w:jc w:val="both"/>
        <w:rPr>
          <w:rFonts w:ascii="Verdana" w:hAnsi="Verdana"/>
          <w:b/>
          <w:sz w:val="20"/>
          <w:szCs w:val="20"/>
        </w:rPr>
      </w:pPr>
      <w:r w:rsidRPr="00830ADF">
        <w:rPr>
          <w:rFonts w:ascii="Verdana" w:hAnsi="Verdana"/>
          <w:b/>
          <w:sz w:val="20"/>
          <w:szCs w:val="20"/>
        </w:rPr>
        <w:t xml:space="preserve">Datum: </w:t>
      </w:r>
    </w:p>
    <w:p w14:paraId="7908580B" w14:textId="77777777" w:rsidR="006C4643" w:rsidRPr="00830ADF" w:rsidRDefault="006C4643" w:rsidP="006C4643">
      <w:pPr>
        <w:pStyle w:val="Odstavekseznama"/>
        <w:tabs>
          <w:tab w:val="left" w:pos="426"/>
        </w:tabs>
        <w:spacing w:line="240" w:lineRule="auto"/>
        <w:ind w:hanging="720"/>
        <w:jc w:val="both"/>
        <w:rPr>
          <w:rFonts w:ascii="Verdana" w:hAnsi="Verdana"/>
          <w:b/>
          <w:sz w:val="20"/>
          <w:szCs w:val="20"/>
        </w:rPr>
      </w:pPr>
    </w:p>
    <w:p w14:paraId="502683F9" w14:textId="1719AE0E" w:rsidR="006C4643" w:rsidRPr="00830ADF" w:rsidRDefault="00CF0BE6" w:rsidP="006C4643">
      <w:pPr>
        <w:pStyle w:val="Odstavekseznama"/>
        <w:tabs>
          <w:tab w:val="left" w:pos="426"/>
        </w:tabs>
        <w:spacing w:line="240" w:lineRule="auto"/>
        <w:ind w:hanging="7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6C4643" w:rsidRPr="00830ADF">
        <w:rPr>
          <w:rFonts w:ascii="Verdana" w:hAnsi="Verdana"/>
          <w:b/>
          <w:sz w:val="20"/>
          <w:szCs w:val="20"/>
        </w:rPr>
        <w:t xml:space="preserve">Občina </w:t>
      </w:r>
      <w:r w:rsidR="0018788B">
        <w:rPr>
          <w:rFonts w:ascii="Verdana" w:hAnsi="Verdana"/>
          <w:b/>
          <w:sz w:val="20"/>
          <w:szCs w:val="20"/>
        </w:rPr>
        <w:t>Črna</w:t>
      </w:r>
      <w:r w:rsidR="006C4643" w:rsidRPr="00830ADF">
        <w:rPr>
          <w:rFonts w:ascii="Verdana" w:hAnsi="Verdana"/>
          <w:b/>
          <w:sz w:val="20"/>
          <w:szCs w:val="20"/>
        </w:rPr>
        <w:t xml:space="preserve"> na Koroškem        </w:t>
      </w:r>
    </w:p>
    <w:p w14:paraId="5E456D0E" w14:textId="70001C79" w:rsidR="00425466" w:rsidRDefault="006C4643" w:rsidP="00071770">
      <w:pPr>
        <w:pStyle w:val="Odstavekseznama"/>
        <w:tabs>
          <w:tab w:val="left" w:pos="426"/>
        </w:tabs>
        <w:spacing w:line="240" w:lineRule="auto"/>
        <w:ind w:hanging="720"/>
        <w:jc w:val="both"/>
        <w:rPr>
          <w:rFonts w:ascii="Verdana" w:hAnsi="Verdana"/>
          <w:b/>
          <w:sz w:val="20"/>
          <w:szCs w:val="20"/>
        </w:rPr>
      </w:pPr>
      <w:r w:rsidRPr="00830ADF">
        <w:rPr>
          <w:rFonts w:ascii="Verdana" w:hAnsi="Verdana"/>
          <w:b/>
          <w:sz w:val="20"/>
          <w:szCs w:val="20"/>
        </w:rPr>
        <w:t xml:space="preserve">               </w:t>
      </w:r>
      <w:r w:rsidR="00CF0BE6">
        <w:rPr>
          <w:rFonts w:ascii="Verdana" w:hAnsi="Verdana"/>
          <w:b/>
          <w:sz w:val="20"/>
          <w:szCs w:val="20"/>
        </w:rPr>
        <w:tab/>
      </w:r>
      <w:r w:rsidR="00CF0BE6">
        <w:rPr>
          <w:rFonts w:ascii="Verdana" w:hAnsi="Verdana"/>
          <w:b/>
          <w:sz w:val="20"/>
          <w:szCs w:val="20"/>
        </w:rPr>
        <w:tab/>
      </w:r>
      <w:r w:rsidR="00CF0BE6">
        <w:rPr>
          <w:rFonts w:ascii="Verdana" w:hAnsi="Verdana"/>
          <w:b/>
          <w:sz w:val="20"/>
          <w:szCs w:val="20"/>
        </w:rPr>
        <w:tab/>
      </w:r>
      <w:r w:rsidR="00CF0BE6">
        <w:rPr>
          <w:rFonts w:ascii="Verdana" w:hAnsi="Verdana"/>
          <w:b/>
          <w:sz w:val="20"/>
          <w:szCs w:val="20"/>
        </w:rPr>
        <w:tab/>
      </w:r>
      <w:r w:rsidR="00CF0BE6">
        <w:rPr>
          <w:rFonts w:ascii="Verdana" w:hAnsi="Verdana"/>
          <w:b/>
          <w:sz w:val="20"/>
          <w:szCs w:val="20"/>
        </w:rPr>
        <w:tab/>
      </w:r>
      <w:r w:rsidR="00CF0BE6">
        <w:rPr>
          <w:rFonts w:ascii="Verdana" w:hAnsi="Verdana"/>
          <w:b/>
          <w:sz w:val="20"/>
          <w:szCs w:val="20"/>
        </w:rPr>
        <w:tab/>
      </w:r>
      <w:r w:rsidR="00CF0BE6">
        <w:rPr>
          <w:rFonts w:ascii="Verdana" w:hAnsi="Verdana"/>
          <w:b/>
          <w:sz w:val="20"/>
          <w:szCs w:val="20"/>
        </w:rPr>
        <w:tab/>
      </w:r>
      <w:r w:rsidR="00CF0BE6">
        <w:rPr>
          <w:rFonts w:ascii="Verdana" w:hAnsi="Verdana"/>
          <w:b/>
          <w:sz w:val="20"/>
          <w:szCs w:val="20"/>
        </w:rPr>
        <w:tab/>
      </w:r>
      <w:r w:rsidR="00CF0BE6">
        <w:rPr>
          <w:rFonts w:ascii="Verdana" w:hAnsi="Verdana"/>
          <w:b/>
          <w:sz w:val="20"/>
          <w:szCs w:val="20"/>
        </w:rPr>
        <w:tab/>
        <w:t xml:space="preserve">   </w:t>
      </w:r>
      <w:r w:rsidRPr="00830ADF">
        <w:rPr>
          <w:rFonts w:ascii="Verdana" w:hAnsi="Verdana"/>
          <w:b/>
          <w:sz w:val="20"/>
          <w:szCs w:val="20"/>
        </w:rPr>
        <w:t xml:space="preserve"> Župan</w:t>
      </w:r>
      <w:r w:rsidR="0018788B">
        <w:rPr>
          <w:rFonts w:ascii="Verdana" w:hAnsi="Verdana"/>
          <w:b/>
          <w:sz w:val="20"/>
          <w:szCs w:val="20"/>
        </w:rPr>
        <w:t>ja</w:t>
      </w:r>
      <w:r w:rsidRPr="00830ADF">
        <w:rPr>
          <w:rFonts w:ascii="Verdana" w:hAnsi="Verdana"/>
          <w:b/>
          <w:sz w:val="20"/>
          <w:szCs w:val="20"/>
        </w:rPr>
        <w:t xml:space="preserve">:          </w:t>
      </w:r>
    </w:p>
    <w:p w14:paraId="71C53C55" w14:textId="1E6D2A45" w:rsidR="00576AFB" w:rsidRDefault="006C4643" w:rsidP="00071770">
      <w:pPr>
        <w:pStyle w:val="Odstavekseznama"/>
        <w:tabs>
          <w:tab w:val="left" w:pos="426"/>
        </w:tabs>
        <w:spacing w:line="240" w:lineRule="auto"/>
        <w:ind w:hanging="720"/>
        <w:jc w:val="both"/>
      </w:pPr>
      <w:r w:rsidRPr="00830ADF">
        <w:rPr>
          <w:rFonts w:ascii="Verdana" w:hAnsi="Verdana"/>
          <w:b/>
          <w:sz w:val="20"/>
          <w:szCs w:val="20"/>
        </w:rPr>
        <w:t xml:space="preserve">    </w:t>
      </w:r>
      <w:r w:rsidR="00CF0BE6">
        <w:rPr>
          <w:rFonts w:ascii="Verdana" w:hAnsi="Verdana"/>
          <w:b/>
          <w:sz w:val="20"/>
          <w:szCs w:val="20"/>
        </w:rPr>
        <w:tab/>
      </w:r>
      <w:r w:rsidR="00CF0BE6">
        <w:rPr>
          <w:rFonts w:ascii="Verdana" w:hAnsi="Verdana"/>
          <w:b/>
          <w:sz w:val="20"/>
          <w:szCs w:val="20"/>
        </w:rPr>
        <w:tab/>
      </w:r>
      <w:r w:rsidR="00CF0BE6">
        <w:rPr>
          <w:rFonts w:ascii="Verdana" w:hAnsi="Verdana"/>
          <w:b/>
          <w:sz w:val="20"/>
          <w:szCs w:val="20"/>
        </w:rPr>
        <w:tab/>
      </w:r>
      <w:r w:rsidR="00CF0BE6">
        <w:rPr>
          <w:rFonts w:ascii="Verdana" w:hAnsi="Verdana"/>
          <w:b/>
          <w:sz w:val="20"/>
          <w:szCs w:val="20"/>
        </w:rPr>
        <w:tab/>
      </w:r>
      <w:r w:rsidR="00CF0BE6">
        <w:rPr>
          <w:rFonts w:ascii="Verdana" w:hAnsi="Verdana"/>
          <w:b/>
          <w:sz w:val="20"/>
          <w:szCs w:val="20"/>
        </w:rPr>
        <w:tab/>
      </w:r>
      <w:r w:rsidR="00CF0BE6">
        <w:rPr>
          <w:rFonts w:ascii="Verdana" w:hAnsi="Verdana"/>
          <w:b/>
          <w:sz w:val="20"/>
          <w:szCs w:val="20"/>
        </w:rPr>
        <w:tab/>
      </w:r>
      <w:r w:rsidR="00CF0BE6">
        <w:rPr>
          <w:rFonts w:ascii="Verdana" w:hAnsi="Verdana"/>
          <w:b/>
          <w:sz w:val="20"/>
          <w:szCs w:val="20"/>
        </w:rPr>
        <w:tab/>
      </w:r>
      <w:r w:rsidR="00CF0BE6">
        <w:rPr>
          <w:rFonts w:ascii="Verdana" w:hAnsi="Verdana"/>
          <w:b/>
          <w:sz w:val="20"/>
          <w:szCs w:val="20"/>
        </w:rPr>
        <w:tab/>
      </w:r>
      <w:r w:rsidR="00CF0BE6">
        <w:rPr>
          <w:rFonts w:ascii="Verdana" w:hAnsi="Verdana"/>
          <w:b/>
          <w:sz w:val="20"/>
          <w:szCs w:val="20"/>
        </w:rPr>
        <w:tab/>
      </w:r>
      <w:r w:rsidR="00CF0BE6">
        <w:rPr>
          <w:rFonts w:ascii="Verdana" w:hAnsi="Verdana"/>
          <w:b/>
          <w:sz w:val="20"/>
          <w:szCs w:val="20"/>
        </w:rPr>
        <w:tab/>
        <w:t xml:space="preserve">  </w:t>
      </w:r>
      <w:r w:rsidRPr="00830ADF">
        <w:rPr>
          <w:rFonts w:ascii="Verdana" w:hAnsi="Verdana"/>
          <w:b/>
          <w:sz w:val="20"/>
          <w:szCs w:val="20"/>
        </w:rPr>
        <w:t xml:space="preserve"> </w:t>
      </w:r>
      <w:r w:rsidR="00221D3B">
        <w:rPr>
          <w:rFonts w:ascii="Verdana" w:hAnsi="Verdana"/>
          <w:b/>
          <w:sz w:val="20"/>
          <w:szCs w:val="20"/>
        </w:rPr>
        <w:t>m</w:t>
      </w:r>
      <w:r w:rsidR="00425466">
        <w:rPr>
          <w:rFonts w:ascii="Verdana" w:hAnsi="Verdana"/>
          <w:b/>
          <w:sz w:val="20"/>
          <w:szCs w:val="20"/>
        </w:rPr>
        <w:t>ag.</w:t>
      </w:r>
      <w:r w:rsidR="00CF0BE6">
        <w:rPr>
          <w:rFonts w:ascii="Verdana" w:hAnsi="Verdana"/>
          <w:b/>
          <w:sz w:val="20"/>
          <w:szCs w:val="20"/>
        </w:rPr>
        <w:t xml:space="preserve"> </w:t>
      </w:r>
      <w:r w:rsidR="00425466">
        <w:rPr>
          <w:rFonts w:ascii="Verdana" w:hAnsi="Verdana"/>
          <w:b/>
          <w:sz w:val="20"/>
          <w:szCs w:val="20"/>
        </w:rPr>
        <w:t>Romana LESJAK</w:t>
      </w:r>
    </w:p>
    <w:sectPr w:rsidR="00576AFB" w:rsidSect="002739C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046E8A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357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44"/>
    <w:rsid w:val="00017580"/>
    <w:rsid w:val="00071770"/>
    <w:rsid w:val="00074484"/>
    <w:rsid w:val="000B2D09"/>
    <w:rsid w:val="000C0432"/>
    <w:rsid w:val="000D3B2C"/>
    <w:rsid w:val="00111FDD"/>
    <w:rsid w:val="0018788B"/>
    <w:rsid w:val="00197A03"/>
    <w:rsid w:val="001F37D1"/>
    <w:rsid w:val="00221D3B"/>
    <w:rsid w:val="00265FF7"/>
    <w:rsid w:val="002E0F9F"/>
    <w:rsid w:val="00345B70"/>
    <w:rsid w:val="003A74A0"/>
    <w:rsid w:val="00425466"/>
    <w:rsid w:val="00430345"/>
    <w:rsid w:val="00497FF5"/>
    <w:rsid w:val="004B1C29"/>
    <w:rsid w:val="00505233"/>
    <w:rsid w:val="005729C8"/>
    <w:rsid w:val="00576AFB"/>
    <w:rsid w:val="005B6149"/>
    <w:rsid w:val="005D7BA3"/>
    <w:rsid w:val="00600BE4"/>
    <w:rsid w:val="00602231"/>
    <w:rsid w:val="006C4643"/>
    <w:rsid w:val="00702004"/>
    <w:rsid w:val="00767478"/>
    <w:rsid w:val="00805875"/>
    <w:rsid w:val="0085132C"/>
    <w:rsid w:val="00863FBF"/>
    <w:rsid w:val="008834D3"/>
    <w:rsid w:val="00941D44"/>
    <w:rsid w:val="00996732"/>
    <w:rsid w:val="009B07B7"/>
    <w:rsid w:val="009E6D6E"/>
    <w:rsid w:val="00A92EB6"/>
    <w:rsid w:val="00B54B28"/>
    <w:rsid w:val="00B64D27"/>
    <w:rsid w:val="00CA605F"/>
    <w:rsid w:val="00CC38EF"/>
    <w:rsid w:val="00CF0BE6"/>
    <w:rsid w:val="00D305C5"/>
    <w:rsid w:val="00D543AA"/>
    <w:rsid w:val="00D8096A"/>
    <w:rsid w:val="00DA32DC"/>
    <w:rsid w:val="00DD3697"/>
    <w:rsid w:val="00DE00E1"/>
    <w:rsid w:val="00DF120B"/>
    <w:rsid w:val="00EA6B2B"/>
    <w:rsid w:val="00EB59BC"/>
    <w:rsid w:val="00EF0031"/>
    <w:rsid w:val="00FC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39A8"/>
  <w15:docId w15:val="{7AF1932A-6A0D-4B0D-A3CA-8A79DE95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9"/>
    <w:qFormat/>
    <w:rsid w:val="00941D44"/>
    <w:pPr>
      <w:autoSpaceDE w:val="0"/>
      <w:autoSpaceDN w:val="0"/>
      <w:adjustRightInd w:val="0"/>
      <w:spacing w:after="0" w:line="240" w:lineRule="auto"/>
      <w:outlineLvl w:val="0"/>
    </w:pPr>
    <w:rPr>
      <w:rFonts w:ascii="Verdana" w:hAnsi="Verdan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941D44"/>
    <w:rPr>
      <w:rFonts w:ascii="Verdana" w:hAnsi="Verdana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6C4643"/>
    <w:pPr>
      <w:ind w:left="720"/>
      <w:contextualSpacing/>
    </w:pPr>
    <w:rPr>
      <w:rFonts w:ascii="Calibri" w:eastAsia="Calibri" w:hAnsi="Calibri" w:cs="Times New Roman"/>
    </w:rPr>
  </w:style>
  <w:style w:type="paragraph" w:styleId="Brezrazmikov">
    <w:name w:val="No Spacing"/>
    <w:uiPriority w:val="1"/>
    <w:qFormat/>
    <w:rsid w:val="00B64D27"/>
    <w:pPr>
      <w:spacing w:after="0" w:line="240" w:lineRule="auto"/>
    </w:pPr>
  </w:style>
  <w:style w:type="character" w:styleId="Hiperpovezava">
    <w:name w:val="Hyperlink"/>
    <w:basedOn w:val="Privzetapisavaodstavka"/>
    <w:uiPriority w:val="99"/>
    <w:semiHidden/>
    <w:unhideWhenUsed/>
    <w:rsid w:val="00863F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9-01-3437" TargetMode="External"/><Relationship Id="rId13" Type="http://schemas.openxmlformats.org/officeDocument/2006/relationships/hyperlink" Target="http://www.uradni-list.si/1/objava.jsp?sop=2018-01-135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radni-list.si/1/objava.jsp?sop=2008-01-3347" TargetMode="External"/><Relationship Id="rId12" Type="http://schemas.openxmlformats.org/officeDocument/2006/relationships/hyperlink" Target="http://www.uradni-list.si/1/objava.jsp?sop=2018-01-045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radni-list.si/1/objava.jsp?sop=2007-01-4692" TargetMode="External"/><Relationship Id="rId11" Type="http://schemas.openxmlformats.org/officeDocument/2006/relationships/hyperlink" Target="http://www.uradni-list.si/1/objava.jsp?sop=2015-01-050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12-01-17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0-01-27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209C0-E8C6-4A36-B453-715CAB7E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LL</cp:lastModifiedBy>
  <cp:revision>2</cp:revision>
  <cp:lastPrinted>2019-03-29T08:54:00Z</cp:lastPrinted>
  <dcterms:created xsi:type="dcterms:W3CDTF">2019-04-19T11:59:00Z</dcterms:created>
  <dcterms:modified xsi:type="dcterms:W3CDTF">2019-04-19T11:59:00Z</dcterms:modified>
</cp:coreProperties>
</file>