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835"/>
        <w:gridCol w:w="4024"/>
        <w:gridCol w:w="1363"/>
      </w:tblGrid>
      <w:tr w:rsidR="003E78B6" w:rsidRPr="00A805D7" w:rsidTr="000E0DEA">
        <w:trPr>
          <w:trHeight w:val="1721"/>
        </w:trPr>
        <w:tc>
          <w:tcPr>
            <w:tcW w:w="2835" w:type="dxa"/>
          </w:tcPr>
          <w:tbl>
            <w:tblPr>
              <w:tblW w:w="7070" w:type="dxa"/>
              <w:tblInd w:w="108" w:type="dxa"/>
              <w:tblLayout w:type="fixed"/>
              <w:tblCellMar>
                <w:left w:w="107" w:type="dxa"/>
                <w:right w:w="107" w:type="dxa"/>
              </w:tblCellMar>
              <w:tblLook w:val="0000" w:firstRow="0" w:lastRow="0" w:firstColumn="0" w:lastColumn="0" w:noHBand="0" w:noVBand="0"/>
            </w:tblPr>
            <w:tblGrid>
              <w:gridCol w:w="2444"/>
              <w:gridCol w:w="4392"/>
              <w:gridCol w:w="234"/>
            </w:tblGrid>
            <w:tr w:rsidR="003E78B6" w:rsidRPr="00A805D7" w:rsidTr="000E0DEA">
              <w:tc>
                <w:tcPr>
                  <w:tcW w:w="2444" w:type="dxa"/>
                </w:tcPr>
                <w:p w:rsidR="003E78B6" w:rsidRPr="00A805D7" w:rsidRDefault="003E78B6" w:rsidP="000E0DEA">
                  <w:pPr>
                    <w:ind w:left="69" w:right="-249" w:firstLine="0"/>
                    <w:jc w:val="center"/>
                    <w:rPr>
                      <w:b/>
                      <w:sz w:val="24"/>
                      <w:szCs w:val="24"/>
                    </w:rPr>
                  </w:pPr>
                  <w:r w:rsidRPr="00A805D7">
                    <w:rPr>
                      <w:b/>
                      <w:sz w:val="24"/>
                      <w:szCs w:val="24"/>
                    </w:rPr>
                    <w:t>OBČINA</w:t>
                  </w:r>
                </w:p>
                <w:p w:rsidR="003E78B6" w:rsidRPr="00A805D7" w:rsidRDefault="003E78B6" w:rsidP="000E0DEA">
                  <w:pPr>
                    <w:ind w:left="69" w:right="-249" w:firstLine="0"/>
                    <w:jc w:val="center"/>
                    <w:rPr>
                      <w:b/>
                      <w:sz w:val="24"/>
                      <w:szCs w:val="24"/>
                    </w:rPr>
                  </w:pPr>
                  <w:r w:rsidRPr="00A805D7">
                    <w:rPr>
                      <w:b/>
                      <w:sz w:val="24"/>
                      <w:szCs w:val="24"/>
                    </w:rPr>
                    <w:t>LOŠKI POTOK</w:t>
                  </w:r>
                </w:p>
                <w:p w:rsidR="003E78B6" w:rsidRPr="00A805D7" w:rsidRDefault="003E78B6" w:rsidP="000E0DEA">
                  <w:pPr>
                    <w:ind w:left="69" w:right="-249" w:firstLine="0"/>
                    <w:jc w:val="center"/>
                    <w:rPr>
                      <w:b/>
                      <w:sz w:val="24"/>
                      <w:szCs w:val="24"/>
                    </w:rPr>
                  </w:pPr>
                  <w:r w:rsidRPr="00A805D7">
                    <w:rPr>
                      <w:b/>
                      <w:sz w:val="24"/>
                      <w:szCs w:val="24"/>
                    </w:rPr>
                    <w:t>Hrib 17</w:t>
                  </w:r>
                </w:p>
                <w:p w:rsidR="003E78B6" w:rsidRPr="00A805D7" w:rsidRDefault="003E78B6" w:rsidP="000E0DEA">
                  <w:pPr>
                    <w:ind w:left="69" w:right="-249" w:firstLine="0"/>
                    <w:jc w:val="center"/>
                    <w:rPr>
                      <w:b/>
                      <w:sz w:val="24"/>
                      <w:szCs w:val="24"/>
                    </w:rPr>
                  </w:pPr>
                  <w:r w:rsidRPr="00A805D7">
                    <w:rPr>
                      <w:b/>
                      <w:sz w:val="24"/>
                      <w:szCs w:val="24"/>
                    </w:rPr>
                    <w:t>1318 Loški Potok</w:t>
                  </w:r>
                </w:p>
                <w:p w:rsidR="003E78B6" w:rsidRPr="00A805D7" w:rsidRDefault="003E78B6" w:rsidP="000E0DEA">
                  <w:pPr>
                    <w:ind w:left="69" w:right="-249" w:firstLine="0"/>
                    <w:jc w:val="center"/>
                    <w:rPr>
                      <w:b/>
                      <w:sz w:val="24"/>
                      <w:szCs w:val="24"/>
                    </w:rPr>
                  </w:pPr>
                  <w:r w:rsidRPr="00A805D7">
                    <w:rPr>
                      <w:b/>
                      <w:sz w:val="24"/>
                      <w:szCs w:val="24"/>
                    </w:rPr>
                    <w:t>Tel.: 8350-100</w:t>
                  </w:r>
                </w:p>
                <w:p w:rsidR="003E78B6" w:rsidRDefault="003E78B6" w:rsidP="000E0DEA">
                  <w:pPr>
                    <w:ind w:left="69" w:right="-249" w:firstLine="0"/>
                    <w:jc w:val="center"/>
                    <w:rPr>
                      <w:b/>
                      <w:sz w:val="24"/>
                      <w:szCs w:val="24"/>
                    </w:rPr>
                  </w:pPr>
                  <w:proofErr w:type="spellStart"/>
                  <w:r w:rsidRPr="00A805D7">
                    <w:rPr>
                      <w:b/>
                      <w:sz w:val="24"/>
                      <w:szCs w:val="24"/>
                    </w:rPr>
                    <w:t>Fax</w:t>
                  </w:r>
                  <w:proofErr w:type="spellEnd"/>
                  <w:r w:rsidRPr="00A805D7">
                    <w:rPr>
                      <w:b/>
                      <w:sz w:val="24"/>
                      <w:szCs w:val="24"/>
                    </w:rPr>
                    <w:t>.: 8350-102</w:t>
                  </w:r>
                </w:p>
                <w:p w:rsidR="003E78B6" w:rsidRPr="00A805D7" w:rsidRDefault="003E78B6" w:rsidP="000E0DEA">
                  <w:pPr>
                    <w:ind w:left="69" w:right="-249" w:firstLine="0"/>
                    <w:jc w:val="center"/>
                    <w:rPr>
                      <w:b/>
                      <w:sz w:val="24"/>
                      <w:szCs w:val="24"/>
                    </w:rPr>
                  </w:pPr>
                  <w:r>
                    <w:rPr>
                      <w:b/>
                      <w:sz w:val="24"/>
                      <w:szCs w:val="24"/>
                    </w:rPr>
                    <w:t>OBČINSKI SVET</w:t>
                  </w:r>
                </w:p>
              </w:tc>
              <w:tc>
                <w:tcPr>
                  <w:tcW w:w="4392" w:type="dxa"/>
                </w:tcPr>
                <w:p w:rsidR="003E78B6" w:rsidRPr="00A805D7" w:rsidRDefault="003E78B6" w:rsidP="000E0DEA">
                  <w:pPr>
                    <w:ind w:right="-249"/>
                    <w:rPr>
                      <w:b/>
                      <w:sz w:val="24"/>
                      <w:szCs w:val="24"/>
                    </w:rPr>
                  </w:pPr>
                </w:p>
              </w:tc>
              <w:tc>
                <w:tcPr>
                  <w:tcW w:w="234" w:type="dxa"/>
                </w:tcPr>
                <w:p w:rsidR="003E78B6" w:rsidRPr="00A805D7" w:rsidRDefault="003E78B6" w:rsidP="000E0DEA">
                  <w:pPr>
                    <w:ind w:right="-249"/>
                    <w:rPr>
                      <w:b/>
                      <w:sz w:val="24"/>
                      <w:szCs w:val="24"/>
                    </w:rPr>
                  </w:pPr>
                </w:p>
              </w:tc>
            </w:tr>
          </w:tbl>
          <w:p w:rsidR="003E78B6" w:rsidRPr="00A805D7" w:rsidRDefault="003E78B6" w:rsidP="000E0DEA">
            <w:pPr>
              <w:ind w:right="-249"/>
              <w:rPr>
                <w:b/>
                <w:sz w:val="24"/>
                <w:szCs w:val="24"/>
              </w:rPr>
            </w:pPr>
          </w:p>
        </w:tc>
        <w:tc>
          <w:tcPr>
            <w:tcW w:w="4024" w:type="dxa"/>
          </w:tcPr>
          <w:p w:rsidR="003E78B6" w:rsidRPr="00A805D7" w:rsidRDefault="003E78B6" w:rsidP="000E0DEA">
            <w:pPr>
              <w:ind w:right="-249"/>
              <w:jc w:val="center"/>
              <w:rPr>
                <w:b/>
                <w:sz w:val="24"/>
                <w:szCs w:val="24"/>
              </w:rPr>
            </w:pPr>
            <w:r w:rsidRPr="00A805D7">
              <w:rPr>
                <w:b/>
                <w:noProof/>
                <w:sz w:val="24"/>
                <w:szCs w:val="24"/>
              </w:rPr>
              <w:drawing>
                <wp:anchor distT="0" distB="0" distL="114300" distR="114300" simplePos="0" relativeHeight="251659264" behindDoc="0" locked="0" layoutInCell="1" allowOverlap="1" wp14:anchorId="30AE68C3" wp14:editId="2DF5CFAA">
                  <wp:simplePos x="0" y="0"/>
                  <wp:positionH relativeFrom="column">
                    <wp:posOffset>1007110</wp:posOffset>
                  </wp:positionH>
                  <wp:positionV relativeFrom="paragraph">
                    <wp:posOffset>1270</wp:posOffset>
                  </wp:positionV>
                  <wp:extent cx="964565" cy="1148715"/>
                  <wp:effectExtent l="0" t="0" r="698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63" w:type="dxa"/>
          </w:tcPr>
          <w:p w:rsidR="003E78B6" w:rsidRPr="00A805D7" w:rsidRDefault="003E78B6" w:rsidP="000E0DEA">
            <w:pPr>
              <w:ind w:right="-249"/>
              <w:rPr>
                <w:b/>
                <w:sz w:val="24"/>
                <w:szCs w:val="24"/>
              </w:rPr>
            </w:pPr>
          </w:p>
        </w:tc>
      </w:tr>
    </w:tbl>
    <w:p w:rsidR="003E78B6" w:rsidRDefault="003E78B6" w:rsidP="003E78B6">
      <w:pPr>
        <w:ind w:left="0" w:right="0" w:firstLine="0"/>
        <w:jc w:val="center"/>
        <w:rPr>
          <w:b/>
          <w:sz w:val="24"/>
          <w:szCs w:val="24"/>
        </w:rPr>
      </w:pPr>
    </w:p>
    <w:p w:rsidR="0036540C" w:rsidRDefault="0036540C" w:rsidP="003E78B6">
      <w:pPr>
        <w:ind w:left="0" w:right="0" w:firstLine="0"/>
        <w:jc w:val="center"/>
        <w:rPr>
          <w:b/>
          <w:sz w:val="24"/>
          <w:szCs w:val="24"/>
        </w:rPr>
      </w:pPr>
    </w:p>
    <w:p w:rsidR="0036540C" w:rsidRDefault="0036540C" w:rsidP="003E78B6">
      <w:pPr>
        <w:ind w:left="0" w:right="0" w:firstLine="0"/>
        <w:jc w:val="center"/>
        <w:rPr>
          <w:b/>
          <w:sz w:val="24"/>
          <w:szCs w:val="24"/>
        </w:rPr>
      </w:pPr>
    </w:p>
    <w:p w:rsidR="0096247B" w:rsidRDefault="0096247B" w:rsidP="003E78B6">
      <w:pPr>
        <w:ind w:left="0" w:right="0" w:firstLine="0"/>
        <w:jc w:val="center"/>
        <w:rPr>
          <w:b/>
          <w:sz w:val="24"/>
          <w:szCs w:val="24"/>
        </w:rPr>
      </w:pPr>
      <w:bookmarkStart w:id="0" w:name="_GoBack"/>
      <w:bookmarkEnd w:id="0"/>
    </w:p>
    <w:p w:rsidR="0096247B" w:rsidRPr="003E78B6" w:rsidRDefault="0096247B" w:rsidP="003E78B6">
      <w:pPr>
        <w:ind w:left="0" w:right="0" w:firstLine="0"/>
        <w:jc w:val="center"/>
        <w:rPr>
          <w:sz w:val="24"/>
          <w:szCs w:val="24"/>
        </w:rPr>
      </w:pPr>
      <w:r>
        <w:rPr>
          <w:b/>
          <w:sz w:val="24"/>
          <w:szCs w:val="24"/>
        </w:rPr>
        <w:t>GRADIVO ZA 21. REDNO SEJO OBČINSKEGA SVETA, 26. 09. 2014</w:t>
      </w:r>
    </w:p>
    <w:p w:rsidR="003E78B6" w:rsidRPr="003E78B6" w:rsidRDefault="003E78B6" w:rsidP="003E78B6">
      <w:pPr>
        <w:ind w:left="0" w:right="0" w:firstLine="0"/>
        <w:jc w:val="left"/>
        <w:rPr>
          <w:sz w:val="24"/>
          <w:szCs w:val="24"/>
        </w:rPr>
      </w:pPr>
    </w:p>
    <w:p w:rsidR="003E78B6" w:rsidRPr="003E78B6" w:rsidRDefault="008C17CA" w:rsidP="003E78B6">
      <w:pPr>
        <w:ind w:left="0" w:right="0" w:firstLine="0"/>
        <w:jc w:val="center"/>
        <w:rPr>
          <w:b/>
          <w:sz w:val="24"/>
          <w:szCs w:val="24"/>
        </w:rPr>
      </w:pPr>
      <w:r>
        <w:rPr>
          <w:b/>
          <w:sz w:val="24"/>
          <w:szCs w:val="24"/>
        </w:rPr>
        <w:t>POROČILO O IZVRŠENIH SKLEPIH 20</w:t>
      </w:r>
      <w:r w:rsidR="003E78B6" w:rsidRPr="003E78B6">
        <w:rPr>
          <w:b/>
          <w:sz w:val="24"/>
          <w:szCs w:val="24"/>
        </w:rPr>
        <w:t xml:space="preserve">. REDNE SEJE OBČINSKEGA SVETA, </w:t>
      </w:r>
    </w:p>
    <w:p w:rsidR="003E78B6" w:rsidRDefault="008C17CA" w:rsidP="003E78B6">
      <w:pPr>
        <w:ind w:left="0" w:right="0" w:firstLine="0"/>
        <w:jc w:val="center"/>
        <w:rPr>
          <w:b/>
          <w:sz w:val="24"/>
          <w:szCs w:val="24"/>
        </w:rPr>
      </w:pPr>
      <w:r>
        <w:rPr>
          <w:b/>
          <w:sz w:val="24"/>
          <w:szCs w:val="24"/>
        </w:rPr>
        <w:t>19</w:t>
      </w:r>
      <w:r w:rsidR="00502A4E">
        <w:rPr>
          <w:b/>
          <w:sz w:val="24"/>
          <w:szCs w:val="24"/>
        </w:rPr>
        <w:t>. 0</w:t>
      </w:r>
      <w:r>
        <w:rPr>
          <w:b/>
          <w:sz w:val="24"/>
          <w:szCs w:val="24"/>
        </w:rPr>
        <w:t>6</w:t>
      </w:r>
      <w:r w:rsidR="00502A4E">
        <w:rPr>
          <w:b/>
          <w:sz w:val="24"/>
          <w:szCs w:val="24"/>
        </w:rPr>
        <w:t>. 2014</w:t>
      </w:r>
      <w:r w:rsidR="003E78B6" w:rsidRPr="003E78B6">
        <w:rPr>
          <w:b/>
          <w:sz w:val="24"/>
          <w:szCs w:val="24"/>
        </w:rPr>
        <w:t xml:space="preserve"> </w:t>
      </w:r>
    </w:p>
    <w:p w:rsidR="003E78B6" w:rsidRDefault="003E78B6" w:rsidP="003E78B6">
      <w:pPr>
        <w:ind w:left="0" w:right="0" w:firstLine="0"/>
        <w:jc w:val="center"/>
        <w:rPr>
          <w:b/>
          <w:sz w:val="24"/>
          <w:szCs w:val="24"/>
        </w:rPr>
      </w:pPr>
    </w:p>
    <w:p w:rsidR="0036540C" w:rsidRDefault="0036540C" w:rsidP="003E78B6">
      <w:pPr>
        <w:ind w:left="0" w:right="0" w:firstLine="0"/>
        <w:jc w:val="center"/>
        <w:rPr>
          <w:b/>
          <w:sz w:val="24"/>
          <w:szCs w:val="24"/>
        </w:rPr>
      </w:pPr>
    </w:p>
    <w:p w:rsidR="0036540C" w:rsidRDefault="0036540C" w:rsidP="003E78B6">
      <w:pPr>
        <w:ind w:left="0" w:right="0" w:firstLine="0"/>
        <w:jc w:val="center"/>
        <w:rPr>
          <w:b/>
          <w:sz w:val="24"/>
          <w:szCs w:val="24"/>
        </w:rPr>
      </w:pPr>
    </w:p>
    <w:p w:rsidR="008C17CA" w:rsidRDefault="003E78B6" w:rsidP="003E78B6">
      <w:pPr>
        <w:ind w:left="0" w:right="0" w:firstLine="0"/>
        <w:jc w:val="left"/>
        <w:rPr>
          <w:sz w:val="24"/>
          <w:szCs w:val="24"/>
        </w:rPr>
      </w:pPr>
      <w:r w:rsidRPr="003E78B6">
        <w:rPr>
          <w:sz w:val="24"/>
          <w:szCs w:val="24"/>
        </w:rPr>
        <w:t xml:space="preserve">Na tej seji </w:t>
      </w:r>
      <w:r w:rsidR="00502A4E">
        <w:rPr>
          <w:sz w:val="24"/>
          <w:szCs w:val="24"/>
        </w:rPr>
        <w:t xml:space="preserve">je </w:t>
      </w:r>
      <w:r w:rsidR="008C17CA">
        <w:rPr>
          <w:sz w:val="24"/>
          <w:szCs w:val="24"/>
        </w:rPr>
        <w:t>bilo obravnavanih 11 točk dnevnega reda.</w:t>
      </w:r>
      <w:r w:rsidR="009E056B">
        <w:rPr>
          <w:sz w:val="24"/>
          <w:szCs w:val="24"/>
        </w:rPr>
        <w:t xml:space="preserve"> </w:t>
      </w:r>
      <w:r w:rsidR="008C17CA">
        <w:rPr>
          <w:sz w:val="24"/>
          <w:szCs w:val="24"/>
        </w:rPr>
        <w:t>Realizacija sklepov po točkah dnevnega reda kot sledi:</w:t>
      </w:r>
    </w:p>
    <w:p w:rsidR="003E78B6" w:rsidRDefault="003E78B6" w:rsidP="003E78B6">
      <w:pPr>
        <w:ind w:left="0" w:right="0" w:firstLine="0"/>
        <w:jc w:val="left"/>
        <w:rPr>
          <w:sz w:val="24"/>
          <w:szCs w:val="24"/>
        </w:rPr>
      </w:pPr>
    </w:p>
    <w:p w:rsidR="004D33FF" w:rsidRPr="004D33FF" w:rsidRDefault="004D33FF" w:rsidP="004D33FF">
      <w:pPr>
        <w:ind w:left="709" w:right="0" w:hanging="709"/>
        <w:rPr>
          <w:sz w:val="24"/>
          <w:szCs w:val="24"/>
        </w:rPr>
      </w:pPr>
      <w:r w:rsidRPr="004D33FF">
        <w:rPr>
          <w:sz w:val="24"/>
          <w:szCs w:val="24"/>
        </w:rPr>
        <w:t xml:space="preserve">Ad 1. </w:t>
      </w:r>
      <w:r w:rsidR="008C17CA">
        <w:rPr>
          <w:sz w:val="24"/>
          <w:szCs w:val="24"/>
        </w:rPr>
        <w:t>Sprejet je bil zapisnik 19. redne seje občinskega sveta z dne 27. 3. 2014, kakor tudi zapisnika dveh dopisnih sej in sicer z dne 22. 4. 2014 (2. dopisna seja) in 06. 05. 2014 (3. dopisna seja). Sprejeta so bila tudi poročila o izvršitvi sklepov teh sej.</w:t>
      </w:r>
    </w:p>
    <w:p w:rsidR="004D33FF" w:rsidRPr="004D33FF" w:rsidRDefault="004D33FF" w:rsidP="004D33FF">
      <w:pPr>
        <w:ind w:left="709" w:right="0" w:hanging="709"/>
        <w:rPr>
          <w:sz w:val="24"/>
          <w:szCs w:val="24"/>
        </w:rPr>
      </w:pPr>
    </w:p>
    <w:p w:rsidR="004D33FF" w:rsidRPr="004D33FF" w:rsidRDefault="004D33FF" w:rsidP="004D33FF">
      <w:pPr>
        <w:ind w:left="709" w:right="0" w:hanging="709"/>
        <w:rPr>
          <w:sz w:val="24"/>
          <w:szCs w:val="24"/>
        </w:rPr>
      </w:pPr>
      <w:r w:rsidRPr="004D33FF">
        <w:rPr>
          <w:sz w:val="24"/>
          <w:szCs w:val="24"/>
        </w:rPr>
        <w:t xml:space="preserve">Ad 2. </w:t>
      </w:r>
      <w:r w:rsidR="008C17CA">
        <w:rPr>
          <w:sz w:val="24"/>
          <w:szCs w:val="24"/>
        </w:rPr>
        <w:t>Podano je bilo Poročilo sveta za preventivo in vzgojo v cestnem prometu. Sklep o tej točki je realiziran; obveščen je svet in posredovan je bil predlog Direkciji za ceste RS. Dobili smo tudi že odgovor na poslani predlog.</w:t>
      </w:r>
    </w:p>
    <w:p w:rsidR="004D33FF" w:rsidRPr="004D33FF" w:rsidRDefault="004D33FF" w:rsidP="004D33FF">
      <w:pPr>
        <w:ind w:left="709" w:right="0" w:hanging="709"/>
        <w:rPr>
          <w:sz w:val="24"/>
          <w:szCs w:val="24"/>
        </w:rPr>
      </w:pPr>
    </w:p>
    <w:p w:rsidR="004D33FF" w:rsidRPr="004D33FF" w:rsidRDefault="004D33FF" w:rsidP="004D33FF">
      <w:pPr>
        <w:ind w:left="709" w:right="0" w:hanging="709"/>
        <w:rPr>
          <w:sz w:val="24"/>
          <w:szCs w:val="24"/>
        </w:rPr>
      </w:pPr>
      <w:r w:rsidRPr="004D33FF">
        <w:rPr>
          <w:sz w:val="24"/>
          <w:szCs w:val="24"/>
        </w:rPr>
        <w:t xml:space="preserve">Ad 3. </w:t>
      </w:r>
      <w:r w:rsidR="008C17CA">
        <w:rPr>
          <w:sz w:val="24"/>
          <w:szCs w:val="24"/>
        </w:rPr>
        <w:t>Rebalans proračuna za leto 2014. Sklep o rebalansu se nanašajo na izgradnjo kanalizacije v Malem Logu. Realizacija sklepov je v teku; realizirani bodo, ko bo investicija zaključena. Odlok o rebalansu proračuna je bil objavljen v Uradnem listu RS, štev. 50/2014.</w:t>
      </w:r>
    </w:p>
    <w:p w:rsidR="004D33FF" w:rsidRPr="004D33FF" w:rsidRDefault="004D33FF" w:rsidP="004D33FF">
      <w:pPr>
        <w:ind w:left="709" w:right="0" w:hanging="709"/>
        <w:rPr>
          <w:sz w:val="24"/>
          <w:szCs w:val="24"/>
        </w:rPr>
      </w:pPr>
    </w:p>
    <w:p w:rsidR="004D33FF" w:rsidRPr="004D33FF" w:rsidRDefault="004D33FF" w:rsidP="004D33FF">
      <w:pPr>
        <w:ind w:left="709" w:right="0" w:hanging="709"/>
        <w:rPr>
          <w:sz w:val="24"/>
          <w:szCs w:val="24"/>
        </w:rPr>
      </w:pPr>
      <w:r w:rsidRPr="004D33FF">
        <w:rPr>
          <w:sz w:val="24"/>
          <w:szCs w:val="24"/>
        </w:rPr>
        <w:t xml:space="preserve">Ad 4. </w:t>
      </w:r>
      <w:r w:rsidR="008C17CA">
        <w:rPr>
          <w:sz w:val="24"/>
          <w:szCs w:val="24"/>
        </w:rPr>
        <w:t>Agrarne skupnosti so dale poročila o svojem delu. O njih je poročal g. Sašo Debeljak. Poročilo je občinski svet sprejel in s tem je sklep realiziran.</w:t>
      </w:r>
    </w:p>
    <w:p w:rsidR="004D33FF" w:rsidRPr="004D33FF" w:rsidRDefault="004D33FF" w:rsidP="004D33FF">
      <w:pPr>
        <w:ind w:left="540" w:right="0" w:hanging="540"/>
        <w:rPr>
          <w:sz w:val="24"/>
          <w:szCs w:val="24"/>
        </w:rPr>
      </w:pPr>
    </w:p>
    <w:p w:rsidR="004D33FF" w:rsidRDefault="004D33FF" w:rsidP="004D33FF">
      <w:pPr>
        <w:ind w:left="540" w:right="0" w:hanging="540"/>
        <w:rPr>
          <w:sz w:val="24"/>
          <w:szCs w:val="24"/>
        </w:rPr>
      </w:pPr>
      <w:r w:rsidRPr="004D33FF">
        <w:rPr>
          <w:sz w:val="24"/>
          <w:szCs w:val="24"/>
        </w:rPr>
        <w:t>Ad 5</w:t>
      </w:r>
      <w:r w:rsidR="006D6D75">
        <w:rPr>
          <w:sz w:val="24"/>
          <w:szCs w:val="24"/>
        </w:rPr>
        <w:t xml:space="preserve">. </w:t>
      </w:r>
      <w:r w:rsidR="008C17CA">
        <w:rPr>
          <w:sz w:val="24"/>
          <w:szCs w:val="24"/>
        </w:rPr>
        <w:t>Imenovanje občinske volilne komisije.</w:t>
      </w:r>
      <w:r w:rsidR="009E056B">
        <w:rPr>
          <w:sz w:val="24"/>
          <w:szCs w:val="24"/>
        </w:rPr>
        <w:t xml:space="preserve"> Sprejet je bil sklep o imenovanju občinske volilne komisije. Sklep je bil objavljen v Uradnem listu RS, štev. 47/2014. Komisija že deluje.</w:t>
      </w:r>
    </w:p>
    <w:p w:rsidR="009E056B" w:rsidRPr="004D33FF" w:rsidRDefault="009E056B" w:rsidP="004D33FF">
      <w:pPr>
        <w:ind w:left="540" w:right="0" w:hanging="540"/>
        <w:rPr>
          <w:sz w:val="24"/>
          <w:szCs w:val="24"/>
        </w:rPr>
      </w:pPr>
    </w:p>
    <w:p w:rsidR="00E72048" w:rsidRPr="00E72048" w:rsidRDefault="004D33FF" w:rsidP="00E05DB2">
      <w:pPr>
        <w:ind w:left="709" w:right="0" w:hanging="709"/>
        <w:rPr>
          <w:sz w:val="24"/>
          <w:szCs w:val="24"/>
        </w:rPr>
      </w:pPr>
      <w:r w:rsidRPr="004D33FF">
        <w:rPr>
          <w:sz w:val="24"/>
          <w:szCs w:val="24"/>
        </w:rPr>
        <w:t xml:space="preserve">Ad 6. </w:t>
      </w:r>
      <w:r w:rsidR="009E056B">
        <w:rPr>
          <w:sz w:val="24"/>
          <w:szCs w:val="24"/>
        </w:rPr>
        <w:t xml:space="preserve">Razprava o </w:t>
      </w:r>
      <w:proofErr w:type="spellStart"/>
      <w:r w:rsidR="009E056B">
        <w:rPr>
          <w:sz w:val="24"/>
          <w:szCs w:val="24"/>
        </w:rPr>
        <w:t>ordinacijskem</w:t>
      </w:r>
      <w:proofErr w:type="spellEnd"/>
      <w:r w:rsidR="009E056B">
        <w:rPr>
          <w:sz w:val="24"/>
          <w:szCs w:val="24"/>
        </w:rPr>
        <w:t xml:space="preserve"> času Zdravstvene postaje Hrib Loški Potok. Predlog je bil sprejet in dan v javnost; obveščena sta bila Zdravstveni dom Ribnica in ZP Loški Potok. Sklep je realiziran.</w:t>
      </w:r>
    </w:p>
    <w:p w:rsidR="004D33FF" w:rsidRPr="004D33FF" w:rsidRDefault="004D33FF" w:rsidP="004D33FF">
      <w:pPr>
        <w:ind w:left="709" w:right="0" w:hanging="709"/>
        <w:rPr>
          <w:sz w:val="24"/>
          <w:szCs w:val="24"/>
        </w:rPr>
      </w:pPr>
    </w:p>
    <w:p w:rsidR="00E05DB2" w:rsidRPr="00E72048" w:rsidRDefault="004D33FF" w:rsidP="00E05DB2">
      <w:pPr>
        <w:ind w:left="709" w:right="0" w:hanging="709"/>
        <w:rPr>
          <w:sz w:val="24"/>
          <w:szCs w:val="24"/>
        </w:rPr>
      </w:pPr>
      <w:r w:rsidRPr="004D33FF">
        <w:rPr>
          <w:sz w:val="24"/>
          <w:szCs w:val="24"/>
        </w:rPr>
        <w:t xml:space="preserve">Ad 7. </w:t>
      </w:r>
      <w:r w:rsidR="009E056B">
        <w:rPr>
          <w:sz w:val="24"/>
          <w:szCs w:val="24"/>
        </w:rPr>
        <w:t>Prodaja in nakup nepremičnin v obrtni coni Mali Log. Predlog o prodaji in nakupu je občinski svet s sklepom sprejel. Realizacija tega sklepa se bo izvajala postopoma. Najprej je bila objavljena namera o prodaji na spletni strani občine. Realizacija bo izvedena v tem letu.</w:t>
      </w:r>
    </w:p>
    <w:p w:rsidR="004D33FF" w:rsidRPr="004D33FF" w:rsidRDefault="004D33FF" w:rsidP="004D33FF">
      <w:pPr>
        <w:ind w:left="709" w:right="0" w:hanging="709"/>
        <w:rPr>
          <w:sz w:val="24"/>
          <w:szCs w:val="24"/>
        </w:rPr>
      </w:pPr>
    </w:p>
    <w:p w:rsidR="004D33FF" w:rsidRPr="004D33FF" w:rsidRDefault="004D33FF" w:rsidP="004D33FF">
      <w:pPr>
        <w:ind w:left="709" w:right="0" w:hanging="709"/>
        <w:rPr>
          <w:sz w:val="24"/>
          <w:szCs w:val="24"/>
        </w:rPr>
      </w:pPr>
      <w:r w:rsidRPr="004D33FF">
        <w:rPr>
          <w:sz w:val="24"/>
          <w:szCs w:val="24"/>
        </w:rPr>
        <w:t>Ad 8</w:t>
      </w:r>
      <w:r w:rsidR="00643B9C">
        <w:rPr>
          <w:sz w:val="24"/>
          <w:szCs w:val="24"/>
        </w:rPr>
        <w:t xml:space="preserve">. </w:t>
      </w:r>
      <w:r w:rsidR="009E056B">
        <w:rPr>
          <w:sz w:val="24"/>
          <w:szCs w:val="24"/>
        </w:rPr>
        <w:t>VRTEC: sistemizacija in ekonomske cene: Sprejeti so bili trije sklepi – predlog je bil v celoti sprejet. O sklepih je bila pisno obveščena Osnovna šola dr. Antona Debeljaka in tako so sklepi realizirani.</w:t>
      </w:r>
    </w:p>
    <w:p w:rsidR="004D33FF" w:rsidRPr="004D33FF" w:rsidRDefault="004D33FF" w:rsidP="004D33FF">
      <w:pPr>
        <w:ind w:left="540" w:right="0" w:hanging="540"/>
        <w:rPr>
          <w:sz w:val="24"/>
          <w:szCs w:val="24"/>
        </w:rPr>
      </w:pPr>
    </w:p>
    <w:p w:rsidR="004D33FF" w:rsidRPr="004D33FF" w:rsidRDefault="004D33FF" w:rsidP="004D33FF">
      <w:pPr>
        <w:ind w:left="540" w:right="0" w:hanging="540"/>
        <w:rPr>
          <w:sz w:val="24"/>
          <w:szCs w:val="24"/>
        </w:rPr>
      </w:pPr>
      <w:r w:rsidRPr="004D33FF">
        <w:rPr>
          <w:sz w:val="24"/>
          <w:szCs w:val="24"/>
        </w:rPr>
        <w:t xml:space="preserve">Ad 9. </w:t>
      </w:r>
      <w:r w:rsidR="009E056B">
        <w:rPr>
          <w:sz w:val="24"/>
          <w:szCs w:val="24"/>
        </w:rPr>
        <w:t>Sofinanciranje razširjenega programa osnovne šole. O tem so bili sprejeti štirje sklepi: sprejeti so bili vsi predlogi in o sklepih je bila obveščena Osnovna šola dr. Antona Debeljaka. Sklepi bodo postopno realizirani.</w:t>
      </w:r>
    </w:p>
    <w:p w:rsidR="004D33FF" w:rsidRPr="004D33FF" w:rsidRDefault="0036540C" w:rsidP="004D33FF">
      <w:pPr>
        <w:ind w:left="540" w:right="0" w:hanging="540"/>
        <w:rPr>
          <w:sz w:val="24"/>
          <w:szCs w:val="24"/>
        </w:rPr>
      </w:pPr>
      <w:r>
        <w:rPr>
          <w:sz w:val="24"/>
          <w:szCs w:val="24"/>
        </w:rPr>
        <w:br w:type="column"/>
      </w:r>
    </w:p>
    <w:p w:rsidR="0062690B" w:rsidRDefault="004D33FF" w:rsidP="004D33FF">
      <w:pPr>
        <w:ind w:left="540" w:right="0" w:hanging="540"/>
        <w:rPr>
          <w:sz w:val="24"/>
          <w:szCs w:val="24"/>
        </w:rPr>
      </w:pPr>
      <w:r w:rsidRPr="004D33FF">
        <w:rPr>
          <w:sz w:val="24"/>
          <w:szCs w:val="24"/>
        </w:rPr>
        <w:t xml:space="preserve">Ad 10. </w:t>
      </w:r>
      <w:r w:rsidR="009E056B">
        <w:rPr>
          <w:sz w:val="24"/>
          <w:szCs w:val="24"/>
        </w:rPr>
        <w:t>Reševanje prošenj. Od vseh prejetih vlog je bila ena pozitivni rešena, ostale pa so bile zavrnjene zaradi pomanjkanja finančnih sredstev.</w:t>
      </w:r>
    </w:p>
    <w:p w:rsidR="009E056B" w:rsidRDefault="009E056B" w:rsidP="004D33FF">
      <w:pPr>
        <w:ind w:left="540" w:right="0" w:hanging="540"/>
        <w:rPr>
          <w:sz w:val="24"/>
          <w:szCs w:val="24"/>
        </w:rPr>
      </w:pPr>
    </w:p>
    <w:p w:rsidR="009E056B" w:rsidRDefault="009E056B" w:rsidP="004D33FF">
      <w:pPr>
        <w:ind w:left="540" w:right="0" w:hanging="540"/>
        <w:rPr>
          <w:sz w:val="24"/>
          <w:szCs w:val="24"/>
        </w:rPr>
      </w:pPr>
      <w:r>
        <w:rPr>
          <w:sz w:val="24"/>
          <w:szCs w:val="24"/>
        </w:rPr>
        <w:t>Ad 11. Vprašanja in odgovori! Postavljeni sta bili dve vprašanji, na kateri sta bila podana ustna odgovora in sicer glede sedežev na športnem igrišču na Hribu in glede nakazila KŠD Draga. Oboje bo v kratkem realizirano.</w:t>
      </w:r>
    </w:p>
    <w:p w:rsidR="009E056B" w:rsidRDefault="009E056B" w:rsidP="004D33FF">
      <w:pPr>
        <w:ind w:left="540" w:right="0" w:hanging="540"/>
        <w:rPr>
          <w:sz w:val="24"/>
          <w:szCs w:val="24"/>
        </w:rPr>
      </w:pPr>
    </w:p>
    <w:p w:rsidR="0062690B" w:rsidRDefault="0062690B" w:rsidP="004D33FF">
      <w:pPr>
        <w:ind w:left="540" w:right="0" w:hanging="540"/>
        <w:rPr>
          <w:sz w:val="24"/>
          <w:szCs w:val="24"/>
        </w:rPr>
      </w:pPr>
    </w:p>
    <w:p w:rsidR="0062690B" w:rsidRDefault="0062690B" w:rsidP="004D33FF">
      <w:pPr>
        <w:ind w:left="540" w:right="0" w:hanging="540"/>
        <w:rPr>
          <w:sz w:val="24"/>
          <w:szCs w:val="24"/>
        </w:rPr>
      </w:pPr>
    </w:p>
    <w:p w:rsidR="0062690B" w:rsidRDefault="0062690B" w:rsidP="004D33FF">
      <w:pPr>
        <w:ind w:left="540" w:right="0" w:hanging="540"/>
        <w:rPr>
          <w:sz w:val="24"/>
          <w:szCs w:val="24"/>
        </w:rPr>
      </w:pPr>
    </w:p>
    <w:p w:rsidR="00612A41" w:rsidRDefault="00612A41" w:rsidP="00AB0512">
      <w:pPr>
        <w:ind w:left="5670" w:right="0" w:firstLine="702"/>
        <w:rPr>
          <w:sz w:val="24"/>
          <w:szCs w:val="24"/>
        </w:rPr>
      </w:pPr>
      <w:r>
        <w:rPr>
          <w:sz w:val="24"/>
          <w:szCs w:val="24"/>
        </w:rPr>
        <w:t>Župan:</w:t>
      </w:r>
    </w:p>
    <w:p w:rsidR="00612A41" w:rsidRDefault="0040457B" w:rsidP="00612A41">
      <w:pPr>
        <w:ind w:right="0"/>
        <w:rPr>
          <w:sz w:val="24"/>
          <w:szCs w:val="24"/>
        </w:rPr>
      </w:pPr>
      <w:r>
        <w:rPr>
          <w:sz w:val="24"/>
          <w:szCs w:val="24"/>
        </w:rPr>
        <w:tab/>
      </w:r>
      <w:r w:rsidR="00612A41">
        <w:rPr>
          <w:sz w:val="24"/>
          <w:szCs w:val="24"/>
        </w:rPr>
        <w:tab/>
      </w:r>
      <w:r w:rsidR="00612A41">
        <w:rPr>
          <w:sz w:val="24"/>
          <w:szCs w:val="24"/>
        </w:rPr>
        <w:tab/>
      </w:r>
      <w:r w:rsidR="00612A41">
        <w:rPr>
          <w:sz w:val="24"/>
          <w:szCs w:val="24"/>
        </w:rPr>
        <w:tab/>
      </w:r>
      <w:r w:rsidR="00612A41">
        <w:rPr>
          <w:sz w:val="24"/>
          <w:szCs w:val="24"/>
        </w:rPr>
        <w:tab/>
      </w:r>
      <w:r w:rsidR="00612A41">
        <w:rPr>
          <w:sz w:val="24"/>
          <w:szCs w:val="24"/>
        </w:rPr>
        <w:tab/>
      </w:r>
      <w:r w:rsidR="00612A41">
        <w:rPr>
          <w:sz w:val="24"/>
          <w:szCs w:val="24"/>
        </w:rPr>
        <w:tab/>
      </w:r>
      <w:r w:rsidR="00612A41">
        <w:rPr>
          <w:sz w:val="24"/>
          <w:szCs w:val="24"/>
        </w:rPr>
        <w:tab/>
        <w:t xml:space="preserve">  Janez Novak, ing.</w:t>
      </w:r>
    </w:p>
    <w:sectPr w:rsidR="00612A41" w:rsidSect="0036540C">
      <w:pgSz w:w="11906" w:h="16838"/>
      <w:pgMar w:top="851"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B3009"/>
    <w:multiLevelType w:val="hybridMultilevel"/>
    <w:tmpl w:val="072A354A"/>
    <w:lvl w:ilvl="0" w:tplc="9326A302">
      <w:start w:val="11"/>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nsid w:val="6E1D2CFB"/>
    <w:multiLevelType w:val="hybridMultilevel"/>
    <w:tmpl w:val="C5001836"/>
    <w:lvl w:ilvl="0" w:tplc="E6D2CB8E">
      <w:start w:val="24"/>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B6"/>
    <w:rsid w:val="0022425A"/>
    <w:rsid w:val="00274273"/>
    <w:rsid w:val="003232F6"/>
    <w:rsid w:val="0036540C"/>
    <w:rsid w:val="003E78B6"/>
    <w:rsid w:val="0040457B"/>
    <w:rsid w:val="004B6313"/>
    <w:rsid w:val="004D33FF"/>
    <w:rsid w:val="004E113B"/>
    <w:rsid w:val="00502A4E"/>
    <w:rsid w:val="00534FC0"/>
    <w:rsid w:val="005C7702"/>
    <w:rsid w:val="00612A41"/>
    <w:rsid w:val="0062690B"/>
    <w:rsid w:val="00643B9C"/>
    <w:rsid w:val="006D6D75"/>
    <w:rsid w:val="008418D0"/>
    <w:rsid w:val="0089397A"/>
    <w:rsid w:val="008C17CA"/>
    <w:rsid w:val="0096247B"/>
    <w:rsid w:val="009E056B"/>
    <w:rsid w:val="00AB0512"/>
    <w:rsid w:val="00C754E5"/>
    <w:rsid w:val="00CA762A"/>
    <w:rsid w:val="00D65B1B"/>
    <w:rsid w:val="00D719CD"/>
    <w:rsid w:val="00E05DB2"/>
    <w:rsid w:val="00E61C31"/>
    <w:rsid w:val="00E72048"/>
    <w:rsid w:val="00EF05D5"/>
    <w:rsid w:val="00FA32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E78B6"/>
    <w:pPr>
      <w:spacing w:after="0" w:line="240" w:lineRule="auto"/>
      <w:ind w:left="714" w:right="-108" w:hanging="357"/>
      <w:jc w:val="both"/>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65B1B"/>
    <w:pPr>
      <w:ind w:left="720"/>
      <w:contextualSpacing/>
    </w:pPr>
  </w:style>
  <w:style w:type="paragraph" w:styleId="Besedilooblaka">
    <w:name w:val="Balloon Text"/>
    <w:basedOn w:val="Navaden"/>
    <w:link w:val="BesedilooblakaZnak"/>
    <w:uiPriority w:val="99"/>
    <w:semiHidden/>
    <w:unhideWhenUsed/>
    <w:rsid w:val="002242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425A"/>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E78B6"/>
    <w:pPr>
      <w:spacing w:after="0" w:line="240" w:lineRule="auto"/>
      <w:ind w:left="714" w:right="-108" w:hanging="357"/>
      <w:jc w:val="both"/>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65B1B"/>
    <w:pPr>
      <w:ind w:left="720"/>
      <w:contextualSpacing/>
    </w:pPr>
  </w:style>
  <w:style w:type="paragraph" w:styleId="Besedilooblaka">
    <w:name w:val="Balloon Text"/>
    <w:basedOn w:val="Navaden"/>
    <w:link w:val="BesedilooblakaZnak"/>
    <w:uiPriority w:val="99"/>
    <w:semiHidden/>
    <w:unhideWhenUsed/>
    <w:rsid w:val="002242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425A"/>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4</cp:revision>
  <cp:lastPrinted>2014-03-19T08:32:00Z</cp:lastPrinted>
  <dcterms:created xsi:type="dcterms:W3CDTF">2014-09-16T07:05:00Z</dcterms:created>
  <dcterms:modified xsi:type="dcterms:W3CDTF">2014-09-16T07:13:00Z</dcterms:modified>
</cp:coreProperties>
</file>