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92" w:rsidRPr="00B97A56" w:rsidRDefault="00E252FA" w:rsidP="00E252FA">
      <w:pPr>
        <w:spacing w:after="0" w:line="240" w:lineRule="auto"/>
        <w:jc w:val="both"/>
        <w:rPr>
          <w:rFonts w:ascii="Trebuchet MS" w:hAnsi="Trebuchet MS" w:cs="Tahoma"/>
          <w:sz w:val="20"/>
          <w:szCs w:val="20"/>
        </w:rPr>
      </w:pPr>
      <w:bookmarkStart w:id="0" w:name="_GoBack"/>
      <w:bookmarkEnd w:id="0"/>
      <w:r w:rsidRPr="00B97A56">
        <w:rPr>
          <w:rFonts w:ascii="Trebuchet MS" w:hAnsi="Trebuchet MS" w:cs="Tahoma"/>
          <w:sz w:val="20"/>
          <w:szCs w:val="20"/>
        </w:rPr>
        <w:t xml:space="preserve">Na podlagi določila sedmega odstavka </w:t>
      </w:r>
      <w:proofErr w:type="spellStart"/>
      <w:r w:rsidRPr="00B97A56">
        <w:rPr>
          <w:rFonts w:ascii="Trebuchet MS" w:hAnsi="Trebuchet MS" w:cs="Tahoma"/>
          <w:sz w:val="20"/>
          <w:szCs w:val="20"/>
        </w:rPr>
        <w:t>34.a</w:t>
      </w:r>
      <w:proofErr w:type="spellEnd"/>
      <w:r w:rsidRPr="00B97A56">
        <w:rPr>
          <w:rFonts w:ascii="Trebuchet MS" w:hAnsi="Trebuchet MS" w:cs="Tahoma"/>
          <w:sz w:val="20"/>
          <w:szCs w:val="20"/>
        </w:rPr>
        <w:t xml:space="preserve"> člena Zakona o lokalni samoupravi /ZLS/ (Uradni list RS, št. 94/2007-uradno prečiščeno besedilo, 76/2008, 79/2009, 51/2010, 40/2012-ZUJF, 14/2015-ZUUJFO) in 14. člena Statuta Občine Zavrč (Uradni list RS, št. 22/2011) je Občinski svet Občine Zavrč na svoji ... redni seji dne ... sprejel</w:t>
      </w:r>
    </w:p>
    <w:p w:rsidR="00E252FA" w:rsidRPr="00B97A56" w:rsidRDefault="00E252FA" w:rsidP="00E252FA">
      <w:pPr>
        <w:spacing w:after="0" w:line="240" w:lineRule="auto"/>
        <w:jc w:val="both"/>
        <w:rPr>
          <w:rFonts w:ascii="Trebuchet MS" w:hAnsi="Trebuchet MS" w:cs="Tahoma"/>
          <w:sz w:val="20"/>
          <w:szCs w:val="20"/>
        </w:rPr>
      </w:pPr>
    </w:p>
    <w:p w:rsidR="00E252FA" w:rsidRPr="00B97A56" w:rsidRDefault="00E252FA" w:rsidP="00B97A56">
      <w:pPr>
        <w:shd w:val="clear" w:color="auto" w:fill="F2F2F2" w:themeFill="background1" w:themeFillShade="F2"/>
        <w:spacing w:after="0" w:line="240" w:lineRule="auto"/>
        <w:jc w:val="both"/>
        <w:rPr>
          <w:rFonts w:ascii="Trebuchet MS" w:hAnsi="Trebuchet MS" w:cs="Tahoma"/>
          <w:b/>
          <w:i/>
          <w:sz w:val="20"/>
          <w:szCs w:val="20"/>
        </w:rPr>
      </w:pPr>
      <w:r w:rsidRPr="00B97A56">
        <w:rPr>
          <w:rFonts w:ascii="Trebuchet MS" w:hAnsi="Trebuchet MS" w:cs="Tahoma"/>
          <w:b/>
          <w:i/>
          <w:sz w:val="20"/>
          <w:szCs w:val="20"/>
        </w:rPr>
        <w:t>Obrazložitev:</w:t>
      </w:r>
    </w:p>
    <w:p w:rsidR="00E252FA" w:rsidRPr="00B97A56" w:rsidRDefault="00E252FA" w:rsidP="00B97A56">
      <w:pPr>
        <w:shd w:val="clear" w:color="auto" w:fill="F2F2F2" w:themeFill="background1" w:themeFillShade="F2"/>
        <w:spacing w:after="0" w:line="240" w:lineRule="auto"/>
        <w:jc w:val="both"/>
        <w:rPr>
          <w:rFonts w:ascii="Trebuchet MS" w:hAnsi="Trebuchet MS" w:cs="Tahoma"/>
          <w:i/>
          <w:sz w:val="20"/>
          <w:szCs w:val="20"/>
        </w:rPr>
      </w:pPr>
      <w:r w:rsidRPr="00B97A56">
        <w:rPr>
          <w:rFonts w:ascii="Trebuchet MS" w:hAnsi="Trebuchet MS" w:cs="Tahoma"/>
          <w:i/>
          <w:sz w:val="20"/>
          <w:szCs w:val="20"/>
        </w:rPr>
        <w:t xml:space="preserve">Besedilo je oblikovano na podlagi </w:t>
      </w:r>
      <w:r w:rsidR="00DD1BDA">
        <w:rPr>
          <w:rFonts w:ascii="Trebuchet MS" w:hAnsi="Trebuchet MS" w:cs="Tahoma"/>
          <w:i/>
          <w:sz w:val="20"/>
          <w:szCs w:val="20"/>
        </w:rPr>
        <w:t xml:space="preserve">določil </w:t>
      </w:r>
      <w:proofErr w:type="spellStart"/>
      <w:r w:rsidRPr="00B97A56">
        <w:rPr>
          <w:rFonts w:ascii="Trebuchet MS" w:hAnsi="Trebuchet MS" w:cs="Tahoma"/>
          <w:i/>
          <w:sz w:val="20"/>
          <w:szCs w:val="20"/>
        </w:rPr>
        <w:t>34.a</w:t>
      </w:r>
      <w:proofErr w:type="spellEnd"/>
      <w:r w:rsidRPr="00B97A56">
        <w:rPr>
          <w:rFonts w:ascii="Trebuchet MS" w:hAnsi="Trebuchet MS" w:cs="Tahoma"/>
          <w:i/>
          <w:sz w:val="20"/>
          <w:szCs w:val="20"/>
        </w:rPr>
        <w:t xml:space="preserve"> člena Zakona o lokalni samoupravi /ZLS/, ki določa, da so člani občinskega sveta, župan in podžupan občine občinski funkcionarji. Občinski funkcionarji opravljajo svojo funkcijo nepoklicno. Župan se lahko odloči, da bo funkcijo opravljal poklicno. V soglasju y županom pa se lahko tudi podžupan odloči, da bo funkcijo opravljal poklicno. Za opravljanje občinskih funkcij imajo občinski funkcionarji pravico do plače, če funkcijo opravljajo poklicno, ali do plačila za opravljanje funkcije, če funkcijo opravljajo nepoklicno. Plača za poklicne občinske funkcionarje je določena v skladu z zakonom, ki ureja plače v javnem sektorju. Če župan opravlja funkcijo nepoklicno, mu pripada plačilo v višini 50% plače, ki bi jo dobil, če bi funkcijo opravljal poklicno. </w:t>
      </w:r>
      <w:r w:rsidR="00B97A56" w:rsidRPr="00B97A56">
        <w:rPr>
          <w:rFonts w:ascii="Trebuchet MS" w:hAnsi="Trebuchet MS" w:cs="Tahoma"/>
          <w:i/>
          <w:sz w:val="20"/>
          <w:szCs w:val="20"/>
        </w:rPr>
        <w:t>Pri tem se ne upošteva dodatek za delovno dobo. Če podžupan opravlja funkcijo nepoklicno, mu pripada plačilo največ v višini 50% plače, ki bi jo dobil, če bi funkcijo opravljal poklicno. Višino plačila določi župan ob upoštevanju podžupanovih pooblastil. Pri tem se ne upošteva dodatek za delovno dobo. 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7,5% plače župana. Pri tem se ne upošteva dodatek za delovno dobo. Občinski svet s svojim aktom določi merila za izplačilo sejnin za člane občinskih svetov, člane delovnih teles občinskega sveta in člane drugih občinskih organov. Občinski svet lahko s svojim aktom določi tudi merila za izplačilo sejnin članom svetov ožjih delov občine.</w:t>
      </w:r>
    </w:p>
    <w:p w:rsidR="00B97A56" w:rsidRPr="00B97A56" w:rsidRDefault="00B97A56" w:rsidP="00E252FA">
      <w:pPr>
        <w:spacing w:after="0" w:line="240" w:lineRule="auto"/>
        <w:jc w:val="both"/>
        <w:rPr>
          <w:rFonts w:ascii="Trebuchet MS" w:hAnsi="Trebuchet MS" w:cs="Tahoma"/>
          <w:i/>
          <w:sz w:val="20"/>
          <w:szCs w:val="20"/>
        </w:rPr>
      </w:pPr>
    </w:p>
    <w:p w:rsidR="00B97A56" w:rsidRPr="00B97A56" w:rsidRDefault="00B97A56" w:rsidP="00B97A56">
      <w:pPr>
        <w:spacing w:after="0" w:line="240" w:lineRule="auto"/>
        <w:jc w:val="center"/>
        <w:rPr>
          <w:rFonts w:ascii="Trebuchet MS" w:hAnsi="Trebuchet MS" w:cs="Tahoma"/>
          <w:b/>
          <w:sz w:val="20"/>
          <w:szCs w:val="20"/>
        </w:rPr>
      </w:pPr>
      <w:r w:rsidRPr="00B97A56">
        <w:rPr>
          <w:rFonts w:ascii="Trebuchet MS" w:hAnsi="Trebuchet MS" w:cs="Tahoma"/>
          <w:b/>
          <w:sz w:val="20"/>
          <w:szCs w:val="20"/>
        </w:rPr>
        <w:t>Pravilnik</w:t>
      </w:r>
    </w:p>
    <w:p w:rsidR="00B97A56" w:rsidRPr="00B97A56" w:rsidRDefault="00B97A56" w:rsidP="00B97A56">
      <w:pPr>
        <w:spacing w:after="0" w:line="240" w:lineRule="auto"/>
        <w:jc w:val="center"/>
        <w:rPr>
          <w:rFonts w:ascii="Trebuchet MS" w:hAnsi="Trebuchet MS" w:cs="Tahoma"/>
          <w:b/>
          <w:sz w:val="20"/>
          <w:szCs w:val="20"/>
        </w:rPr>
      </w:pPr>
      <w:r w:rsidRPr="00B97A56">
        <w:rPr>
          <w:rFonts w:ascii="Trebuchet MS" w:hAnsi="Trebuchet MS" w:cs="Tahoma"/>
          <w:b/>
          <w:sz w:val="20"/>
          <w:szCs w:val="20"/>
        </w:rPr>
        <w:t>o merilih za izplačilo sejnin za člane občinskega sveta, člane delovnih teles občinskega sveta in člane drugih občinskih organov Občine Zavrč</w:t>
      </w:r>
    </w:p>
    <w:p w:rsidR="00B97A56" w:rsidRPr="00B97A56" w:rsidRDefault="00B97A56" w:rsidP="00B97A56">
      <w:pPr>
        <w:spacing w:after="0" w:line="240" w:lineRule="auto"/>
        <w:jc w:val="center"/>
        <w:rPr>
          <w:rFonts w:ascii="Trebuchet MS" w:hAnsi="Trebuchet MS" w:cs="Tahoma"/>
          <w:b/>
          <w:sz w:val="20"/>
          <w:szCs w:val="20"/>
        </w:rPr>
      </w:pPr>
    </w:p>
    <w:p w:rsidR="00B97A56" w:rsidRPr="00B97A56" w:rsidRDefault="00B97A56" w:rsidP="00B97A56">
      <w:pPr>
        <w:spacing w:after="0" w:line="240" w:lineRule="auto"/>
        <w:jc w:val="both"/>
        <w:rPr>
          <w:rFonts w:ascii="Trebuchet MS" w:hAnsi="Trebuchet MS" w:cs="Tahoma"/>
          <w:b/>
          <w:sz w:val="20"/>
          <w:szCs w:val="20"/>
        </w:rPr>
      </w:pPr>
      <w:r w:rsidRPr="00B97A56">
        <w:rPr>
          <w:rFonts w:ascii="Trebuchet MS" w:hAnsi="Trebuchet MS" w:cs="Tahoma"/>
          <w:b/>
          <w:sz w:val="20"/>
          <w:szCs w:val="20"/>
        </w:rPr>
        <w:t>1.</w:t>
      </w:r>
      <w:r w:rsidRPr="00B97A56">
        <w:rPr>
          <w:rFonts w:ascii="Trebuchet MS" w:hAnsi="Trebuchet MS" w:cs="Tahoma"/>
          <w:b/>
          <w:sz w:val="20"/>
          <w:szCs w:val="20"/>
        </w:rPr>
        <w:tab/>
        <w:t>Splošne določbe</w:t>
      </w:r>
    </w:p>
    <w:p w:rsidR="00B97A56" w:rsidRPr="00B97A56" w:rsidRDefault="00B97A56" w:rsidP="00B97A56">
      <w:pPr>
        <w:spacing w:after="0" w:line="240" w:lineRule="auto"/>
        <w:jc w:val="both"/>
        <w:rPr>
          <w:rFonts w:ascii="Trebuchet MS" w:hAnsi="Trebuchet MS" w:cs="Tahoma"/>
          <w:b/>
          <w:sz w:val="20"/>
          <w:szCs w:val="20"/>
        </w:rPr>
      </w:pPr>
    </w:p>
    <w:p w:rsidR="00B97A56" w:rsidRPr="00B97A56" w:rsidRDefault="00B97A56" w:rsidP="00B97A56">
      <w:pPr>
        <w:spacing w:after="0" w:line="240" w:lineRule="auto"/>
        <w:jc w:val="center"/>
        <w:rPr>
          <w:rFonts w:ascii="Trebuchet MS" w:hAnsi="Trebuchet MS" w:cs="Tahoma"/>
          <w:b/>
          <w:sz w:val="20"/>
          <w:szCs w:val="20"/>
        </w:rPr>
      </w:pPr>
      <w:r w:rsidRPr="00B97A56">
        <w:rPr>
          <w:rFonts w:ascii="Trebuchet MS" w:hAnsi="Trebuchet MS" w:cs="Tahoma"/>
          <w:b/>
          <w:sz w:val="20"/>
          <w:szCs w:val="20"/>
        </w:rPr>
        <w:t>1. člen</w:t>
      </w:r>
    </w:p>
    <w:p w:rsidR="00B97A56" w:rsidRPr="00B97A56" w:rsidRDefault="00B97A56" w:rsidP="00B97A56">
      <w:pPr>
        <w:spacing w:after="0" w:line="240" w:lineRule="auto"/>
        <w:jc w:val="center"/>
        <w:rPr>
          <w:rFonts w:ascii="Trebuchet MS" w:hAnsi="Trebuchet MS" w:cs="Tahoma"/>
          <w:b/>
          <w:sz w:val="20"/>
          <w:szCs w:val="20"/>
        </w:rPr>
      </w:pPr>
      <w:r w:rsidRPr="00B97A56">
        <w:rPr>
          <w:rFonts w:ascii="Trebuchet MS" w:hAnsi="Trebuchet MS" w:cs="Tahoma"/>
          <w:b/>
          <w:sz w:val="20"/>
          <w:szCs w:val="20"/>
        </w:rPr>
        <w:t>(uporaba izrazov)</w:t>
      </w:r>
    </w:p>
    <w:p w:rsidR="00B97A56" w:rsidRPr="00B97A56" w:rsidRDefault="00B97A56" w:rsidP="00B97A56">
      <w:pPr>
        <w:spacing w:after="0" w:line="240" w:lineRule="auto"/>
        <w:jc w:val="both"/>
        <w:rPr>
          <w:rFonts w:ascii="Trebuchet MS" w:hAnsi="Trebuchet MS" w:cs="Tahoma"/>
          <w:sz w:val="20"/>
          <w:szCs w:val="20"/>
        </w:rPr>
      </w:pPr>
      <w:r w:rsidRPr="00B97A56">
        <w:rPr>
          <w:rFonts w:ascii="Trebuchet MS" w:hAnsi="Trebuchet MS" w:cs="Tahoma"/>
          <w:sz w:val="20"/>
          <w:szCs w:val="20"/>
        </w:rPr>
        <w:t>V pravilniku uporabljeni izrazi v slovnični obliki za moški spol se uporabljajo kot nevtralni za ženski in moški spol.</w:t>
      </w:r>
    </w:p>
    <w:p w:rsidR="00B97A56" w:rsidRPr="00B97A56" w:rsidRDefault="00B97A56" w:rsidP="00B97A56">
      <w:pPr>
        <w:spacing w:after="0" w:line="240" w:lineRule="auto"/>
        <w:jc w:val="both"/>
        <w:rPr>
          <w:rFonts w:ascii="Trebuchet MS" w:hAnsi="Trebuchet MS" w:cs="Tahoma"/>
          <w:sz w:val="20"/>
          <w:szCs w:val="20"/>
        </w:rPr>
      </w:pPr>
    </w:p>
    <w:p w:rsidR="00B97A56" w:rsidRPr="00B97A56" w:rsidRDefault="00B97A56" w:rsidP="00B97A56">
      <w:pPr>
        <w:shd w:val="clear" w:color="auto" w:fill="F2F2F2" w:themeFill="background1" w:themeFillShade="F2"/>
        <w:spacing w:after="0" w:line="240" w:lineRule="auto"/>
        <w:jc w:val="both"/>
        <w:rPr>
          <w:rFonts w:ascii="Trebuchet MS" w:hAnsi="Trebuchet MS" w:cs="Tahoma"/>
          <w:b/>
          <w:i/>
          <w:sz w:val="20"/>
          <w:szCs w:val="20"/>
        </w:rPr>
      </w:pPr>
      <w:r w:rsidRPr="00B97A56">
        <w:rPr>
          <w:rFonts w:ascii="Trebuchet MS" w:hAnsi="Trebuchet MS" w:cs="Tahoma"/>
          <w:b/>
          <w:i/>
          <w:sz w:val="20"/>
          <w:szCs w:val="20"/>
        </w:rPr>
        <w:t>Obrazložitev:</w:t>
      </w:r>
    </w:p>
    <w:p w:rsidR="00B97A56" w:rsidRDefault="00B97A56" w:rsidP="00B97A56">
      <w:pPr>
        <w:shd w:val="clear" w:color="auto" w:fill="F2F2F2" w:themeFill="background1" w:themeFillShade="F2"/>
        <w:spacing w:after="0" w:line="240" w:lineRule="auto"/>
        <w:jc w:val="both"/>
        <w:rPr>
          <w:rFonts w:ascii="Trebuchet MS" w:hAnsi="Trebuchet MS" w:cs="Tahoma"/>
          <w:i/>
          <w:sz w:val="20"/>
          <w:szCs w:val="20"/>
        </w:rPr>
      </w:pPr>
      <w:r w:rsidRPr="00B97A56">
        <w:rPr>
          <w:rFonts w:ascii="Trebuchet MS" w:hAnsi="Trebuchet MS" w:cs="Tahoma"/>
          <w:i/>
          <w:sz w:val="20"/>
          <w:szCs w:val="20"/>
        </w:rPr>
        <w:t xml:space="preserve">Besedilo je oblikovano na podlagi določil </w:t>
      </w:r>
      <w:r>
        <w:rPr>
          <w:rFonts w:ascii="Trebuchet MS" w:hAnsi="Trebuchet MS" w:cs="Tahoma"/>
          <w:i/>
          <w:sz w:val="20"/>
          <w:szCs w:val="20"/>
        </w:rPr>
        <w:t>Zakona o enakih možnostih žensk in moških /ZEMŽ/ in Zakona o uresničevanju načela enakega obravnavanja /ZUNEO/, ki zahtevajo dosledno uporabo izrazov, ki se nanašajo na osebe v ženski in moški jezikovni obliki.</w:t>
      </w:r>
    </w:p>
    <w:p w:rsidR="00B97A56" w:rsidRDefault="00B97A56" w:rsidP="00B97A56">
      <w:pPr>
        <w:shd w:val="clear" w:color="auto" w:fill="FFFFFF" w:themeFill="background1"/>
        <w:spacing w:after="0" w:line="240" w:lineRule="auto"/>
        <w:jc w:val="both"/>
        <w:rPr>
          <w:rFonts w:ascii="Trebuchet MS" w:hAnsi="Trebuchet MS" w:cs="Tahoma"/>
          <w:sz w:val="20"/>
          <w:szCs w:val="20"/>
        </w:rPr>
      </w:pPr>
    </w:p>
    <w:p w:rsidR="00B97A56" w:rsidRDefault="00B97A56" w:rsidP="00B97A56">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2. člen</w:t>
      </w:r>
    </w:p>
    <w:p w:rsidR="00B97A56" w:rsidRDefault="00B97A56" w:rsidP="00B97A56">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(vsebina pravilnika)</w:t>
      </w:r>
    </w:p>
    <w:p w:rsidR="00B97A56" w:rsidRDefault="00B97A56" w:rsidP="00B97A56">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Ta pravilnik določa merila za izplačilo sejnin za člane občinskega sveta, člane delovnih teles občinskega sveta in člane drugih občinskih organov Občine Zavrč (v nadaljevanju: občina).</w:t>
      </w:r>
    </w:p>
    <w:p w:rsidR="00B97A56" w:rsidRDefault="00B97A56" w:rsidP="00B97A56">
      <w:pPr>
        <w:shd w:val="clear" w:color="auto" w:fill="FFFFFF" w:themeFill="background1"/>
        <w:spacing w:after="0" w:line="240" w:lineRule="auto"/>
        <w:jc w:val="both"/>
        <w:rPr>
          <w:rFonts w:ascii="Trebuchet MS" w:hAnsi="Trebuchet MS" w:cs="Tahoma"/>
          <w:sz w:val="20"/>
          <w:szCs w:val="20"/>
        </w:rPr>
      </w:pPr>
    </w:p>
    <w:p w:rsidR="00B97A56" w:rsidRDefault="00B97A56" w:rsidP="00DD1BDA">
      <w:pPr>
        <w:shd w:val="clear" w:color="auto" w:fill="F2F2F2" w:themeFill="background1" w:themeFillShade="F2"/>
        <w:spacing w:after="0" w:line="240" w:lineRule="auto"/>
        <w:jc w:val="both"/>
        <w:rPr>
          <w:rFonts w:ascii="Trebuchet MS" w:hAnsi="Trebuchet MS" w:cs="Tahoma"/>
          <w:b/>
          <w:i/>
          <w:sz w:val="20"/>
          <w:szCs w:val="20"/>
        </w:rPr>
      </w:pPr>
      <w:r>
        <w:rPr>
          <w:rFonts w:ascii="Trebuchet MS" w:hAnsi="Trebuchet MS" w:cs="Tahoma"/>
          <w:b/>
          <w:i/>
          <w:sz w:val="20"/>
          <w:szCs w:val="20"/>
        </w:rPr>
        <w:t>Obrazložitev:</w:t>
      </w:r>
    </w:p>
    <w:p w:rsidR="00B97A56" w:rsidRDefault="00B97A56" w:rsidP="00DD1BDA">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je oblikovano na podlagi določila sedmega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w:t>
      </w:r>
      <w:r w:rsidR="00DD1BDA">
        <w:rPr>
          <w:rFonts w:ascii="Trebuchet MS" w:hAnsi="Trebuchet MS" w:cs="Tahoma"/>
          <w:i/>
          <w:sz w:val="20"/>
          <w:szCs w:val="20"/>
        </w:rPr>
        <w:t xml:space="preserve">/ZLS/, ki določa, da občinski svet s svojim aktom določi merila za izplačilo sejnin za člane občinskih svetov, člane delovnih teles občinskega sveta in člane drugih občinskih organov. Občinski svet lahko s svojim aktom določi tudi merila za izplačilo sejnin članov svetov ožjih delov občine. Na tem mestu moramo opomniti na določilo prvega odstavka 65. člena Zakona o lokalni samoupravi /ZLS/, ki določa, da občina ureja zadeve iz svoje pristojnosti z odloki, odredbami, pravilniki in navodili. </w:t>
      </w:r>
    </w:p>
    <w:p w:rsidR="00DD1BDA" w:rsidRDefault="00DD1BDA" w:rsidP="00B97A56">
      <w:pPr>
        <w:shd w:val="clear" w:color="auto" w:fill="FFFFFF" w:themeFill="background1"/>
        <w:spacing w:after="0" w:line="240" w:lineRule="auto"/>
        <w:jc w:val="both"/>
        <w:rPr>
          <w:rFonts w:ascii="Trebuchet MS" w:hAnsi="Trebuchet MS" w:cs="Tahoma"/>
          <w:i/>
          <w:sz w:val="20"/>
          <w:szCs w:val="20"/>
        </w:rPr>
      </w:pPr>
    </w:p>
    <w:p w:rsidR="00DD1BDA" w:rsidRDefault="00DD1BDA" w:rsidP="00B97A56">
      <w:pPr>
        <w:shd w:val="clear" w:color="auto" w:fill="FFFFFF" w:themeFill="background1"/>
        <w:spacing w:after="0" w:line="240" w:lineRule="auto"/>
        <w:jc w:val="both"/>
        <w:rPr>
          <w:rFonts w:ascii="Trebuchet MS" w:hAnsi="Trebuchet MS" w:cs="Tahoma"/>
          <w:b/>
          <w:sz w:val="20"/>
          <w:szCs w:val="20"/>
        </w:rPr>
      </w:pPr>
      <w:r>
        <w:rPr>
          <w:rFonts w:ascii="Trebuchet MS" w:hAnsi="Trebuchet MS" w:cs="Tahoma"/>
          <w:b/>
          <w:sz w:val="20"/>
          <w:szCs w:val="20"/>
        </w:rPr>
        <w:t>2.</w:t>
      </w:r>
      <w:r>
        <w:rPr>
          <w:rFonts w:ascii="Trebuchet MS" w:hAnsi="Trebuchet MS" w:cs="Tahoma"/>
          <w:b/>
          <w:sz w:val="20"/>
          <w:szCs w:val="20"/>
        </w:rPr>
        <w:tab/>
      </w:r>
      <w:r w:rsidR="00617747">
        <w:rPr>
          <w:rFonts w:ascii="Trebuchet MS" w:hAnsi="Trebuchet MS" w:cs="Tahoma"/>
          <w:b/>
          <w:sz w:val="20"/>
          <w:szCs w:val="20"/>
        </w:rPr>
        <w:t>Merila za izplačilo sejnin</w:t>
      </w:r>
    </w:p>
    <w:p w:rsidR="00DD1BDA" w:rsidRDefault="00DD1BDA" w:rsidP="00B97A56">
      <w:pPr>
        <w:shd w:val="clear" w:color="auto" w:fill="FFFFFF" w:themeFill="background1"/>
        <w:spacing w:after="0" w:line="240" w:lineRule="auto"/>
        <w:jc w:val="both"/>
        <w:rPr>
          <w:rFonts w:ascii="Trebuchet MS" w:hAnsi="Trebuchet MS" w:cs="Tahoma"/>
          <w:b/>
          <w:sz w:val="20"/>
          <w:szCs w:val="20"/>
        </w:rPr>
      </w:pPr>
    </w:p>
    <w:p w:rsidR="00DD1BDA" w:rsidRDefault="00DD1BDA" w:rsidP="00DD1BDA">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3. člen</w:t>
      </w:r>
    </w:p>
    <w:p w:rsidR="00DD1BDA" w:rsidRDefault="00DD1BDA" w:rsidP="00DD1BDA">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(sejnina)</w:t>
      </w:r>
    </w:p>
    <w:p w:rsidR="00DD1BDA" w:rsidRDefault="00DD1BDA" w:rsidP="00DD1BDA">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lastRenderedPageBreak/>
        <w:t>(1) Članu občinskega sveta, razen podžupanu pripada sejnina za udeležbo na seji občinskega sveta ali seji delovnega telesa občinskega sveta.</w:t>
      </w:r>
      <w:r w:rsidR="00340688">
        <w:rPr>
          <w:rFonts w:ascii="Trebuchet MS" w:hAnsi="Trebuchet MS" w:cs="Tahoma"/>
          <w:sz w:val="20"/>
          <w:szCs w:val="20"/>
        </w:rPr>
        <w:t xml:space="preserve"> Sejnina za udeležbo na </w:t>
      </w:r>
      <w:r w:rsidR="00EF4141">
        <w:rPr>
          <w:rFonts w:ascii="Trebuchet MS" w:hAnsi="Trebuchet MS" w:cs="Tahoma"/>
          <w:sz w:val="20"/>
          <w:szCs w:val="20"/>
        </w:rPr>
        <w:t xml:space="preserve">redni oziroma </w:t>
      </w:r>
      <w:r w:rsidR="00340688">
        <w:rPr>
          <w:rFonts w:ascii="Trebuchet MS" w:hAnsi="Trebuchet MS" w:cs="Tahoma"/>
          <w:sz w:val="20"/>
          <w:szCs w:val="20"/>
        </w:rPr>
        <w:t>seji delovnega telesa občinskega sveta pripada tudi član</w:t>
      </w:r>
      <w:r w:rsidR="00EF4141">
        <w:rPr>
          <w:rFonts w:ascii="Trebuchet MS" w:hAnsi="Trebuchet MS" w:cs="Tahoma"/>
          <w:sz w:val="20"/>
          <w:szCs w:val="20"/>
        </w:rPr>
        <w:t>u delovnega</w:t>
      </w:r>
      <w:r w:rsidR="00340688">
        <w:rPr>
          <w:rFonts w:ascii="Trebuchet MS" w:hAnsi="Trebuchet MS" w:cs="Tahoma"/>
          <w:sz w:val="20"/>
          <w:szCs w:val="20"/>
        </w:rPr>
        <w:t xml:space="preserve"> teles</w:t>
      </w:r>
      <w:r w:rsidR="00EF4141">
        <w:rPr>
          <w:rFonts w:ascii="Trebuchet MS" w:hAnsi="Trebuchet MS" w:cs="Tahoma"/>
          <w:sz w:val="20"/>
          <w:szCs w:val="20"/>
        </w:rPr>
        <w:t>a</w:t>
      </w:r>
      <w:r w:rsidR="00340688">
        <w:rPr>
          <w:rFonts w:ascii="Trebuchet MS" w:hAnsi="Trebuchet MS" w:cs="Tahoma"/>
          <w:sz w:val="20"/>
          <w:szCs w:val="20"/>
        </w:rPr>
        <w:t xml:space="preserve"> občinskega sveta, ki </w:t>
      </w:r>
      <w:r w:rsidR="00EF4141">
        <w:rPr>
          <w:rFonts w:ascii="Trebuchet MS" w:hAnsi="Trebuchet MS" w:cs="Tahoma"/>
          <w:sz w:val="20"/>
          <w:szCs w:val="20"/>
        </w:rPr>
        <w:t>je imenovan</w:t>
      </w:r>
      <w:r w:rsidR="00340688">
        <w:rPr>
          <w:rFonts w:ascii="Trebuchet MS" w:hAnsi="Trebuchet MS" w:cs="Tahoma"/>
          <w:sz w:val="20"/>
          <w:szCs w:val="20"/>
        </w:rPr>
        <w:t xml:space="preserve"> izmed drugih občanov.</w:t>
      </w:r>
    </w:p>
    <w:p w:rsidR="00DD1BDA" w:rsidRDefault="00DD1BDA" w:rsidP="00DD1BDA">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(2) Č</w:t>
      </w:r>
      <w:r w:rsidR="00EF4141">
        <w:rPr>
          <w:rFonts w:ascii="Trebuchet MS" w:hAnsi="Trebuchet MS" w:cs="Tahoma"/>
          <w:sz w:val="20"/>
          <w:szCs w:val="20"/>
        </w:rPr>
        <w:t>lanu</w:t>
      </w:r>
      <w:r>
        <w:rPr>
          <w:rFonts w:ascii="Trebuchet MS" w:hAnsi="Trebuchet MS" w:cs="Tahoma"/>
          <w:sz w:val="20"/>
          <w:szCs w:val="20"/>
        </w:rPr>
        <w:t xml:space="preserve"> </w:t>
      </w:r>
      <w:r w:rsidR="00340688">
        <w:rPr>
          <w:rFonts w:ascii="Trebuchet MS" w:hAnsi="Trebuchet MS" w:cs="Tahoma"/>
          <w:sz w:val="20"/>
          <w:szCs w:val="20"/>
        </w:rPr>
        <w:t>nadzornega odbora pripada sejnina za udeležbo na seji nadzornega odbora.</w:t>
      </w:r>
    </w:p>
    <w:p w:rsidR="00EF4141" w:rsidRPr="00DD1BDA" w:rsidRDefault="00EF4141" w:rsidP="00DD1BDA">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(3) Članu občinskega sveta, članu delovnega telesa in članu nadzornega odbora pripada sejnina za udeležbo na redni in izredni seji.</w:t>
      </w:r>
      <w:r w:rsidR="00617747">
        <w:rPr>
          <w:rFonts w:ascii="Trebuchet MS" w:hAnsi="Trebuchet MS" w:cs="Tahoma"/>
          <w:sz w:val="20"/>
          <w:szCs w:val="20"/>
        </w:rPr>
        <w:t xml:space="preserve"> </w:t>
      </w:r>
    </w:p>
    <w:p w:rsidR="00DD1BDA" w:rsidRDefault="00DD1BDA" w:rsidP="00B97A56">
      <w:pPr>
        <w:shd w:val="clear" w:color="auto" w:fill="FFFFFF" w:themeFill="background1"/>
        <w:spacing w:after="0" w:line="240" w:lineRule="auto"/>
        <w:jc w:val="both"/>
        <w:rPr>
          <w:rFonts w:ascii="Trebuchet MS" w:hAnsi="Trebuchet MS" w:cs="Tahoma"/>
          <w:b/>
          <w:i/>
          <w:sz w:val="20"/>
          <w:szCs w:val="20"/>
        </w:rPr>
      </w:pPr>
    </w:p>
    <w:p w:rsidR="00B97A56" w:rsidRDefault="00DD1BDA" w:rsidP="00340688">
      <w:pPr>
        <w:shd w:val="clear" w:color="auto" w:fill="F2F2F2" w:themeFill="background1" w:themeFillShade="F2"/>
        <w:spacing w:after="0" w:line="240" w:lineRule="auto"/>
        <w:jc w:val="both"/>
        <w:rPr>
          <w:rFonts w:ascii="Trebuchet MS" w:hAnsi="Trebuchet MS" w:cs="Tahoma"/>
          <w:b/>
          <w:i/>
          <w:sz w:val="20"/>
          <w:szCs w:val="20"/>
        </w:rPr>
      </w:pPr>
      <w:r>
        <w:rPr>
          <w:rFonts w:ascii="Trebuchet MS" w:hAnsi="Trebuchet MS" w:cs="Tahoma"/>
          <w:b/>
          <w:i/>
          <w:sz w:val="20"/>
          <w:szCs w:val="20"/>
        </w:rPr>
        <w:t>Obrazložitev:</w:t>
      </w:r>
    </w:p>
    <w:p w:rsidR="00DD1BDA" w:rsidRDefault="00DD1BDA" w:rsidP="00340688">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prvega odstavka je oblikovano na podlagi določila šestega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/ZLS/, ki določa, da članu občinskega sveta, razen podžupanu, pripada sejnina za udeležbo na seji občinskega sveta ali seji delovnega telesa občinskega sveta. </w:t>
      </w:r>
      <w:r w:rsidR="00340688">
        <w:rPr>
          <w:rFonts w:ascii="Trebuchet MS" w:hAnsi="Trebuchet MS" w:cs="Tahoma"/>
          <w:i/>
          <w:sz w:val="20"/>
          <w:szCs w:val="20"/>
        </w:rPr>
        <w:t>Na tem mestu je potrebno opomniti na določilo drugega odstavka 30. člena Zakona o lokalni samoupravi /ZLS/, ki določa, da lahko občinski svet ustanovi komisije in odbore kot svoja delovna telesa. Člane komisij in odborov imenuje izmed članov občinskega sveta, lahko pa tudi izmed drugih občanov, vendar največ polovico članov.</w:t>
      </w:r>
    </w:p>
    <w:p w:rsidR="00340688" w:rsidRDefault="00340688" w:rsidP="00340688">
      <w:pPr>
        <w:shd w:val="clear" w:color="auto" w:fill="F2F2F2" w:themeFill="background1" w:themeFillShade="F2"/>
        <w:spacing w:after="0" w:line="240" w:lineRule="auto"/>
        <w:jc w:val="both"/>
        <w:rPr>
          <w:rFonts w:ascii="Trebuchet MS" w:hAnsi="Trebuchet MS" w:cs="Tahoma"/>
          <w:i/>
          <w:sz w:val="20"/>
          <w:szCs w:val="20"/>
        </w:rPr>
      </w:pPr>
    </w:p>
    <w:p w:rsidR="00340688" w:rsidRDefault="00340688" w:rsidP="00340688">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drugega odstavka je oblikovano na podlagi določila drugega odstavka </w:t>
      </w:r>
      <w:proofErr w:type="spellStart"/>
      <w:r>
        <w:rPr>
          <w:rFonts w:ascii="Trebuchet MS" w:hAnsi="Trebuchet MS" w:cs="Tahoma"/>
          <w:i/>
          <w:sz w:val="20"/>
          <w:szCs w:val="20"/>
        </w:rPr>
        <w:t>32.a</w:t>
      </w:r>
      <w:proofErr w:type="spellEnd"/>
      <w:r>
        <w:rPr>
          <w:rFonts w:ascii="Trebuchet MS" w:hAnsi="Trebuchet MS" w:cs="Tahoma"/>
          <w:i/>
          <w:sz w:val="20"/>
          <w:szCs w:val="20"/>
        </w:rPr>
        <w:t xml:space="preserve"> člena Zakona o lokalni samoupravi /ZLS/, ki določa, da člani nadzornega odbora opravljajo svoje naloge nepoklicno. Ob tem moramo opomniti na določilo sedmega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/ZLS/, ki določa, da občinski svet s svojim aktom določi merila za izplačilo sejnin za člane občinskih svetov, člane delovnih teles občinskega sveta in</w:t>
      </w:r>
      <w:r w:rsidR="00EF4141">
        <w:rPr>
          <w:rFonts w:ascii="Trebuchet MS" w:hAnsi="Trebuchet MS" w:cs="Tahoma"/>
          <w:i/>
          <w:sz w:val="20"/>
          <w:szCs w:val="20"/>
        </w:rPr>
        <w:t xml:space="preserve"> člane drugih občinskih organov.</w:t>
      </w:r>
    </w:p>
    <w:p w:rsidR="00EF4141" w:rsidRDefault="00EF4141" w:rsidP="00340688">
      <w:pPr>
        <w:shd w:val="clear" w:color="auto" w:fill="F2F2F2" w:themeFill="background1" w:themeFillShade="F2"/>
        <w:spacing w:after="0" w:line="240" w:lineRule="auto"/>
        <w:jc w:val="both"/>
        <w:rPr>
          <w:rFonts w:ascii="Trebuchet MS" w:hAnsi="Trebuchet MS" w:cs="Tahoma"/>
          <w:i/>
          <w:sz w:val="20"/>
          <w:szCs w:val="20"/>
        </w:rPr>
      </w:pPr>
    </w:p>
    <w:p w:rsidR="00EF4141" w:rsidRDefault="00EF4141" w:rsidP="00340688">
      <w:pPr>
        <w:shd w:val="clear" w:color="auto" w:fill="F2F2F2" w:themeFill="background1" w:themeFillShade="F2"/>
        <w:spacing w:after="0" w:line="240" w:lineRule="auto"/>
        <w:jc w:val="both"/>
        <w:rPr>
          <w:rFonts w:ascii="Trebuchet MS" w:hAnsi="Trebuchet MS" w:cs="Tahoma"/>
          <w:sz w:val="20"/>
          <w:szCs w:val="20"/>
        </w:rPr>
      </w:pPr>
      <w:r>
        <w:rPr>
          <w:rFonts w:ascii="Trebuchet MS" w:hAnsi="Trebuchet MS" w:cs="Tahoma"/>
          <w:i/>
          <w:sz w:val="20"/>
          <w:szCs w:val="20"/>
        </w:rPr>
        <w:t>Z besedilom tretjega odstavka je določeno, da članu občinskega sveta, članu delovnega telesa občinskega sveta in članu nadzornega odbora pripada sejnina zgolj za udeležbo na redni oziroma izredni seji, ne pa tudi za udeležbo na dopisni seji.</w:t>
      </w:r>
    </w:p>
    <w:p w:rsidR="00340688" w:rsidRDefault="00340688" w:rsidP="00B97A56">
      <w:pPr>
        <w:shd w:val="clear" w:color="auto" w:fill="FFFFFF" w:themeFill="background1"/>
        <w:spacing w:after="0" w:line="240" w:lineRule="auto"/>
        <w:jc w:val="both"/>
        <w:rPr>
          <w:rFonts w:ascii="Trebuchet MS" w:hAnsi="Trebuchet MS" w:cs="Tahoma"/>
          <w:sz w:val="20"/>
          <w:szCs w:val="20"/>
        </w:rPr>
      </w:pPr>
    </w:p>
    <w:p w:rsidR="00340688" w:rsidRDefault="00340688" w:rsidP="00340688">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4. člen</w:t>
      </w:r>
    </w:p>
    <w:p w:rsidR="00340688" w:rsidRDefault="00340688" w:rsidP="00340688">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w:t>
      </w:r>
      <w:r w:rsidR="00EF4141">
        <w:rPr>
          <w:rFonts w:ascii="Trebuchet MS" w:hAnsi="Trebuchet MS" w:cs="Tahoma"/>
          <w:b/>
          <w:sz w:val="20"/>
          <w:szCs w:val="20"/>
        </w:rPr>
        <w:t>letni znesek sejnin</w:t>
      </w:r>
      <w:r>
        <w:rPr>
          <w:rFonts w:ascii="Trebuchet MS" w:hAnsi="Trebuchet MS" w:cs="Tahoma"/>
          <w:b/>
          <w:sz w:val="20"/>
          <w:szCs w:val="20"/>
        </w:rPr>
        <w:t>)</w:t>
      </w:r>
    </w:p>
    <w:p w:rsidR="00340688" w:rsidRDefault="00340688" w:rsidP="00340688">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Letni znesek sejnin za člane občinskega sveta, vključno s sejninami za seje delovnih teles občinskega sveta, ki se izplača posameznemu članu občinskega sveta,</w:t>
      </w:r>
      <w:r w:rsidR="00617747">
        <w:rPr>
          <w:rFonts w:ascii="Trebuchet MS" w:hAnsi="Trebuchet MS" w:cs="Tahoma"/>
          <w:sz w:val="20"/>
          <w:szCs w:val="20"/>
        </w:rPr>
        <w:t xml:space="preserve"> sejnin, ki se izplača posameznemu članu delovnega telesa občinskega sveta ter sejnin, ki se izplača posameznemu članu nadzornega odbora</w:t>
      </w:r>
      <w:r>
        <w:rPr>
          <w:rFonts w:ascii="Trebuchet MS" w:hAnsi="Trebuchet MS" w:cs="Tahoma"/>
          <w:sz w:val="20"/>
          <w:szCs w:val="20"/>
        </w:rPr>
        <w:t xml:space="preserve"> ne sme presegati 7,5% plače župana.</w:t>
      </w:r>
    </w:p>
    <w:p w:rsidR="00340688" w:rsidRDefault="00340688" w:rsidP="00340688">
      <w:pPr>
        <w:shd w:val="clear" w:color="auto" w:fill="FFFFFF" w:themeFill="background1"/>
        <w:spacing w:after="0" w:line="240" w:lineRule="auto"/>
        <w:jc w:val="both"/>
        <w:rPr>
          <w:rFonts w:ascii="Trebuchet MS" w:hAnsi="Trebuchet MS" w:cs="Tahoma"/>
          <w:sz w:val="20"/>
          <w:szCs w:val="20"/>
        </w:rPr>
      </w:pPr>
    </w:p>
    <w:p w:rsidR="00EF4141" w:rsidRDefault="00EF4141" w:rsidP="00EF4141">
      <w:pPr>
        <w:shd w:val="clear" w:color="auto" w:fill="F2F2F2" w:themeFill="background1" w:themeFillShade="F2"/>
        <w:spacing w:after="0" w:line="240" w:lineRule="auto"/>
        <w:jc w:val="both"/>
        <w:rPr>
          <w:rFonts w:ascii="Trebuchet MS" w:hAnsi="Trebuchet MS" w:cs="Tahoma"/>
          <w:b/>
          <w:i/>
          <w:sz w:val="20"/>
          <w:szCs w:val="20"/>
        </w:rPr>
      </w:pPr>
      <w:r>
        <w:rPr>
          <w:rFonts w:ascii="Trebuchet MS" w:hAnsi="Trebuchet MS" w:cs="Tahoma"/>
          <w:b/>
          <w:i/>
          <w:sz w:val="20"/>
          <w:szCs w:val="20"/>
        </w:rPr>
        <w:t>Obrazložitev:</w:t>
      </w:r>
    </w:p>
    <w:p w:rsidR="00EF4141" w:rsidRPr="00EF4141" w:rsidRDefault="00EF4141" w:rsidP="00EF4141">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je oblikovano na podlagi določila šestega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/ZLS/, ki določa, da letni znesek sejnin, vključno s sejninami delovnih teles občinskega sveta, ki se izplača posameznemu članu občinskega sveta, ne sme presegati 7,5% plače župana. Pri tem se ne upošteva dodatek za delovno dobo.</w:t>
      </w:r>
    </w:p>
    <w:p w:rsidR="00EF4141" w:rsidRDefault="00EF4141" w:rsidP="00340688">
      <w:pPr>
        <w:shd w:val="clear" w:color="auto" w:fill="FFFFFF" w:themeFill="background1"/>
        <w:spacing w:after="0" w:line="240" w:lineRule="auto"/>
        <w:jc w:val="both"/>
        <w:rPr>
          <w:rFonts w:ascii="Trebuchet MS" w:hAnsi="Trebuchet MS" w:cs="Tahoma"/>
          <w:sz w:val="20"/>
          <w:szCs w:val="20"/>
        </w:rPr>
      </w:pPr>
    </w:p>
    <w:p w:rsidR="00340688" w:rsidRDefault="00EF4141" w:rsidP="00EF4141">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5. člen</w:t>
      </w:r>
    </w:p>
    <w:p w:rsidR="00EF4141" w:rsidRDefault="00EF4141" w:rsidP="00EF4141">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(višina sejnin</w:t>
      </w:r>
      <w:r w:rsidR="00617747">
        <w:rPr>
          <w:rFonts w:ascii="Trebuchet MS" w:hAnsi="Trebuchet MS" w:cs="Tahoma"/>
          <w:b/>
          <w:sz w:val="20"/>
          <w:szCs w:val="20"/>
        </w:rPr>
        <w:t>e</w:t>
      </w:r>
      <w:r>
        <w:rPr>
          <w:rFonts w:ascii="Trebuchet MS" w:hAnsi="Trebuchet MS" w:cs="Tahoma"/>
          <w:b/>
          <w:sz w:val="20"/>
          <w:szCs w:val="20"/>
        </w:rPr>
        <w:t>)</w:t>
      </w:r>
    </w:p>
    <w:p w:rsidR="00EF4141" w:rsidRDefault="00EF4141" w:rsidP="00EF4141">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 xml:space="preserve">(1) Članu občinskega sveta </w:t>
      </w:r>
      <w:r w:rsidR="00824436">
        <w:rPr>
          <w:rFonts w:ascii="Trebuchet MS" w:hAnsi="Trebuchet MS" w:cs="Tahoma"/>
          <w:sz w:val="20"/>
          <w:szCs w:val="20"/>
        </w:rPr>
        <w:t>pripada sejnina za:</w:t>
      </w:r>
    </w:p>
    <w:p w:rsidR="00824436" w:rsidRDefault="00824436" w:rsidP="00824436">
      <w:pPr>
        <w:pStyle w:val="Odstavekseznama"/>
        <w:numPr>
          <w:ilvl w:val="0"/>
          <w:numId w:val="1"/>
        </w:num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 xml:space="preserve">udeležbo na seji občinskega sveta v višini </w:t>
      </w:r>
      <w:r w:rsidR="00D220C0">
        <w:rPr>
          <w:rFonts w:ascii="Trebuchet MS" w:hAnsi="Trebuchet MS" w:cs="Tahoma"/>
          <w:sz w:val="20"/>
          <w:szCs w:val="20"/>
        </w:rPr>
        <w:t xml:space="preserve">7 </w:t>
      </w:r>
      <w:r>
        <w:rPr>
          <w:rFonts w:ascii="Trebuchet MS" w:hAnsi="Trebuchet MS" w:cs="Tahoma"/>
          <w:sz w:val="20"/>
          <w:szCs w:val="20"/>
        </w:rPr>
        <w:t>% plače župana;</w:t>
      </w:r>
    </w:p>
    <w:p w:rsidR="00824436" w:rsidRDefault="00824436" w:rsidP="005D6AEA">
      <w:pPr>
        <w:pStyle w:val="Odstavekseznama"/>
        <w:numPr>
          <w:ilvl w:val="0"/>
          <w:numId w:val="1"/>
        </w:num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udeležbo na seji delovnega telesa občinskega sveta</w:t>
      </w:r>
      <w:r w:rsidR="00D220C0">
        <w:rPr>
          <w:rFonts w:ascii="Trebuchet MS" w:hAnsi="Trebuchet MS" w:cs="Tahoma"/>
          <w:sz w:val="20"/>
          <w:szCs w:val="20"/>
        </w:rPr>
        <w:t xml:space="preserve">, katerega član je, v višini </w:t>
      </w:r>
      <w:r w:rsidR="005D6AEA">
        <w:rPr>
          <w:rFonts w:ascii="Trebuchet MS" w:hAnsi="Trebuchet MS" w:cs="Tahoma"/>
          <w:sz w:val="20"/>
          <w:szCs w:val="20"/>
        </w:rPr>
        <w:t>1,5% plače župana, katerega predsednik je, v višini 2,5</w:t>
      </w:r>
      <w:r w:rsidR="005D6AEA" w:rsidRPr="005D6AEA">
        <w:rPr>
          <w:rFonts w:ascii="Trebuchet MS" w:hAnsi="Trebuchet MS" w:cs="Tahoma"/>
          <w:sz w:val="20"/>
          <w:szCs w:val="20"/>
        </w:rPr>
        <w:t>%</w:t>
      </w:r>
    </w:p>
    <w:p w:rsidR="00824436" w:rsidRPr="00D220C0" w:rsidRDefault="00824436" w:rsidP="00D220C0">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 xml:space="preserve">(2) Članu </w:t>
      </w:r>
      <w:r w:rsidR="0001744A">
        <w:rPr>
          <w:rFonts w:ascii="Trebuchet MS" w:hAnsi="Trebuchet MS" w:cs="Tahoma"/>
          <w:sz w:val="20"/>
          <w:szCs w:val="20"/>
        </w:rPr>
        <w:t>delovnega telesa občinskega sveta</w:t>
      </w:r>
      <w:r>
        <w:rPr>
          <w:rFonts w:ascii="Trebuchet MS" w:hAnsi="Trebuchet MS" w:cs="Tahoma"/>
          <w:sz w:val="20"/>
          <w:szCs w:val="20"/>
        </w:rPr>
        <w:t>, ki je imenovan izmed drugih občanov</w:t>
      </w:r>
      <w:r w:rsidR="0001744A">
        <w:rPr>
          <w:rFonts w:ascii="Trebuchet MS" w:hAnsi="Trebuchet MS" w:cs="Tahoma"/>
          <w:sz w:val="20"/>
          <w:szCs w:val="20"/>
        </w:rPr>
        <w:t>,</w:t>
      </w:r>
      <w:r w:rsidR="00D220C0">
        <w:rPr>
          <w:rFonts w:ascii="Trebuchet MS" w:hAnsi="Trebuchet MS" w:cs="Tahoma"/>
          <w:sz w:val="20"/>
          <w:szCs w:val="20"/>
        </w:rPr>
        <w:t xml:space="preserve"> pripada sejnina za </w:t>
      </w:r>
      <w:r w:rsidRPr="00D220C0">
        <w:rPr>
          <w:rFonts w:ascii="Trebuchet MS" w:hAnsi="Trebuchet MS" w:cs="Tahoma"/>
          <w:sz w:val="20"/>
          <w:szCs w:val="20"/>
        </w:rPr>
        <w:t xml:space="preserve">udeležbo na seji delovnega telesa občinskega sveta, katerega član je, v višini </w:t>
      </w:r>
      <w:r w:rsidR="005D6AEA">
        <w:rPr>
          <w:rFonts w:ascii="Trebuchet MS" w:hAnsi="Trebuchet MS" w:cs="Tahoma"/>
          <w:sz w:val="20"/>
          <w:szCs w:val="20"/>
        </w:rPr>
        <w:t>1.5</w:t>
      </w:r>
      <w:r w:rsidRPr="00D220C0">
        <w:rPr>
          <w:rFonts w:ascii="Trebuchet MS" w:hAnsi="Trebuchet MS" w:cs="Tahoma"/>
          <w:sz w:val="20"/>
          <w:szCs w:val="20"/>
        </w:rPr>
        <w:t xml:space="preserve"> % plače župana.</w:t>
      </w:r>
    </w:p>
    <w:p w:rsidR="00824436" w:rsidRDefault="00824436" w:rsidP="00D220C0">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(3) Članu nadzor</w:t>
      </w:r>
      <w:r w:rsidR="00D220C0">
        <w:rPr>
          <w:rFonts w:ascii="Trebuchet MS" w:hAnsi="Trebuchet MS" w:cs="Tahoma"/>
          <w:sz w:val="20"/>
          <w:szCs w:val="20"/>
        </w:rPr>
        <w:t xml:space="preserve">nega odbora pripada sejnina za </w:t>
      </w:r>
      <w:r>
        <w:rPr>
          <w:rFonts w:ascii="Trebuchet MS" w:hAnsi="Trebuchet MS" w:cs="Tahoma"/>
          <w:sz w:val="20"/>
          <w:szCs w:val="20"/>
        </w:rPr>
        <w:t xml:space="preserve">udeležbo na seji nadzornega odbora v višini </w:t>
      </w:r>
      <w:r w:rsidR="00D220C0">
        <w:rPr>
          <w:rFonts w:ascii="Trebuchet MS" w:hAnsi="Trebuchet MS" w:cs="Tahoma"/>
          <w:sz w:val="20"/>
          <w:szCs w:val="20"/>
        </w:rPr>
        <w:t>5</w:t>
      </w:r>
      <w:r>
        <w:rPr>
          <w:rFonts w:ascii="Trebuchet MS" w:hAnsi="Trebuchet MS" w:cs="Tahoma"/>
          <w:sz w:val="20"/>
          <w:szCs w:val="20"/>
        </w:rPr>
        <w:t xml:space="preserve"> % plače župana.</w:t>
      </w:r>
      <w:r w:rsidR="00D220C0">
        <w:rPr>
          <w:rFonts w:ascii="Trebuchet MS" w:hAnsi="Trebuchet MS" w:cs="Tahoma"/>
          <w:sz w:val="20"/>
          <w:szCs w:val="20"/>
        </w:rPr>
        <w:t xml:space="preserve"> Predsedniku nadzornega odbora pripada sejnina za udeležbo na seji nadzornega odbora v višini 7 %.</w:t>
      </w:r>
    </w:p>
    <w:p w:rsidR="00824436" w:rsidRDefault="00824436" w:rsidP="00824436">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 xml:space="preserve">(4) Višina sejnine se določi s sklepom, ki ga izda župan po izvedeni seji in ugotovljeni prisotnosti </w:t>
      </w:r>
      <w:r w:rsidR="0001744A">
        <w:rPr>
          <w:rFonts w:ascii="Trebuchet MS" w:hAnsi="Trebuchet MS" w:cs="Tahoma"/>
          <w:sz w:val="20"/>
          <w:szCs w:val="20"/>
        </w:rPr>
        <w:t>člana občinskega sveta, člana delovnega telesa občinskega sveta ali člana nadzornega odbora (v nadaljevanju: upravičenci) na seji.</w:t>
      </w:r>
    </w:p>
    <w:p w:rsidR="00824436" w:rsidRDefault="00824436" w:rsidP="0001744A">
      <w:pPr>
        <w:shd w:val="clear" w:color="auto" w:fill="FFFFFF" w:themeFill="background1"/>
        <w:tabs>
          <w:tab w:val="left" w:pos="1289"/>
        </w:tabs>
        <w:spacing w:after="0" w:line="240" w:lineRule="auto"/>
        <w:jc w:val="both"/>
        <w:rPr>
          <w:rFonts w:ascii="Trebuchet MS" w:hAnsi="Trebuchet MS" w:cs="Tahoma"/>
          <w:sz w:val="20"/>
          <w:szCs w:val="20"/>
        </w:rPr>
      </w:pPr>
    </w:p>
    <w:p w:rsidR="00824436" w:rsidRDefault="00824436" w:rsidP="0001744A">
      <w:pPr>
        <w:shd w:val="clear" w:color="auto" w:fill="F2F2F2" w:themeFill="background1" w:themeFillShade="F2"/>
        <w:spacing w:after="0" w:line="240" w:lineRule="auto"/>
        <w:jc w:val="both"/>
        <w:rPr>
          <w:rFonts w:ascii="Trebuchet MS" w:hAnsi="Trebuchet MS" w:cs="Tahoma"/>
          <w:b/>
          <w:i/>
          <w:sz w:val="20"/>
          <w:szCs w:val="20"/>
        </w:rPr>
      </w:pPr>
      <w:r>
        <w:rPr>
          <w:rFonts w:ascii="Trebuchet MS" w:hAnsi="Trebuchet MS" w:cs="Tahoma"/>
          <w:b/>
          <w:i/>
          <w:sz w:val="20"/>
          <w:szCs w:val="20"/>
        </w:rPr>
        <w:t>Obrazložitev:</w:t>
      </w:r>
    </w:p>
    <w:p w:rsidR="00824436" w:rsidRDefault="0001744A" w:rsidP="0001744A">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je oblikovano na podlagi določila sedmega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/ZLS/, ki določa, da občinski svet s svojim aktom določi merila za izplačilo sejnin za člane občinskih svetov, člane delovnih teles občinskega sveta in člane drugih občinskih organov.</w:t>
      </w:r>
    </w:p>
    <w:p w:rsidR="0001744A" w:rsidRDefault="0001744A" w:rsidP="0001744A">
      <w:pPr>
        <w:shd w:val="clear" w:color="auto" w:fill="FFFFFF" w:themeFill="background1"/>
        <w:spacing w:after="0" w:line="240" w:lineRule="auto"/>
        <w:jc w:val="both"/>
        <w:rPr>
          <w:rFonts w:ascii="Trebuchet MS" w:hAnsi="Trebuchet MS" w:cs="Tahoma"/>
          <w:sz w:val="20"/>
          <w:szCs w:val="20"/>
        </w:rPr>
      </w:pPr>
    </w:p>
    <w:p w:rsidR="0001744A" w:rsidRDefault="0001744A" w:rsidP="0001744A">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lastRenderedPageBreak/>
        <w:t>6. člen</w:t>
      </w:r>
    </w:p>
    <w:p w:rsidR="0001744A" w:rsidRDefault="0001744A" w:rsidP="0001744A">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(izplačilo sejnine)</w:t>
      </w:r>
    </w:p>
    <w:p w:rsidR="0001744A" w:rsidRDefault="0001744A" w:rsidP="0001744A">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Upravičencu se izplača sejnina na podlagi sklepa iz četrtega odstavka 5. člena tega pravilnika v roku tridesetih (30) dni po njegovi izdaji.</w:t>
      </w:r>
    </w:p>
    <w:p w:rsidR="0001744A" w:rsidRDefault="0001744A" w:rsidP="0001744A">
      <w:pPr>
        <w:shd w:val="clear" w:color="auto" w:fill="FFFFFF" w:themeFill="background1"/>
        <w:spacing w:after="0" w:line="240" w:lineRule="auto"/>
        <w:jc w:val="both"/>
        <w:rPr>
          <w:rFonts w:ascii="Trebuchet MS" w:hAnsi="Trebuchet MS" w:cs="Tahoma"/>
          <w:sz w:val="20"/>
          <w:szCs w:val="20"/>
        </w:rPr>
      </w:pPr>
    </w:p>
    <w:p w:rsidR="00617747" w:rsidRDefault="00617747" w:rsidP="00617747">
      <w:pPr>
        <w:shd w:val="clear" w:color="auto" w:fill="F2F2F2" w:themeFill="background1" w:themeFillShade="F2"/>
        <w:spacing w:after="0" w:line="240" w:lineRule="auto"/>
        <w:jc w:val="both"/>
        <w:rPr>
          <w:rFonts w:ascii="Trebuchet MS" w:hAnsi="Trebuchet MS" w:cs="Tahoma"/>
          <w:b/>
          <w:i/>
          <w:sz w:val="20"/>
          <w:szCs w:val="20"/>
        </w:rPr>
      </w:pPr>
      <w:r>
        <w:rPr>
          <w:rFonts w:ascii="Trebuchet MS" w:hAnsi="Trebuchet MS" w:cs="Tahoma"/>
          <w:b/>
          <w:i/>
          <w:sz w:val="20"/>
          <w:szCs w:val="20"/>
        </w:rPr>
        <w:t>Obrazložitev:</w:t>
      </w:r>
    </w:p>
    <w:p w:rsidR="00617747" w:rsidRDefault="00617747" w:rsidP="00617747">
      <w:pPr>
        <w:shd w:val="clear" w:color="auto" w:fill="F2F2F2" w:themeFill="background1" w:themeFillShade="F2"/>
        <w:spacing w:after="0" w:line="240" w:lineRule="auto"/>
        <w:jc w:val="both"/>
        <w:rPr>
          <w:rFonts w:ascii="Trebuchet MS" w:hAnsi="Trebuchet MS" w:cs="Tahoma"/>
          <w:i/>
          <w:sz w:val="20"/>
          <w:szCs w:val="20"/>
        </w:rPr>
      </w:pPr>
      <w:r>
        <w:rPr>
          <w:rFonts w:ascii="Trebuchet MS" w:hAnsi="Trebuchet MS" w:cs="Tahoma"/>
          <w:i/>
          <w:sz w:val="20"/>
          <w:szCs w:val="20"/>
        </w:rPr>
        <w:t xml:space="preserve">Besedilo je oblikovano na podlagi določila sedmega odstavka </w:t>
      </w:r>
      <w:proofErr w:type="spellStart"/>
      <w:r>
        <w:rPr>
          <w:rFonts w:ascii="Trebuchet MS" w:hAnsi="Trebuchet MS" w:cs="Tahoma"/>
          <w:i/>
          <w:sz w:val="20"/>
          <w:szCs w:val="20"/>
        </w:rPr>
        <w:t>34.a</w:t>
      </w:r>
      <w:proofErr w:type="spellEnd"/>
      <w:r>
        <w:rPr>
          <w:rFonts w:ascii="Trebuchet MS" w:hAnsi="Trebuchet MS" w:cs="Tahoma"/>
          <w:i/>
          <w:sz w:val="20"/>
          <w:szCs w:val="20"/>
        </w:rPr>
        <w:t xml:space="preserve"> člena Zakona o lokalni samoupravi /ZLS/, ki določa, da občinski svet s svojim aktom določi merila za izplačilo sejnin za člane občinskih svetov, člane delovnih teles občinskega sveta in člane drugih občinskih organov.</w:t>
      </w:r>
    </w:p>
    <w:p w:rsidR="00617747" w:rsidRDefault="00617747" w:rsidP="0001744A">
      <w:pPr>
        <w:shd w:val="clear" w:color="auto" w:fill="FFFFFF" w:themeFill="background1"/>
        <w:spacing w:after="0" w:line="240" w:lineRule="auto"/>
        <w:jc w:val="both"/>
        <w:rPr>
          <w:rFonts w:ascii="Trebuchet MS" w:hAnsi="Trebuchet MS" w:cs="Tahoma"/>
          <w:i/>
          <w:sz w:val="20"/>
          <w:szCs w:val="20"/>
        </w:rPr>
      </w:pPr>
    </w:p>
    <w:p w:rsidR="00617747" w:rsidRPr="00617747" w:rsidRDefault="00617747" w:rsidP="0001744A">
      <w:pPr>
        <w:shd w:val="clear" w:color="auto" w:fill="FFFFFF" w:themeFill="background1"/>
        <w:spacing w:after="0" w:line="240" w:lineRule="auto"/>
        <w:jc w:val="both"/>
        <w:rPr>
          <w:rFonts w:ascii="Trebuchet MS" w:hAnsi="Trebuchet MS" w:cs="Tahoma"/>
          <w:b/>
          <w:sz w:val="20"/>
          <w:szCs w:val="20"/>
        </w:rPr>
      </w:pPr>
      <w:r w:rsidRPr="00617747">
        <w:rPr>
          <w:rFonts w:ascii="Trebuchet MS" w:hAnsi="Trebuchet MS" w:cs="Tahoma"/>
          <w:b/>
          <w:sz w:val="20"/>
          <w:szCs w:val="20"/>
        </w:rPr>
        <w:t>3.</w:t>
      </w:r>
      <w:r w:rsidRPr="00617747">
        <w:rPr>
          <w:rFonts w:ascii="Trebuchet MS" w:hAnsi="Trebuchet MS" w:cs="Tahoma"/>
          <w:b/>
          <w:sz w:val="20"/>
          <w:szCs w:val="20"/>
        </w:rPr>
        <w:tab/>
        <w:t>Prehodna in končna določba</w:t>
      </w:r>
    </w:p>
    <w:p w:rsidR="00617747" w:rsidRPr="00617747" w:rsidRDefault="00617747" w:rsidP="0001744A">
      <w:pPr>
        <w:shd w:val="clear" w:color="auto" w:fill="FFFFFF" w:themeFill="background1"/>
        <w:spacing w:after="0" w:line="240" w:lineRule="auto"/>
        <w:jc w:val="both"/>
        <w:rPr>
          <w:rFonts w:ascii="Trebuchet MS" w:hAnsi="Trebuchet MS" w:cs="Tahoma"/>
          <w:sz w:val="20"/>
          <w:szCs w:val="20"/>
        </w:rPr>
      </w:pPr>
    </w:p>
    <w:p w:rsidR="00617747" w:rsidRDefault="00617747" w:rsidP="00617747">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7. člen</w:t>
      </w:r>
    </w:p>
    <w:p w:rsidR="00617747" w:rsidRDefault="00617747" w:rsidP="00617747">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(prenehanje veljavnosti)</w:t>
      </w:r>
    </w:p>
    <w:p w:rsidR="00617747" w:rsidRDefault="00617747" w:rsidP="00617747">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Z dnem uveljavitve tega pravilnika preneha veljati Pravilnik o plačah občinskih funkcionarjev in nagradah članov delovnih teles občinskega sveta ter članov drugih občinskih organov ter o povračilih stroškov (Uradni list RS, št. 19/2000, 68/2007, Uradno glasilo slovenskih občin, št. 1/2012, 3/2014).</w:t>
      </w:r>
    </w:p>
    <w:p w:rsidR="00617747" w:rsidRDefault="00617747" w:rsidP="00617747">
      <w:pPr>
        <w:shd w:val="clear" w:color="auto" w:fill="FFFFFF" w:themeFill="background1"/>
        <w:spacing w:after="0" w:line="240" w:lineRule="auto"/>
        <w:jc w:val="both"/>
        <w:rPr>
          <w:rFonts w:ascii="Trebuchet MS" w:hAnsi="Trebuchet MS" w:cs="Tahoma"/>
          <w:sz w:val="20"/>
          <w:szCs w:val="20"/>
        </w:rPr>
      </w:pPr>
    </w:p>
    <w:p w:rsidR="00617747" w:rsidRPr="00622F33" w:rsidRDefault="00622F33" w:rsidP="00622F33">
      <w:pPr>
        <w:shd w:val="clear" w:color="auto" w:fill="F2F2F2" w:themeFill="background1" w:themeFillShade="F2"/>
        <w:spacing w:after="0" w:line="240" w:lineRule="auto"/>
        <w:jc w:val="both"/>
        <w:rPr>
          <w:rFonts w:ascii="Trebuchet MS" w:hAnsi="Trebuchet MS"/>
          <w:b/>
          <w:i/>
          <w:sz w:val="20"/>
          <w:szCs w:val="20"/>
        </w:rPr>
      </w:pPr>
      <w:r>
        <w:rPr>
          <w:rFonts w:ascii="Trebuchet MS" w:hAnsi="Trebuchet MS"/>
          <w:b/>
          <w:i/>
          <w:sz w:val="20"/>
          <w:szCs w:val="20"/>
        </w:rPr>
        <w:t>Obrazložitev:</w:t>
      </w:r>
    </w:p>
    <w:p w:rsidR="00617747" w:rsidRDefault="00617747" w:rsidP="00622F33">
      <w:pPr>
        <w:shd w:val="clear" w:color="auto" w:fill="F2F2F2" w:themeFill="background1" w:themeFillShade="F2"/>
        <w:spacing w:after="0" w:line="240" w:lineRule="auto"/>
        <w:jc w:val="both"/>
        <w:rPr>
          <w:rFonts w:ascii="Trebuchet MS" w:hAnsi="Trebuchet MS" w:cs="Tahoma"/>
          <w:i/>
          <w:sz w:val="20"/>
          <w:szCs w:val="20"/>
        </w:rPr>
      </w:pPr>
      <w:r w:rsidRPr="00617747">
        <w:rPr>
          <w:rFonts w:ascii="Trebuchet MS" w:hAnsi="Trebuchet MS"/>
          <w:i/>
          <w:sz w:val="20"/>
          <w:szCs w:val="20"/>
        </w:rPr>
        <w:t xml:space="preserve">Z besedilom je določena t.i. </w:t>
      </w:r>
      <w:proofErr w:type="spellStart"/>
      <w:r w:rsidRPr="00617747">
        <w:rPr>
          <w:rFonts w:ascii="Trebuchet MS" w:hAnsi="Trebuchet MS"/>
          <w:i/>
          <w:sz w:val="20"/>
          <w:szCs w:val="20"/>
        </w:rPr>
        <w:t>abrogacijska</w:t>
      </w:r>
      <w:proofErr w:type="spellEnd"/>
      <w:r w:rsidRPr="00617747">
        <w:rPr>
          <w:rFonts w:ascii="Trebuchet MS" w:hAnsi="Trebuchet MS"/>
          <w:i/>
          <w:sz w:val="20"/>
          <w:szCs w:val="20"/>
        </w:rPr>
        <w:t xml:space="preserve"> (lat. </w:t>
      </w:r>
      <w:proofErr w:type="spellStart"/>
      <w:r w:rsidRPr="00617747">
        <w:rPr>
          <w:rFonts w:ascii="Trebuchet MS" w:hAnsi="Trebuchet MS"/>
          <w:i/>
          <w:sz w:val="20"/>
          <w:szCs w:val="20"/>
        </w:rPr>
        <w:t>abrogatio</w:t>
      </w:r>
      <w:proofErr w:type="spellEnd"/>
      <w:r w:rsidRPr="00617747">
        <w:rPr>
          <w:rFonts w:ascii="Trebuchet MS" w:hAnsi="Trebuchet MS"/>
          <w:i/>
          <w:sz w:val="20"/>
          <w:szCs w:val="20"/>
        </w:rPr>
        <w:t xml:space="preserve"> = popolna razveljavitev, tudi odprava) klavzula s katero mlajši pravni akt popolnoma razveljavlja starejši pravni akt.</w:t>
      </w:r>
    </w:p>
    <w:p w:rsidR="00622F33" w:rsidRDefault="00622F33" w:rsidP="00617747">
      <w:pPr>
        <w:shd w:val="clear" w:color="auto" w:fill="FFFFFF" w:themeFill="background1"/>
        <w:spacing w:after="0" w:line="240" w:lineRule="auto"/>
        <w:jc w:val="both"/>
        <w:rPr>
          <w:rFonts w:ascii="Trebuchet MS" w:hAnsi="Trebuchet MS" w:cs="Tahoma"/>
          <w:i/>
          <w:sz w:val="20"/>
          <w:szCs w:val="20"/>
        </w:rPr>
      </w:pPr>
    </w:p>
    <w:p w:rsidR="00622F33" w:rsidRDefault="00622F33" w:rsidP="00622F33">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8. člen</w:t>
      </w:r>
    </w:p>
    <w:p w:rsidR="00622F33" w:rsidRDefault="00622F33" w:rsidP="00622F33">
      <w:pPr>
        <w:shd w:val="clear" w:color="auto" w:fill="FFFFFF" w:themeFill="background1"/>
        <w:spacing w:after="0" w:line="240" w:lineRule="auto"/>
        <w:jc w:val="center"/>
        <w:rPr>
          <w:rFonts w:ascii="Trebuchet MS" w:hAnsi="Trebuchet MS" w:cs="Tahoma"/>
          <w:b/>
          <w:sz w:val="20"/>
          <w:szCs w:val="20"/>
        </w:rPr>
      </w:pPr>
      <w:r>
        <w:rPr>
          <w:rFonts w:ascii="Trebuchet MS" w:hAnsi="Trebuchet MS" w:cs="Tahoma"/>
          <w:b/>
          <w:sz w:val="20"/>
          <w:szCs w:val="20"/>
        </w:rPr>
        <w:t>(objava in začetek veljavnosti)</w:t>
      </w:r>
    </w:p>
    <w:p w:rsidR="00622F33" w:rsidRDefault="00622F33" w:rsidP="00622F33">
      <w:pPr>
        <w:shd w:val="clear" w:color="auto" w:fill="FFFFFF" w:themeFill="background1"/>
        <w:spacing w:after="0" w:line="240" w:lineRule="auto"/>
        <w:jc w:val="both"/>
        <w:rPr>
          <w:rFonts w:ascii="Trebuchet MS" w:hAnsi="Trebuchet MS" w:cs="Tahoma"/>
          <w:sz w:val="20"/>
          <w:szCs w:val="20"/>
        </w:rPr>
      </w:pPr>
      <w:r>
        <w:rPr>
          <w:rFonts w:ascii="Trebuchet MS" w:hAnsi="Trebuchet MS" w:cs="Tahoma"/>
          <w:sz w:val="20"/>
          <w:szCs w:val="20"/>
        </w:rPr>
        <w:t>Ta pravilnik začne veljati petnajsti (15) dan po objavi v Uradnem glasilu slovenskih občin.</w:t>
      </w:r>
    </w:p>
    <w:p w:rsidR="00622F33" w:rsidRPr="00622F33" w:rsidRDefault="00622F33" w:rsidP="00622F33">
      <w:pPr>
        <w:shd w:val="clear" w:color="auto" w:fill="FFFFFF" w:themeFill="background1"/>
        <w:spacing w:after="0" w:line="240" w:lineRule="auto"/>
        <w:jc w:val="both"/>
        <w:rPr>
          <w:rFonts w:ascii="Trebuchet MS" w:hAnsi="Trebuchet MS" w:cs="Tahoma"/>
          <w:sz w:val="20"/>
          <w:szCs w:val="20"/>
        </w:rPr>
      </w:pPr>
    </w:p>
    <w:p w:rsidR="00622F33" w:rsidRPr="00622F33" w:rsidRDefault="00622F33" w:rsidP="00622F33">
      <w:pPr>
        <w:shd w:val="clear" w:color="auto" w:fill="F2F2F2" w:themeFill="background1" w:themeFillShade="F2"/>
        <w:spacing w:after="0" w:line="240" w:lineRule="auto"/>
        <w:jc w:val="both"/>
        <w:rPr>
          <w:rFonts w:ascii="Trebuchet MS" w:hAnsi="Trebuchet MS" w:cs="Tahoma"/>
          <w:b/>
          <w:i/>
          <w:sz w:val="20"/>
          <w:szCs w:val="20"/>
        </w:rPr>
      </w:pPr>
      <w:r w:rsidRPr="00622F33">
        <w:rPr>
          <w:rFonts w:ascii="Trebuchet MS" w:hAnsi="Trebuchet MS" w:cs="Tahoma"/>
          <w:b/>
          <w:i/>
          <w:sz w:val="20"/>
          <w:szCs w:val="20"/>
        </w:rPr>
        <w:t>Obrazložitev:</w:t>
      </w:r>
    </w:p>
    <w:p w:rsidR="00622F33" w:rsidRDefault="00622F33" w:rsidP="00622F33">
      <w:pPr>
        <w:shd w:val="clear" w:color="auto" w:fill="F2F2F2" w:themeFill="background1" w:themeFillShade="F2"/>
        <w:spacing w:after="0" w:line="240" w:lineRule="auto"/>
        <w:jc w:val="both"/>
        <w:rPr>
          <w:rFonts w:ascii="Trebuchet MS" w:hAnsi="Trebuchet MS"/>
          <w:i/>
          <w:sz w:val="20"/>
          <w:szCs w:val="20"/>
        </w:rPr>
      </w:pPr>
      <w:r w:rsidRPr="00622F33">
        <w:rPr>
          <w:rFonts w:ascii="Trebuchet MS" w:hAnsi="Trebuchet MS"/>
          <w:i/>
          <w:sz w:val="20"/>
          <w:szCs w:val="20"/>
        </w:rPr>
        <w:t xml:space="preserve">Besedilo je oblikovano na podlagi določila 66. člena </w:t>
      </w:r>
      <w:r w:rsidRPr="00622F33">
        <w:rPr>
          <w:rFonts w:ascii="Trebuchet MS" w:hAnsi="Trebuchet MS" w:cs="Times New Roman"/>
          <w:i/>
          <w:sz w:val="20"/>
          <w:szCs w:val="20"/>
        </w:rPr>
        <w:t>Zakona o lokalni samoupravi /ZLS/</w:t>
      </w:r>
      <w:r w:rsidRPr="00622F33">
        <w:rPr>
          <w:rFonts w:ascii="Trebuchet MS" w:hAnsi="Trebuchet MS"/>
          <w:i/>
          <w:sz w:val="20"/>
          <w:szCs w:val="20"/>
        </w:rPr>
        <w:t>, ki določa, da morajo biti statut in predpisi občine objavljeni, veljati pa začnejo petnajsti dan po objavi, če ni v njih drugače določeno. Statut in drugi predpisi občine se objavijo v uradnih glasilih</w:t>
      </w:r>
      <w:r>
        <w:rPr>
          <w:rFonts w:ascii="Trebuchet MS" w:hAnsi="Trebuchet MS"/>
          <w:i/>
          <w:sz w:val="20"/>
          <w:szCs w:val="20"/>
        </w:rPr>
        <w:t>.</w:t>
      </w:r>
    </w:p>
    <w:p w:rsidR="00622F33" w:rsidRDefault="00622F33" w:rsidP="00622F33">
      <w:pPr>
        <w:shd w:val="clear" w:color="auto" w:fill="FFFFFF" w:themeFill="background1"/>
        <w:spacing w:after="0" w:line="240" w:lineRule="auto"/>
        <w:jc w:val="both"/>
        <w:rPr>
          <w:rFonts w:ascii="Trebuchet MS" w:hAnsi="Trebuchet MS"/>
          <w:sz w:val="20"/>
          <w:szCs w:val="20"/>
        </w:rPr>
      </w:pPr>
    </w:p>
    <w:p w:rsidR="00622F33" w:rsidRDefault="00622F33" w:rsidP="00622F33">
      <w:pPr>
        <w:shd w:val="clear" w:color="auto" w:fill="FFFFFF" w:themeFill="background1"/>
        <w:spacing w:after="0" w:line="240" w:lineRule="auto"/>
        <w:jc w:val="both"/>
        <w:rPr>
          <w:rFonts w:ascii="Trebuchet MS" w:hAnsi="Trebuchet MS"/>
          <w:sz w:val="20"/>
          <w:szCs w:val="20"/>
        </w:rPr>
      </w:pPr>
      <w:r>
        <w:rPr>
          <w:rFonts w:ascii="Trebuchet MS" w:hAnsi="Trebuchet MS"/>
          <w:sz w:val="20"/>
          <w:szCs w:val="20"/>
        </w:rPr>
        <w:t xml:space="preserve">Številka: </w:t>
      </w:r>
    </w:p>
    <w:p w:rsidR="00622F33" w:rsidRDefault="00622F33" w:rsidP="00622F33">
      <w:pPr>
        <w:shd w:val="clear" w:color="auto" w:fill="FFFFFF" w:themeFill="background1"/>
        <w:spacing w:after="0" w:line="240" w:lineRule="auto"/>
        <w:jc w:val="both"/>
        <w:rPr>
          <w:rFonts w:ascii="Trebuchet MS" w:hAnsi="Trebuchet MS"/>
          <w:sz w:val="20"/>
          <w:szCs w:val="20"/>
        </w:rPr>
      </w:pPr>
      <w:r>
        <w:rPr>
          <w:rFonts w:ascii="Trebuchet MS" w:hAnsi="Trebuchet MS"/>
          <w:sz w:val="20"/>
          <w:szCs w:val="20"/>
        </w:rPr>
        <w:t>Datum:</w:t>
      </w:r>
    </w:p>
    <w:p w:rsidR="00622F33" w:rsidRDefault="00622F33" w:rsidP="00622F33">
      <w:pPr>
        <w:shd w:val="clear" w:color="auto" w:fill="FFFFFF" w:themeFill="background1"/>
        <w:spacing w:after="0" w:line="240" w:lineRule="auto"/>
        <w:jc w:val="both"/>
        <w:rPr>
          <w:rFonts w:ascii="Trebuchet MS" w:hAnsi="Trebuchet MS"/>
          <w:sz w:val="20"/>
          <w:szCs w:val="20"/>
        </w:rPr>
      </w:pPr>
    </w:p>
    <w:p w:rsidR="00622F33" w:rsidRDefault="00622F33" w:rsidP="00622F33">
      <w:pPr>
        <w:shd w:val="clear" w:color="auto" w:fill="FFFFFF" w:themeFill="background1"/>
        <w:spacing w:after="0" w:line="240" w:lineRule="auto"/>
        <w:jc w:val="right"/>
        <w:rPr>
          <w:rFonts w:ascii="Trebuchet MS" w:hAnsi="Trebuchet MS"/>
          <w:sz w:val="20"/>
          <w:szCs w:val="20"/>
        </w:rPr>
      </w:pPr>
      <w:r>
        <w:rPr>
          <w:rFonts w:ascii="Trebuchet MS" w:hAnsi="Trebuchet MS"/>
          <w:sz w:val="20"/>
          <w:szCs w:val="20"/>
        </w:rPr>
        <w:t>Občina Zavrč</w:t>
      </w:r>
    </w:p>
    <w:p w:rsidR="00622F33" w:rsidRPr="00622F33" w:rsidRDefault="00622F33" w:rsidP="00622F33">
      <w:pPr>
        <w:shd w:val="clear" w:color="auto" w:fill="FFFFFF" w:themeFill="background1"/>
        <w:spacing w:after="0" w:line="240" w:lineRule="auto"/>
        <w:jc w:val="right"/>
        <w:rPr>
          <w:rFonts w:ascii="Trebuchet MS" w:hAnsi="Trebuchet MS" w:cs="Tahoma"/>
          <w:b/>
          <w:sz w:val="20"/>
          <w:szCs w:val="20"/>
        </w:rPr>
      </w:pPr>
      <w:r>
        <w:rPr>
          <w:rFonts w:ascii="Trebuchet MS" w:hAnsi="Trebuchet MS"/>
          <w:sz w:val="20"/>
          <w:szCs w:val="20"/>
        </w:rPr>
        <w:t>Miran Vuk, župan</w:t>
      </w:r>
    </w:p>
    <w:sectPr w:rsidR="00622F33" w:rsidRPr="00622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271A"/>
    <w:multiLevelType w:val="hybridMultilevel"/>
    <w:tmpl w:val="0D42F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ADC539E"/>
    <w:multiLevelType w:val="hybridMultilevel"/>
    <w:tmpl w:val="4ACCD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FA"/>
    <w:rsid w:val="0001744A"/>
    <w:rsid w:val="00185F92"/>
    <w:rsid w:val="002C7AA3"/>
    <w:rsid w:val="00340688"/>
    <w:rsid w:val="005D6AEA"/>
    <w:rsid w:val="00617747"/>
    <w:rsid w:val="00622F33"/>
    <w:rsid w:val="00824436"/>
    <w:rsid w:val="00B97A56"/>
    <w:rsid w:val="00D220C0"/>
    <w:rsid w:val="00DD1BDA"/>
    <w:rsid w:val="00E252FA"/>
    <w:rsid w:val="00EF41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4436"/>
    <w:pPr>
      <w:ind w:left="720"/>
      <w:contextualSpacing/>
    </w:pPr>
  </w:style>
  <w:style w:type="character" w:styleId="Hiperpovezava">
    <w:name w:val="Hyperlink"/>
    <w:basedOn w:val="Privzetapisavaodstavka"/>
    <w:uiPriority w:val="99"/>
    <w:unhideWhenUsed/>
    <w:rsid w:val="00622F3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4436"/>
    <w:pPr>
      <w:ind w:left="720"/>
      <w:contextualSpacing/>
    </w:pPr>
  </w:style>
  <w:style w:type="character" w:styleId="Hiperpovezava">
    <w:name w:val="Hyperlink"/>
    <w:basedOn w:val="Privzetapisavaodstavka"/>
    <w:uiPriority w:val="99"/>
    <w:unhideWhenUsed/>
    <w:rsid w:val="00622F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BoÅ¡tjan Brezovnik</dc:creator>
  <cp:lastModifiedBy>Lidija</cp:lastModifiedBy>
  <cp:revision>3</cp:revision>
  <dcterms:created xsi:type="dcterms:W3CDTF">2015-06-05T09:50:00Z</dcterms:created>
  <dcterms:modified xsi:type="dcterms:W3CDTF">2015-06-05T09:50:00Z</dcterms:modified>
</cp:coreProperties>
</file>