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E6" w:rsidRPr="00B14718" w:rsidRDefault="005B2DE6" w:rsidP="005B2DE6">
      <w:bookmarkStart w:id="0" w:name="_GoBack"/>
      <w:bookmarkEnd w:id="0"/>
      <w:r w:rsidRPr="00B14718">
        <w:t xml:space="preserve">Številka: </w:t>
      </w:r>
      <w:r w:rsidR="00790377">
        <w:t>631-3/2017</w:t>
      </w:r>
    </w:p>
    <w:p w:rsidR="001E6B9C" w:rsidRDefault="005B2DE6" w:rsidP="00722067">
      <w:pPr>
        <w:jc w:val="both"/>
      </w:pPr>
      <w:r w:rsidRPr="00B14718">
        <w:t xml:space="preserve">Datum: </w:t>
      </w:r>
      <w:r w:rsidR="00790377">
        <w:t>31. 1. 2018</w:t>
      </w:r>
    </w:p>
    <w:p w:rsidR="00722067" w:rsidRPr="0052092B" w:rsidRDefault="00722067" w:rsidP="00722067">
      <w:pPr>
        <w:jc w:val="both"/>
      </w:pPr>
    </w:p>
    <w:p w:rsidR="008D536A" w:rsidRPr="0052092B" w:rsidRDefault="008D536A" w:rsidP="00703BF6"/>
    <w:p w:rsidR="008D536A" w:rsidRPr="0052092B" w:rsidRDefault="008D536A" w:rsidP="00703BF6"/>
    <w:p w:rsidR="001E6B9C" w:rsidRPr="0052092B" w:rsidRDefault="001E6B9C" w:rsidP="00703BF6"/>
    <w:p w:rsidR="001E6B9C" w:rsidRPr="0052092B" w:rsidRDefault="001E6B9C" w:rsidP="00703BF6">
      <w:pPr>
        <w:rPr>
          <w:b/>
        </w:rPr>
      </w:pPr>
      <w:r w:rsidRPr="0052092B">
        <w:rPr>
          <w:b/>
        </w:rPr>
        <w:t>MESTNI SVET</w:t>
      </w:r>
    </w:p>
    <w:p w:rsidR="001E6B9C" w:rsidRPr="0052092B" w:rsidRDefault="001E6B9C" w:rsidP="00703BF6">
      <w:pPr>
        <w:rPr>
          <w:b/>
        </w:rPr>
      </w:pPr>
      <w:r w:rsidRPr="0052092B">
        <w:rPr>
          <w:b/>
        </w:rPr>
        <w:t>MESTNE OBČINE PTUJ</w:t>
      </w:r>
    </w:p>
    <w:p w:rsidR="001E6B9C" w:rsidRPr="0052092B" w:rsidRDefault="001E6B9C" w:rsidP="00703BF6"/>
    <w:p w:rsidR="00005D12" w:rsidRPr="0052092B" w:rsidRDefault="00005D12" w:rsidP="00703BF6"/>
    <w:p w:rsidR="00005D12" w:rsidRPr="0052092B" w:rsidRDefault="00005D12" w:rsidP="00703BF6"/>
    <w:p w:rsidR="0086714E" w:rsidRPr="00B14718" w:rsidRDefault="00005D12" w:rsidP="0086714E">
      <w:pPr>
        <w:tabs>
          <w:tab w:val="left" w:pos="3402"/>
        </w:tabs>
        <w:ind w:left="1276" w:hanging="1276"/>
        <w:jc w:val="both"/>
        <w:rPr>
          <w:b/>
        </w:rPr>
      </w:pPr>
      <w:r w:rsidRPr="0052092B">
        <w:rPr>
          <w:b/>
        </w:rPr>
        <w:t>ZADEVA:</w:t>
      </w:r>
      <w:r w:rsidR="00766124" w:rsidRPr="0052092B">
        <w:rPr>
          <w:b/>
        </w:rPr>
        <w:t xml:space="preserve"> </w:t>
      </w:r>
      <w:r w:rsidR="008B49E8">
        <w:rPr>
          <w:b/>
        </w:rPr>
        <w:t xml:space="preserve"> </w:t>
      </w:r>
      <w:r w:rsidR="00766124" w:rsidRPr="0052092B">
        <w:rPr>
          <w:b/>
        </w:rPr>
        <w:t xml:space="preserve">Predlog </w:t>
      </w:r>
      <w:r w:rsidR="00D52478" w:rsidRPr="0052092B">
        <w:rPr>
          <w:b/>
        </w:rPr>
        <w:t>S</w:t>
      </w:r>
      <w:r w:rsidR="001E6B9C" w:rsidRPr="0052092B">
        <w:rPr>
          <w:b/>
        </w:rPr>
        <w:t xml:space="preserve">klepa o </w:t>
      </w:r>
      <w:r w:rsidR="00766124" w:rsidRPr="0052092B">
        <w:rPr>
          <w:b/>
        </w:rPr>
        <w:t>potrditvi</w:t>
      </w:r>
      <w:r w:rsidR="00790377">
        <w:rPr>
          <w:b/>
        </w:rPr>
        <w:t xml:space="preserve"> spremembe</w:t>
      </w:r>
      <w:r w:rsidR="00766124" w:rsidRPr="0052092B">
        <w:rPr>
          <w:b/>
        </w:rPr>
        <w:t xml:space="preserve"> </w:t>
      </w:r>
      <w:r w:rsidR="00F06E94" w:rsidRPr="0052092B">
        <w:rPr>
          <w:b/>
        </w:rPr>
        <w:t>Načrt</w:t>
      </w:r>
      <w:r w:rsidR="00854D79" w:rsidRPr="0052092B">
        <w:rPr>
          <w:b/>
        </w:rPr>
        <w:t>a</w:t>
      </w:r>
      <w:r w:rsidR="00F06E94" w:rsidRPr="0052092B">
        <w:rPr>
          <w:b/>
        </w:rPr>
        <w:t xml:space="preserve"> razvojnega programa (NRP) </w:t>
      </w:r>
      <w:r w:rsidR="0086714E">
        <w:rPr>
          <w:b/>
        </w:rPr>
        <w:t>»</w:t>
      </w:r>
      <w:r w:rsidR="007E47B4" w:rsidRPr="006373F0">
        <w:rPr>
          <w:b/>
        </w:rPr>
        <w:t xml:space="preserve">Gradnja regionalnih kolesarskih povezav za zagotavljanje trajnostne mobilnosti v </w:t>
      </w:r>
      <w:r w:rsidR="00790377">
        <w:rPr>
          <w:b/>
        </w:rPr>
        <w:t>Spodnjem Podravju</w:t>
      </w:r>
      <w:r w:rsidR="0086714E">
        <w:rPr>
          <w:b/>
        </w:rPr>
        <w:t>«</w:t>
      </w:r>
    </w:p>
    <w:p w:rsidR="00C10993" w:rsidRPr="0052092B" w:rsidRDefault="00C10993" w:rsidP="00703BF6">
      <w:pPr>
        <w:ind w:left="1276" w:hanging="1276"/>
        <w:jc w:val="both"/>
        <w:rPr>
          <w:b/>
        </w:rPr>
      </w:pPr>
    </w:p>
    <w:p w:rsidR="00964897" w:rsidRPr="0052092B" w:rsidRDefault="00964897" w:rsidP="00703BF6"/>
    <w:p w:rsidR="00005D12" w:rsidRPr="0052092B" w:rsidRDefault="00005D12" w:rsidP="00703BF6">
      <w:pPr>
        <w:jc w:val="both"/>
      </w:pPr>
    </w:p>
    <w:p w:rsidR="0086714E" w:rsidRPr="0086714E" w:rsidRDefault="00097307" w:rsidP="0086714E">
      <w:pPr>
        <w:jc w:val="both"/>
      </w:pPr>
      <w:r w:rsidRPr="0052092B">
        <w:t>V skladu z določili 23. člena Statuta Mestne občine Ptuj (Uradni vestnik Mestne občine Ptuj, št. 9/07) in 76. člena Poslovnika Mestnega sveta Mestne občine Ptuj (Uradni vestnik Mestne občine Ptuj, št. 12/0</w:t>
      </w:r>
      <w:r w:rsidR="00FC5126" w:rsidRPr="0052092B">
        <w:t>7</w:t>
      </w:r>
      <w:r w:rsidR="003560AB" w:rsidRPr="0052092B">
        <w:t xml:space="preserve">, 1/09, </w:t>
      </w:r>
      <w:r w:rsidRPr="0052092B">
        <w:t>2/14</w:t>
      </w:r>
      <w:r w:rsidR="00D211CA">
        <w:t xml:space="preserve">, </w:t>
      </w:r>
      <w:r w:rsidR="003560AB" w:rsidRPr="0052092B">
        <w:t>7/15</w:t>
      </w:r>
      <w:r w:rsidR="00D211CA">
        <w:t xml:space="preserve"> in 9/17</w:t>
      </w:r>
      <w:r w:rsidRPr="0052092B">
        <w:t xml:space="preserve">), predlagam Mestnemu svetu Mestne občine Ptuj v </w:t>
      </w:r>
      <w:r w:rsidRPr="00D211CA">
        <w:t xml:space="preserve">obravnavo in sprejem predlog </w:t>
      </w:r>
      <w:r w:rsidR="00387834" w:rsidRPr="00D211CA">
        <w:t xml:space="preserve">Sklepa o </w:t>
      </w:r>
      <w:r w:rsidR="00D75085" w:rsidRPr="00D211CA">
        <w:t>potrditvi</w:t>
      </w:r>
      <w:r w:rsidR="00F428E8">
        <w:t xml:space="preserve"> spremembe</w:t>
      </w:r>
      <w:r w:rsidR="00D75085" w:rsidRPr="00D211CA">
        <w:t xml:space="preserve"> </w:t>
      </w:r>
      <w:r w:rsidR="00854D79" w:rsidRPr="00D211CA">
        <w:t>Načr</w:t>
      </w:r>
      <w:r w:rsidR="00D211CA" w:rsidRPr="00D211CA">
        <w:t xml:space="preserve">ta razvojnega programa </w:t>
      </w:r>
      <w:r w:rsidR="00F95934" w:rsidRPr="00D211CA">
        <w:t>(NRP)</w:t>
      </w:r>
      <w:r w:rsidR="00217AA7" w:rsidRPr="00D211CA">
        <w:t xml:space="preserve"> </w:t>
      </w:r>
      <w:r w:rsidR="0086714E" w:rsidRPr="0086714E">
        <w:t>»</w:t>
      </w:r>
      <w:r w:rsidR="007E47B4" w:rsidRPr="006373F0">
        <w:t xml:space="preserve">Gradnja regionalnih kolesarskih povezav za zagotavljanje trajnostne mobilnosti v </w:t>
      </w:r>
      <w:r w:rsidR="00790377">
        <w:t>Spodnjem Podravju</w:t>
      </w:r>
      <w:r w:rsidR="0086714E" w:rsidRPr="0086714E">
        <w:t>«</w:t>
      </w:r>
      <w:r w:rsidR="0086714E">
        <w:t>.</w:t>
      </w:r>
    </w:p>
    <w:p w:rsidR="00823C14" w:rsidRPr="00823C14" w:rsidRDefault="00823C14" w:rsidP="00823C14">
      <w:pPr>
        <w:jc w:val="both"/>
        <w:rPr>
          <w:b/>
        </w:rPr>
      </w:pPr>
    </w:p>
    <w:p w:rsidR="00387834" w:rsidRPr="0052092B" w:rsidRDefault="00387834" w:rsidP="00703BF6">
      <w:pPr>
        <w:jc w:val="both"/>
      </w:pPr>
    </w:p>
    <w:p w:rsidR="00387834" w:rsidRPr="0052092B" w:rsidRDefault="00387834" w:rsidP="00703BF6"/>
    <w:p w:rsidR="00387834" w:rsidRPr="0052092B" w:rsidRDefault="009B3911" w:rsidP="00703BF6">
      <w:pPr>
        <w:ind w:left="3600" w:firstLine="720"/>
        <w:jc w:val="center"/>
      </w:pPr>
      <w:r w:rsidRPr="0052092B">
        <w:t xml:space="preserve">  </w:t>
      </w:r>
      <w:r w:rsidR="000C1E72" w:rsidRPr="0052092B">
        <w:t>Miran SENČAR</w:t>
      </w:r>
      <w:r w:rsidR="00ED5138" w:rsidRPr="0052092B">
        <w:t>,</w:t>
      </w:r>
    </w:p>
    <w:p w:rsidR="00387834" w:rsidRPr="0052092B" w:rsidRDefault="009B3911" w:rsidP="00703BF6">
      <w:pPr>
        <w:ind w:left="3600" w:firstLine="720"/>
        <w:jc w:val="center"/>
      </w:pPr>
      <w:r w:rsidRPr="0052092B">
        <w:t xml:space="preserve">  </w:t>
      </w:r>
      <w:r w:rsidR="003E7FED" w:rsidRPr="0052092B">
        <w:t>ž</w:t>
      </w:r>
      <w:r w:rsidR="00387834" w:rsidRPr="0052092B">
        <w:t>upan</w:t>
      </w:r>
      <w:r w:rsidR="003E7FED" w:rsidRPr="0052092B">
        <w:t xml:space="preserve"> </w:t>
      </w:r>
      <w:r w:rsidR="00387834" w:rsidRPr="0052092B">
        <w:t>Mestne občine Ptuj</w:t>
      </w:r>
    </w:p>
    <w:p w:rsidR="00387834" w:rsidRPr="0052092B" w:rsidRDefault="00387834" w:rsidP="00703BF6">
      <w:pPr>
        <w:jc w:val="center"/>
      </w:pPr>
    </w:p>
    <w:p w:rsidR="00387834" w:rsidRPr="0052092B" w:rsidRDefault="00387834" w:rsidP="00703BF6">
      <w:pPr>
        <w:rPr>
          <w:b/>
        </w:rPr>
      </w:pPr>
    </w:p>
    <w:p w:rsidR="00387834" w:rsidRPr="0052092B" w:rsidRDefault="00387834" w:rsidP="00703BF6">
      <w:pPr>
        <w:rPr>
          <w:b/>
        </w:rPr>
      </w:pPr>
    </w:p>
    <w:p w:rsidR="00387834" w:rsidRPr="0052092B" w:rsidRDefault="00387834" w:rsidP="00703BF6">
      <w:pPr>
        <w:rPr>
          <w:b/>
        </w:rPr>
      </w:pPr>
    </w:p>
    <w:p w:rsidR="00387834" w:rsidRPr="0052092B" w:rsidRDefault="00387834" w:rsidP="00703BF6">
      <w:pPr>
        <w:rPr>
          <w:b/>
        </w:rPr>
      </w:pPr>
    </w:p>
    <w:p w:rsidR="00387834" w:rsidRPr="0052092B" w:rsidRDefault="00387834" w:rsidP="00703BF6">
      <w:pPr>
        <w:rPr>
          <w:b/>
        </w:rPr>
      </w:pPr>
    </w:p>
    <w:p w:rsidR="007358BF" w:rsidRPr="0052092B" w:rsidRDefault="007358BF" w:rsidP="00703BF6">
      <w:pPr>
        <w:rPr>
          <w:b/>
        </w:rPr>
      </w:pPr>
    </w:p>
    <w:p w:rsidR="007358BF" w:rsidRPr="0052092B" w:rsidRDefault="007358BF" w:rsidP="00703BF6">
      <w:pPr>
        <w:rPr>
          <w:b/>
        </w:rPr>
      </w:pPr>
    </w:p>
    <w:p w:rsidR="007E34AA" w:rsidRPr="0052092B" w:rsidRDefault="007E34AA" w:rsidP="00703BF6">
      <w:pPr>
        <w:rPr>
          <w:b/>
        </w:rPr>
      </w:pPr>
    </w:p>
    <w:p w:rsidR="00387834" w:rsidRPr="0052092B" w:rsidRDefault="00387834" w:rsidP="00703BF6">
      <w:r w:rsidRPr="0052092B">
        <w:t xml:space="preserve">Priloga: </w:t>
      </w:r>
    </w:p>
    <w:p w:rsidR="00590651" w:rsidRPr="0052092B" w:rsidRDefault="00387834" w:rsidP="00703BF6">
      <w:pPr>
        <w:pStyle w:val="Odstavekseznama"/>
        <w:numPr>
          <w:ilvl w:val="0"/>
          <w:numId w:val="7"/>
        </w:numPr>
      </w:pPr>
      <w:r w:rsidRPr="0052092B">
        <w:t>predlog sklepa z obrazložitvijo</w:t>
      </w:r>
      <w:r w:rsidR="000C1E72" w:rsidRPr="0052092B">
        <w:t>,</w:t>
      </w:r>
    </w:p>
    <w:p w:rsidR="00F428E8" w:rsidRDefault="00997AD5" w:rsidP="00F428E8">
      <w:pPr>
        <w:pStyle w:val="Odstavekseznama"/>
        <w:numPr>
          <w:ilvl w:val="0"/>
          <w:numId w:val="7"/>
        </w:numPr>
      </w:pPr>
      <w:r w:rsidRPr="00D211CA">
        <w:t>Obrazec 3: Nač</w:t>
      </w:r>
      <w:r w:rsidR="009B3911" w:rsidRPr="00D211CA">
        <w:t xml:space="preserve">rt razvojnega programa (NRP) </w:t>
      </w:r>
      <w:r w:rsidR="00217AA7" w:rsidRPr="00D211CA">
        <w:t>za projekt</w:t>
      </w:r>
      <w:r w:rsidR="009B3911" w:rsidRPr="00D211CA">
        <w:t xml:space="preserve"> </w:t>
      </w:r>
      <w:r w:rsidR="0086714E" w:rsidRPr="0086714E">
        <w:t>»</w:t>
      </w:r>
      <w:r w:rsidR="007E47B4" w:rsidRPr="006373F0">
        <w:t xml:space="preserve">Gradnja regionalnih kolesarskih povezav za zagotavljanje trajnostne mobilnosti v </w:t>
      </w:r>
      <w:r w:rsidR="00790377">
        <w:t>Spodnjem Podravju</w:t>
      </w:r>
      <w:r w:rsidR="0086714E" w:rsidRPr="0086714E">
        <w:t>«</w:t>
      </w:r>
      <w:r w:rsidR="00261791">
        <w:t>.</w:t>
      </w:r>
    </w:p>
    <w:p w:rsidR="00097307" w:rsidRPr="0052092B" w:rsidRDefault="00097307" w:rsidP="00F428E8">
      <w:pPr>
        <w:pStyle w:val="Odstavekseznama"/>
        <w:ind w:left="360"/>
        <w:jc w:val="right"/>
      </w:pPr>
      <w:r w:rsidRPr="0052092B">
        <w:lastRenderedPageBreak/>
        <w:t>PREDLOG</w:t>
      </w:r>
    </w:p>
    <w:p w:rsidR="00097307" w:rsidRPr="0052092B" w:rsidRDefault="00790377" w:rsidP="00703BF6">
      <w:pPr>
        <w:jc w:val="right"/>
      </w:pPr>
      <w:r>
        <w:t>Februar 2018</w:t>
      </w:r>
    </w:p>
    <w:p w:rsidR="00097307" w:rsidRPr="0052092B" w:rsidRDefault="00097307" w:rsidP="00703BF6"/>
    <w:p w:rsidR="00097307" w:rsidRPr="0052092B" w:rsidRDefault="00097307" w:rsidP="00703BF6">
      <w:pPr>
        <w:jc w:val="both"/>
      </w:pPr>
      <w:r w:rsidRPr="0052092B">
        <w:t xml:space="preserve">Na podlagi </w:t>
      </w:r>
      <w:r w:rsidR="00F428E8">
        <w:t>prvega</w:t>
      </w:r>
      <w:r w:rsidRPr="007552C1">
        <w:t xml:space="preserve"> odstavka 8. člena Odloka o proračunu Mestne občine Ptuj za leto 201</w:t>
      </w:r>
      <w:r w:rsidR="00F428E8">
        <w:t>8</w:t>
      </w:r>
      <w:r w:rsidRPr="0052092B">
        <w:t xml:space="preserve"> (Uradni vestnik Mestne občine Ptuj, št. </w:t>
      </w:r>
      <w:r w:rsidR="00F428E8">
        <w:t>19/17</w:t>
      </w:r>
      <w:r w:rsidRPr="0052092B">
        <w:t>) in 12. člena Statuta Mestne občine Ptuj (Uradni vestnik Mestne občine Ptuj, št. 9/07) je Mestni svet Mestne občine Ptuj na ___ seji, dne ___________, sprejel naslednji</w:t>
      </w:r>
    </w:p>
    <w:p w:rsidR="00A115CA" w:rsidRPr="0052092B" w:rsidRDefault="00A115CA" w:rsidP="00703BF6">
      <w:pPr>
        <w:jc w:val="right"/>
      </w:pPr>
    </w:p>
    <w:p w:rsidR="00A115CA" w:rsidRPr="0052092B" w:rsidRDefault="0086714E" w:rsidP="002E4596">
      <w:pPr>
        <w:jc w:val="center"/>
        <w:rPr>
          <w:b/>
          <w:caps/>
        </w:rPr>
      </w:pPr>
      <w:r w:rsidRPr="0052092B">
        <w:rPr>
          <w:b/>
        </w:rPr>
        <w:t>SKLEP</w:t>
      </w:r>
    </w:p>
    <w:p w:rsidR="007E47B4" w:rsidRDefault="0086714E" w:rsidP="007E47B4">
      <w:pPr>
        <w:tabs>
          <w:tab w:val="left" w:pos="3402"/>
        </w:tabs>
        <w:ind w:left="1276" w:hanging="1276"/>
        <w:jc w:val="center"/>
        <w:rPr>
          <w:b/>
        </w:rPr>
      </w:pPr>
      <w:r w:rsidRPr="0052092B">
        <w:rPr>
          <w:b/>
        </w:rPr>
        <w:t xml:space="preserve">O POTRDITVI </w:t>
      </w:r>
      <w:r w:rsidR="00141608">
        <w:rPr>
          <w:b/>
        </w:rPr>
        <w:t xml:space="preserve">SPREMEMBE </w:t>
      </w:r>
      <w:r w:rsidRPr="0052092B">
        <w:rPr>
          <w:b/>
        </w:rPr>
        <w:t>NAČRTA RAZVOJNEGA PROGRAMA (NRP)</w:t>
      </w:r>
      <w:r>
        <w:rPr>
          <w:b/>
        </w:rPr>
        <w:t xml:space="preserve"> </w:t>
      </w:r>
    </w:p>
    <w:p w:rsidR="0086714E" w:rsidRPr="00B14718" w:rsidRDefault="0086714E" w:rsidP="007E47B4">
      <w:pPr>
        <w:tabs>
          <w:tab w:val="left" w:pos="3402"/>
        </w:tabs>
        <w:ind w:left="1276" w:hanging="1276"/>
        <w:jc w:val="center"/>
        <w:rPr>
          <w:b/>
        </w:rPr>
      </w:pPr>
      <w:r>
        <w:rPr>
          <w:b/>
        </w:rPr>
        <w:t>»</w:t>
      </w:r>
      <w:r w:rsidR="007E47B4" w:rsidRPr="007E47B4">
        <w:rPr>
          <w:b/>
        </w:rPr>
        <w:t xml:space="preserve">GRADNJA REGIONALNIH KOLESARSKIH POVEZAV ZA ZAGOTAVLJANJE TRAJNOSTNE MOBILNOSTI V </w:t>
      </w:r>
      <w:r w:rsidR="00141608">
        <w:rPr>
          <w:b/>
        </w:rPr>
        <w:t>SPODNJEM PODRAVJU</w:t>
      </w:r>
      <w:r>
        <w:rPr>
          <w:b/>
        </w:rPr>
        <w:t>«</w:t>
      </w:r>
    </w:p>
    <w:p w:rsidR="00D211CA" w:rsidRDefault="00D211CA" w:rsidP="002E4596">
      <w:pPr>
        <w:pStyle w:val="Odstavekseznama"/>
        <w:ind w:left="360"/>
        <w:jc w:val="center"/>
        <w:rPr>
          <w:b/>
          <w:caps/>
        </w:rPr>
      </w:pPr>
    </w:p>
    <w:p w:rsidR="00B5283C" w:rsidRPr="0052092B" w:rsidRDefault="00B5283C" w:rsidP="002E4596">
      <w:pPr>
        <w:jc w:val="center"/>
        <w:rPr>
          <w:b/>
          <w:caps/>
        </w:rPr>
      </w:pPr>
    </w:p>
    <w:p w:rsidR="009B3911" w:rsidRPr="0052092B" w:rsidRDefault="009B3911" w:rsidP="00703BF6">
      <w:pPr>
        <w:jc w:val="center"/>
        <w:rPr>
          <w:b/>
          <w:caps/>
        </w:rPr>
      </w:pPr>
    </w:p>
    <w:p w:rsidR="0086714E" w:rsidRPr="00B14718" w:rsidRDefault="0086714E" w:rsidP="0086714E">
      <w:pPr>
        <w:jc w:val="center"/>
        <w:rPr>
          <w:b/>
        </w:rPr>
      </w:pPr>
      <w:r w:rsidRPr="00B14718">
        <w:rPr>
          <w:b/>
        </w:rPr>
        <w:t>1.</w:t>
      </w:r>
    </w:p>
    <w:p w:rsidR="0086714E" w:rsidRPr="000F5B19" w:rsidRDefault="0086714E" w:rsidP="0086714E">
      <w:pPr>
        <w:jc w:val="both"/>
      </w:pPr>
      <w:r w:rsidRPr="000F5B19">
        <w:t>Mestni svet Mestne občine Ptuj potrjuje</w:t>
      </w:r>
      <w:r w:rsidR="00141608">
        <w:t xml:space="preserve"> spremembo</w:t>
      </w:r>
      <w:r w:rsidRPr="000F5B19">
        <w:t xml:space="preserve"> </w:t>
      </w:r>
      <w:r w:rsidR="00261791">
        <w:t>Načrt razvojnega programa (NRP</w:t>
      </w:r>
      <w:r w:rsidRPr="000F5B19">
        <w:t>) »</w:t>
      </w:r>
      <w:r w:rsidR="007E47B4" w:rsidRPr="006373F0">
        <w:t xml:space="preserve">Gradnja regionalnih kolesarskih povezav za zagotavljanje trajnostne mobilnosti v </w:t>
      </w:r>
      <w:r w:rsidR="00141608">
        <w:t>Spodnjem Podravju</w:t>
      </w:r>
      <w:r w:rsidRPr="000F5B19">
        <w:t>«</w:t>
      </w:r>
      <w:r>
        <w:t>.</w:t>
      </w:r>
    </w:p>
    <w:p w:rsidR="0086714E" w:rsidRPr="00B14718" w:rsidRDefault="0086714E" w:rsidP="0086714E">
      <w:pPr>
        <w:jc w:val="both"/>
      </w:pPr>
    </w:p>
    <w:p w:rsidR="0086714E" w:rsidRPr="00B14718" w:rsidRDefault="0086714E" w:rsidP="0086714E">
      <w:pPr>
        <w:jc w:val="center"/>
        <w:rPr>
          <w:b/>
        </w:rPr>
      </w:pPr>
      <w:r w:rsidRPr="00B14718">
        <w:rPr>
          <w:b/>
        </w:rPr>
        <w:t>2.</w:t>
      </w:r>
    </w:p>
    <w:p w:rsidR="00D90820" w:rsidRPr="000F5B19" w:rsidRDefault="00D90820" w:rsidP="00D90820">
      <w:pPr>
        <w:jc w:val="both"/>
      </w:pPr>
      <w:r w:rsidRPr="00B14718">
        <w:t>Finančna sredstva za sofinanciranje projekta bo</w:t>
      </w:r>
      <w:r>
        <w:t xml:space="preserve"> Mestna občina </w:t>
      </w:r>
      <w:r w:rsidRPr="000F5B19">
        <w:t xml:space="preserve">Ptuj zagotovila iz lastnih sredstev, </w:t>
      </w:r>
      <w:r w:rsidRPr="008F0544">
        <w:t xml:space="preserve">iz sredstev Evropskega sklada za regionalni razvoj (ESRR) ter sredstev </w:t>
      </w:r>
      <w:r w:rsidR="00261791">
        <w:t xml:space="preserve">proračuna </w:t>
      </w:r>
      <w:r w:rsidRPr="008F0544">
        <w:t>Republike Slovenije.</w:t>
      </w:r>
    </w:p>
    <w:p w:rsidR="0086714E" w:rsidRPr="00B14718" w:rsidRDefault="0086714E" w:rsidP="0086714E">
      <w:pPr>
        <w:jc w:val="center"/>
        <w:rPr>
          <w:b/>
        </w:rPr>
      </w:pPr>
    </w:p>
    <w:p w:rsidR="0086714E" w:rsidRPr="00B14718" w:rsidRDefault="0086714E" w:rsidP="0086714E">
      <w:pPr>
        <w:jc w:val="center"/>
        <w:rPr>
          <w:b/>
        </w:rPr>
      </w:pPr>
      <w:r w:rsidRPr="00B14718">
        <w:rPr>
          <w:b/>
        </w:rPr>
        <w:t>3.</w:t>
      </w:r>
    </w:p>
    <w:p w:rsidR="0086714E" w:rsidRPr="00B14718" w:rsidRDefault="0086714E" w:rsidP="0086714E">
      <w:r w:rsidRPr="00B14718">
        <w:t>Ta sklep začne veljati z dnem sprejema na Mestnem svetu Mestne občine Ptuj.</w:t>
      </w:r>
    </w:p>
    <w:p w:rsidR="0086714E" w:rsidRPr="00B14718" w:rsidRDefault="0086714E" w:rsidP="0086714E">
      <w:pPr>
        <w:jc w:val="both"/>
      </w:pPr>
    </w:p>
    <w:p w:rsidR="0086714E" w:rsidRPr="00B14718" w:rsidRDefault="0086714E" w:rsidP="0086714E">
      <w:r w:rsidRPr="00B14718">
        <w:t xml:space="preserve">Številka: </w:t>
      </w:r>
      <w:r w:rsidR="00141608">
        <w:t>631-3/2017</w:t>
      </w:r>
    </w:p>
    <w:p w:rsidR="0086714E" w:rsidRPr="00B14718" w:rsidRDefault="0086714E" w:rsidP="0086714E">
      <w:r w:rsidRPr="00B14718">
        <w:t xml:space="preserve">Datum: </w:t>
      </w:r>
    </w:p>
    <w:p w:rsidR="00D87A41" w:rsidRPr="0052092B" w:rsidRDefault="00D87A41" w:rsidP="00703BF6">
      <w:pPr>
        <w:pBdr>
          <w:bottom w:val="single" w:sz="4" w:space="1" w:color="auto"/>
        </w:pBdr>
      </w:pPr>
    </w:p>
    <w:p w:rsidR="00D87A41" w:rsidRPr="0052092B" w:rsidRDefault="00D87A41" w:rsidP="00703BF6">
      <w:pPr>
        <w:rPr>
          <w:sz w:val="16"/>
          <w:szCs w:val="16"/>
        </w:rPr>
      </w:pPr>
    </w:p>
    <w:p w:rsidR="00D87A41" w:rsidRPr="0052092B" w:rsidRDefault="00D87A41" w:rsidP="00703BF6">
      <w:pPr>
        <w:jc w:val="center"/>
        <w:rPr>
          <w:b/>
        </w:rPr>
      </w:pPr>
      <w:r w:rsidRPr="0052092B">
        <w:rPr>
          <w:b/>
        </w:rPr>
        <w:t>Obrazložitev:</w:t>
      </w:r>
    </w:p>
    <w:p w:rsidR="0086714E" w:rsidRDefault="0086714E" w:rsidP="0086714E">
      <w:pPr>
        <w:shd w:val="clear" w:color="auto" w:fill="FFFFFF"/>
        <w:jc w:val="both"/>
        <w:rPr>
          <w:rFonts w:ascii="Arial" w:hAnsi="Arial" w:cs="Arial"/>
          <w:color w:val="000000"/>
          <w:sz w:val="18"/>
          <w:szCs w:val="18"/>
        </w:rPr>
      </w:pPr>
    </w:p>
    <w:p w:rsidR="00751349" w:rsidRPr="00751349" w:rsidRDefault="00751349" w:rsidP="00751349">
      <w:pPr>
        <w:autoSpaceDE w:val="0"/>
        <w:autoSpaceDN w:val="0"/>
        <w:adjustRightInd w:val="0"/>
        <w:jc w:val="both"/>
      </w:pPr>
      <w:r w:rsidRPr="00751349">
        <w:t xml:space="preserve">V finančni perspektivi 2014-2020 je vzhodni in zahodni kohezijski regiji namenjen mehanizem Dogovor za razvoj regij. Ministrstvo za gospodarski razvoj in tehnologijo je na podlagi prvega odstavka 2. člena Uredbe o izvajanju ukrepov endogene politike (Uradni list RS, 16/13 in 78/15; v nadaljevanju uredba) dne 13.11.2017 izdalo povabilo Razvojnim svetom regij za dopolnitev Dogovora za razvoj regije – drugo povabilo. </w:t>
      </w:r>
    </w:p>
    <w:p w:rsidR="00751349" w:rsidRPr="00751349" w:rsidRDefault="00751349" w:rsidP="00751349">
      <w:pPr>
        <w:autoSpaceDE w:val="0"/>
        <w:autoSpaceDN w:val="0"/>
        <w:adjustRightInd w:val="0"/>
        <w:jc w:val="both"/>
      </w:pPr>
    </w:p>
    <w:p w:rsidR="00751349" w:rsidRPr="00751349" w:rsidRDefault="00751349" w:rsidP="00751349">
      <w:pPr>
        <w:autoSpaceDE w:val="0"/>
        <w:autoSpaceDN w:val="0"/>
        <w:adjustRightInd w:val="0"/>
        <w:jc w:val="both"/>
      </w:pPr>
      <w:r w:rsidRPr="00751349">
        <w:t xml:space="preserve">Na podlagi tega povabila pripravijo regionalne razvojne agencije osnutke dopolnjenih dogovorov, ki vključujejo za regijo najbolj pomembne regijske, medregijske in/ali sektorske projekte, ki bodo omogočili izkoriščanje najpomembnejših razvojnih potencialov in prednosti regije, odpravljali ključne razvojne ovire regije in uresničevali regijske razvojne specializacije. Skrajni rok za posredovanje osnutka dopolnjenega dogovora je 15. februar 2018. </w:t>
      </w:r>
    </w:p>
    <w:p w:rsidR="00751349" w:rsidRPr="00751349" w:rsidRDefault="00751349" w:rsidP="00751349">
      <w:pPr>
        <w:spacing w:line="260" w:lineRule="exact"/>
        <w:jc w:val="both"/>
        <w:rPr>
          <w:b/>
        </w:rPr>
      </w:pPr>
      <w:r w:rsidRPr="00751349">
        <w:t xml:space="preserve">V okviru prednostne naložbe </w:t>
      </w:r>
      <w:r w:rsidRPr="00751349">
        <w:rPr>
          <w:b/>
        </w:rPr>
        <w:t xml:space="preserve">4.4 »Spodbujanje multimodalne urbane mobilnosti« </w:t>
      </w:r>
      <w:r w:rsidRPr="00751349">
        <w:t>se bo</w:t>
      </w:r>
      <w:r w:rsidRPr="00751349">
        <w:rPr>
          <w:b/>
        </w:rPr>
        <w:t xml:space="preserve"> </w:t>
      </w:r>
      <w:r w:rsidRPr="00751349">
        <w:t>sofinancirala gradnja regionalnih kolesarskih povezav za zagotavljanje trajnostne mobilnosti.</w:t>
      </w:r>
    </w:p>
    <w:p w:rsidR="00751349" w:rsidRPr="00751349" w:rsidRDefault="00751349" w:rsidP="00751349">
      <w:pPr>
        <w:autoSpaceDE w:val="0"/>
        <w:autoSpaceDN w:val="0"/>
        <w:adjustRightInd w:val="0"/>
        <w:jc w:val="both"/>
      </w:pPr>
    </w:p>
    <w:p w:rsidR="00751349" w:rsidRPr="00751349" w:rsidRDefault="00751349" w:rsidP="00751349">
      <w:pPr>
        <w:autoSpaceDE w:val="0"/>
        <w:autoSpaceDN w:val="0"/>
        <w:adjustRightInd w:val="0"/>
        <w:jc w:val="both"/>
      </w:pPr>
    </w:p>
    <w:p w:rsidR="00751349" w:rsidRPr="00751349" w:rsidRDefault="00751349" w:rsidP="00751349">
      <w:pPr>
        <w:autoSpaceDE w:val="0"/>
        <w:autoSpaceDN w:val="0"/>
        <w:adjustRightInd w:val="0"/>
        <w:jc w:val="both"/>
      </w:pPr>
    </w:p>
    <w:p w:rsidR="00751349" w:rsidRPr="00751349" w:rsidRDefault="00751349" w:rsidP="00751349">
      <w:pPr>
        <w:jc w:val="both"/>
      </w:pPr>
      <w:r w:rsidRPr="00751349">
        <w:lastRenderedPageBreak/>
        <w:t>Mestna občina Ptuj je po objavi 2. povabila Dogovora za razvoj regij pristopila k pripravi Dokumenta identifikacije investicijske</w:t>
      </w:r>
      <w:r w:rsidR="00F428E8">
        <w:t>ga</w:t>
      </w:r>
      <w:r w:rsidRPr="00751349">
        <w:t xml:space="preserve"> projekta Gradnja regionalnih kolesarskih povezav za zagotavljanje trajnostne mobilnosti v Mestni občini Ptuj. DIIP je obravnaval več odsekov povezav, ki se bi lahko nadaljevale v sosednje občine</w:t>
      </w:r>
      <w:r w:rsidR="00F428E8">
        <w:t>,</w:t>
      </w:r>
      <w:r w:rsidRPr="00751349">
        <w:t xml:space="preserve"> v kolikor bi občine izkazale interes po sodelovanju na skupnem projektu.</w:t>
      </w:r>
    </w:p>
    <w:p w:rsidR="00751349" w:rsidRPr="00751349" w:rsidRDefault="00751349" w:rsidP="00751349">
      <w:pPr>
        <w:jc w:val="both"/>
      </w:pPr>
    </w:p>
    <w:p w:rsidR="00751349" w:rsidRPr="00751349" w:rsidRDefault="00751349" w:rsidP="00751349">
      <w:pPr>
        <w:jc w:val="both"/>
      </w:pPr>
      <w:r w:rsidRPr="00751349">
        <w:t>V mesecu januarju 2018 se je projektu priključilo še sedem občin Spodnjega Podravja (Hajdina, Kidričevo, Majšperk, Dornava, Markovci, Gorišnica in Juršinci</w:t>
      </w:r>
      <w:r w:rsidR="00F428E8">
        <w:t>)</w:t>
      </w:r>
      <w:r w:rsidRPr="00751349">
        <w:t>. Mestna občina Ptuj, kot  edina, ki izpolnjuje pogoje za prijavo je pričela s koordinacijo in usklajevanjem za pripravo skupnega projekta z naslovom »Gradnja regionalnih kolesarskih povezav za zagotavljanje trajnostne mobilnosti v Spodnjem Podravju«. S tem je prišlo do spremembe Dokumenta identifikacije investicijskega projekta »Gradnja regionalnih kolesarskih povezav za zagotavljanje trajnostne mobilnosti v Mestni občini Ptuj, ki je bil sprejet na</w:t>
      </w:r>
      <w:r w:rsidR="00F428E8">
        <w:t xml:space="preserve"> 35.</w:t>
      </w:r>
      <w:r w:rsidRPr="00751349">
        <w:t xml:space="preserve"> seji mestnega sveta v mesecu decembru 2017. Predložen DIIP bodo sprejeli vsi občinski sveti sodelujočih občin na projektu.</w:t>
      </w:r>
    </w:p>
    <w:p w:rsidR="00751349" w:rsidRPr="00751349" w:rsidRDefault="00751349" w:rsidP="00751349">
      <w:pPr>
        <w:jc w:val="both"/>
      </w:pPr>
    </w:p>
    <w:p w:rsidR="00751349" w:rsidRPr="00751349" w:rsidRDefault="00751349" w:rsidP="00751349">
      <w:pPr>
        <w:jc w:val="both"/>
        <w:rPr>
          <w:b/>
        </w:rPr>
      </w:pPr>
      <w:r w:rsidRPr="00751349">
        <w:rPr>
          <w:b/>
        </w:rPr>
        <w:t>Projekt obsega štiri odseke povezav:</w:t>
      </w:r>
    </w:p>
    <w:p w:rsidR="00751349" w:rsidRPr="00751349" w:rsidRDefault="00751349" w:rsidP="00751349">
      <w:pPr>
        <w:numPr>
          <w:ilvl w:val="0"/>
          <w:numId w:val="9"/>
        </w:numPr>
        <w:contextualSpacing/>
        <w:jc w:val="both"/>
        <w:rPr>
          <w:szCs w:val="20"/>
        </w:rPr>
      </w:pPr>
      <w:r w:rsidRPr="00751349">
        <w:rPr>
          <w:szCs w:val="20"/>
        </w:rPr>
        <w:t>Odsek 1: Ptuj – Hajdina – Kidričevo – Majšperk</w:t>
      </w:r>
      <w:r w:rsidR="000B20FB">
        <w:rPr>
          <w:szCs w:val="20"/>
        </w:rPr>
        <w:t xml:space="preserve"> </w:t>
      </w:r>
    </w:p>
    <w:p w:rsidR="00751349" w:rsidRPr="00751349" w:rsidRDefault="00751349" w:rsidP="00751349">
      <w:pPr>
        <w:numPr>
          <w:ilvl w:val="0"/>
          <w:numId w:val="9"/>
        </w:numPr>
        <w:contextualSpacing/>
        <w:jc w:val="both"/>
        <w:rPr>
          <w:szCs w:val="20"/>
        </w:rPr>
      </w:pPr>
      <w:r w:rsidRPr="00751349">
        <w:rPr>
          <w:szCs w:val="20"/>
        </w:rPr>
        <w:t>Odsek 2: Ptuj – Juršinci – Dornava – Juršinci</w:t>
      </w:r>
    </w:p>
    <w:p w:rsidR="00751349" w:rsidRPr="00751349" w:rsidRDefault="00751349" w:rsidP="00751349">
      <w:pPr>
        <w:numPr>
          <w:ilvl w:val="0"/>
          <w:numId w:val="9"/>
        </w:numPr>
        <w:contextualSpacing/>
        <w:jc w:val="both"/>
        <w:rPr>
          <w:szCs w:val="20"/>
        </w:rPr>
      </w:pPr>
      <w:r w:rsidRPr="00751349">
        <w:rPr>
          <w:szCs w:val="20"/>
        </w:rPr>
        <w:t>Odsek 3: Ptuj – Markovci – Dornava – Gorišnica</w:t>
      </w:r>
    </w:p>
    <w:p w:rsidR="00751349" w:rsidRPr="00751349" w:rsidRDefault="003B0FCA" w:rsidP="00751349">
      <w:pPr>
        <w:numPr>
          <w:ilvl w:val="0"/>
          <w:numId w:val="9"/>
        </w:numPr>
        <w:contextualSpacing/>
        <w:jc w:val="both"/>
        <w:rPr>
          <w:szCs w:val="20"/>
        </w:rPr>
      </w:pPr>
      <w:r>
        <w:rPr>
          <w:szCs w:val="20"/>
        </w:rPr>
        <w:t xml:space="preserve">Odsek 4: Ptuj – Dornava </w:t>
      </w:r>
      <w:r w:rsidRPr="00751349">
        <w:rPr>
          <w:szCs w:val="20"/>
        </w:rPr>
        <w:t>–</w:t>
      </w:r>
      <w:r>
        <w:rPr>
          <w:szCs w:val="20"/>
        </w:rPr>
        <w:t xml:space="preserve"> </w:t>
      </w:r>
      <w:r w:rsidR="00751349" w:rsidRPr="00751349">
        <w:rPr>
          <w:szCs w:val="20"/>
        </w:rPr>
        <w:t xml:space="preserve"> Gorišnica</w:t>
      </w:r>
    </w:p>
    <w:p w:rsidR="00751349" w:rsidRPr="00751349" w:rsidRDefault="00751349" w:rsidP="00751349">
      <w:pPr>
        <w:spacing w:line="260" w:lineRule="exact"/>
        <w:jc w:val="both"/>
        <w:rPr>
          <w:rFonts w:asciiTheme="minorHAnsi" w:hAnsiTheme="minorHAnsi" w:cs="Arial"/>
          <w:b/>
          <w:sz w:val="22"/>
          <w:szCs w:val="22"/>
        </w:rPr>
      </w:pPr>
    </w:p>
    <w:p w:rsidR="00751349" w:rsidRPr="00751349" w:rsidRDefault="00751349" w:rsidP="00751349">
      <w:pPr>
        <w:jc w:val="both"/>
      </w:pPr>
      <w:r w:rsidRPr="00751349">
        <w:t>Predmet investicije je gradnja regionalnih kolesarskih povezav v Spodnjem Podravju za zagotavljanje dnevne mobilnosti med Ptujem kot regijskim središčem z izobraževalnimi, upravnimi, storitvenimi dejavnostmi</w:t>
      </w:r>
      <w:r w:rsidR="00F428E8">
        <w:t>,</w:t>
      </w:r>
      <w:r w:rsidRPr="00751349">
        <w:t xml:space="preserve"> z zalednimi gravitacijskimi naselji in sosednjimi občinami. Smiselne, varne in udobne kolesarske povezave bodo </w:t>
      </w:r>
      <w:r w:rsidR="00F428E8">
        <w:t xml:space="preserve">zagotavljale zvezno povezavo </w:t>
      </w:r>
      <w:r w:rsidRPr="00751349">
        <w:t>sred</w:t>
      </w:r>
      <w:r w:rsidR="00F428E8">
        <w:t>iščnega mestnega naselja Ptuj s</w:t>
      </w:r>
      <w:r w:rsidRPr="00751349">
        <w:t xml:space="preserve"> sosednjimi občinami</w:t>
      </w:r>
      <w:r w:rsidR="00F428E8">
        <w:t>,</w:t>
      </w:r>
      <w:r w:rsidRPr="00751349">
        <w:t xml:space="preserve"> iz katerih </w:t>
      </w:r>
      <w:r w:rsidR="00F428E8">
        <w:t>potekajo</w:t>
      </w:r>
      <w:r w:rsidRPr="00751349">
        <w:t xml:space="preserve"> dnevne migracije v središče regionalnega pomena. </w:t>
      </w:r>
    </w:p>
    <w:p w:rsidR="00751349" w:rsidRPr="00751349" w:rsidRDefault="00751349" w:rsidP="00751349">
      <w:pPr>
        <w:shd w:val="clear" w:color="auto" w:fill="FFFFFF"/>
        <w:spacing w:after="120"/>
        <w:jc w:val="both"/>
      </w:pPr>
    </w:p>
    <w:p w:rsidR="00751349" w:rsidRPr="00751349" w:rsidRDefault="00751349" w:rsidP="00751349">
      <w:pPr>
        <w:shd w:val="clear" w:color="auto" w:fill="FFFFFF"/>
        <w:spacing w:after="120"/>
        <w:jc w:val="both"/>
      </w:pPr>
      <w:r w:rsidRPr="00751349">
        <w:t>Projekt bo prispeval k realizaciji ciljev strateškega stebra ukrepanja Celostne prometne strategije Mestne občine Ptuj »OPTIMALNO IZKORIŠČANJE POTENCIALOV KOLESARJENJA« in bo prispeval k zadostitvi strateških ciljev Celostne prometne strategije.</w:t>
      </w:r>
    </w:p>
    <w:p w:rsidR="00751349" w:rsidRPr="00751349" w:rsidRDefault="00751349" w:rsidP="00751349">
      <w:pPr>
        <w:shd w:val="clear" w:color="auto" w:fill="FFFFFF"/>
        <w:spacing w:after="120"/>
        <w:jc w:val="both"/>
      </w:pPr>
      <w:r w:rsidRPr="00751349">
        <w:t xml:space="preserve">Investicija obsega pripravo projektne dokumentacije v letih 2018 do 2022 in gradnjo ter ureditev posameznih kolesarskih povezav v letih 2019 do 2022. </w:t>
      </w:r>
    </w:p>
    <w:p w:rsidR="00751349" w:rsidRPr="00751349" w:rsidRDefault="00751349" w:rsidP="00751349">
      <w:pPr>
        <w:jc w:val="both"/>
      </w:pPr>
    </w:p>
    <w:p w:rsidR="00751349" w:rsidRPr="00751349" w:rsidRDefault="00751349" w:rsidP="00751349">
      <w:pPr>
        <w:rPr>
          <w:b/>
        </w:rPr>
      </w:pPr>
      <w:r w:rsidRPr="00751349">
        <w:rPr>
          <w:b/>
        </w:rPr>
        <w:br w:type="page"/>
      </w:r>
    </w:p>
    <w:p w:rsidR="00751349" w:rsidRPr="00751349" w:rsidRDefault="00751349" w:rsidP="00751349">
      <w:pPr>
        <w:jc w:val="both"/>
        <w:rPr>
          <w:b/>
        </w:rPr>
      </w:pPr>
    </w:p>
    <w:p w:rsidR="00751349" w:rsidRPr="00751349" w:rsidRDefault="00751349" w:rsidP="00751349">
      <w:pPr>
        <w:jc w:val="both"/>
        <w:rPr>
          <w:b/>
        </w:rPr>
      </w:pPr>
    </w:p>
    <w:p w:rsidR="00751349" w:rsidRDefault="00751349" w:rsidP="00751349">
      <w:pPr>
        <w:jc w:val="both"/>
        <w:rPr>
          <w:b/>
        </w:rPr>
      </w:pPr>
      <w:r w:rsidRPr="00751349">
        <w:rPr>
          <w:b/>
        </w:rPr>
        <w:t>Finančna konstrukcija celotnega projekta (4 odseki) v letih 2018 do 2022</w:t>
      </w:r>
    </w:p>
    <w:p w:rsidR="00960EEF" w:rsidRPr="00751349" w:rsidRDefault="00960EEF" w:rsidP="00751349">
      <w:pPr>
        <w:jc w:val="both"/>
        <w:rPr>
          <w:b/>
        </w:rPr>
      </w:pPr>
    </w:p>
    <w:tbl>
      <w:tblPr>
        <w:tblW w:w="11093" w:type="dxa"/>
        <w:jc w:val="center"/>
        <w:tblCellMar>
          <w:left w:w="70" w:type="dxa"/>
          <w:right w:w="70" w:type="dxa"/>
        </w:tblCellMar>
        <w:tblLook w:val="04A0" w:firstRow="1" w:lastRow="0" w:firstColumn="1" w:lastColumn="0" w:noHBand="0" w:noVBand="1"/>
      </w:tblPr>
      <w:tblGrid>
        <w:gridCol w:w="1228"/>
        <w:gridCol w:w="1182"/>
        <w:gridCol w:w="1311"/>
        <w:gridCol w:w="1311"/>
        <w:gridCol w:w="1311"/>
        <w:gridCol w:w="1151"/>
        <w:gridCol w:w="1216"/>
        <w:gridCol w:w="1151"/>
        <w:gridCol w:w="1232"/>
      </w:tblGrid>
      <w:tr w:rsidR="00751349" w:rsidRPr="00751349" w:rsidTr="0007638C">
        <w:trPr>
          <w:trHeight w:val="589"/>
          <w:jc w:val="center"/>
        </w:trPr>
        <w:tc>
          <w:tcPr>
            <w:tcW w:w="12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751349" w:rsidRPr="00751349" w:rsidRDefault="00751349" w:rsidP="00751349">
            <w:pPr>
              <w:jc w:val="center"/>
              <w:rPr>
                <w:b/>
                <w:bCs/>
                <w:color w:val="000000"/>
                <w:sz w:val="16"/>
                <w:szCs w:val="16"/>
              </w:rPr>
            </w:pPr>
            <w:r w:rsidRPr="00751349">
              <w:rPr>
                <w:b/>
                <w:bCs/>
                <w:color w:val="000000"/>
                <w:sz w:val="16"/>
                <w:szCs w:val="16"/>
              </w:rPr>
              <w:t>VRSTE STROŠKOV</w:t>
            </w:r>
          </w:p>
        </w:tc>
        <w:tc>
          <w:tcPr>
            <w:tcW w:w="1182"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jc w:val="center"/>
              <w:rPr>
                <w:color w:val="000000"/>
                <w:sz w:val="16"/>
                <w:szCs w:val="16"/>
              </w:rPr>
            </w:pPr>
            <w:r w:rsidRPr="00751349">
              <w:rPr>
                <w:color w:val="000000"/>
                <w:sz w:val="16"/>
                <w:szCs w:val="16"/>
              </w:rPr>
              <w:t>2018</w:t>
            </w:r>
          </w:p>
        </w:tc>
        <w:tc>
          <w:tcPr>
            <w:tcW w:w="1311"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jc w:val="center"/>
              <w:rPr>
                <w:color w:val="000000"/>
                <w:sz w:val="16"/>
                <w:szCs w:val="16"/>
              </w:rPr>
            </w:pPr>
            <w:r w:rsidRPr="00751349">
              <w:rPr>
                <w:color w:val="000000"/>
                <w:sz w:val="16"/>
                <w:szCs w:val="16"/>
              </w:rPr>
              <w:t>2019</w:t>
            </w:r>
          </w:p>
        </w:tc>
        <w:tc>
          <w:tcPr>
            <w:tcW w:w="1311"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jc w:val="center"/>
              <w:rPr>
                <w:color w:val="000000"/>
                <w:sz w:val="16"/>
                <w:szCs w:val="16"/>
              </w:rPr>
            </w:pPr>
            <w:r w:rsidRPr="00751349">
              <w:rPr>
                <w:color w:val="000000"/>
                <w:sz w:val="16"/>
                <w:szCs w:val="16"/>
              </w:rPr>
              <w:t>2020</w:t>
            </w:r>
          </w:p>
        </w:tc>
        <w:tc>
          <w:tcPr>
            <w:tcW w:w="1311"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jc w:val="center"/>
              <w:rPr>
                <w:color w:val="000000"/>
                <w:sz w:val="16"/>
                <w:szCs w:val="16"/>
              </w:rPr>
            </w:pPr>
            <w:r w:rsidRPr="00751349">
              <w:rPr>
                <w:color w:val="000000"/>
                <w:sz w:val="16"/>
                <w:szCs w:val="16"/>
              </w:rPr>
              <w:t>2021</w:t>
            </w:r>
          </w:p>
        </w:tc>
        <w:tc>
          <w:tcPr>
            <w:tcW w:w="1151"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jc w:val="center"/>
              <w:rPr>
                <w:color w:val="000000"/>
                <w:sz w:val="16"/>
                <w:szCs w:val="16"/>
              </w:rPr>
            </w:pPr>
            <w:r w:rsidRPr="00751349">
              <w:rPr>
                <w:color w:val="000000"/>
                <w:sz w:val="16"/>
                <w:szCs w:val="16"/>
              </w:rPr>
              <w:t>2022</w:t>
            </w:r>
          </w:p>
        </w:tc>
        <w:tc>
          <w:tcPr>
            <w:tcW w:w="121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751349" w:rsidRPr="00751349" w:rsidRDefault="00751349" w:rsidP="00751349">
            <w:pPr>
              <w:jc w:val="center"/>
              <w:rPr>
                <w:color w:val="000000"/>
                <w:sz w:val="16"/>
                <w:szCs w:val="16"/>
              </w:rPr>
            </w:pPr>
            <w:r w:rsidRPr="00751349">
              <w:rPr>
                <w:color w:val="000000"/>
                <w:sz w:val="16"/>
                <w:szCs w:val="16"/>
              </w:rPr>
              <w:t>VREDNOST brez DDV</w:t>
            </w:r>
          </w:p>
        </w:tc>
        <w:tc>
          <w:tcPr>
            <w:tcW w:w="1151"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jc w:val="center"/>
              <w:rPr>
                <w:color w:val="000000"/>
                <w:sz w:val="16"/>
                <w:szCs w:val="16"/>
              </w:rPr>
            </w:pPr>
            <w:r w:rsidRPr="00751349">
              <w:rPr>
                <w:color w:val="000000"/>
                <w:sz w:val="16"/>
                <w:szCs w:val="16"/>
              </w:rPr>
              <w:t>DDV</w:t>
            </w:r>
          </w:p>
        </w:tc>
        <w:tc>
          <w:tcPr>
            <w:tcW w:w="1232"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jc w:val="center"/>
              <w:rPr>
                <w:color w:val="000000"/>
                <w:sz w:val="16"/>
                <w:szCs w:val="16"/>
              </w:rPr>
            </w:pPr>
            <w:r w:rsidRPr="00751349">
              <w:rPr>
                <w:color w:val="000000"/>
                <w:sz w:val="16"/>
                <w:szCs w:val="16"/>
              </w:rPr>
              <w:t>SKUPAJ</w:t>
            </w:r>
          </w:p>
        </w:tc>
      </w:tr>
      <w:tr w:rsidR="00751349" w:rsidRPr="00751349" w:rsidTr="0007638C">
        <w:trPr>
          <w:trHeight w:val="300"/>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51349" w:rsidRPr="00751349" w:rsidRDefault="00751349" w:rsidP="00751349">
            <w:pPr>
              <w:rPr>
                <w:color w:val="000000"/>
                <w:sz w:val="16"/>
                <w:szCs w:val="16"/>
              </w:rPr>
            </w:pPr>
            <w:r w:rsidRPr="00751349">
              <w:rPr>
                <w:color w:val="000000"/>
                <w:sz w:val="16"/>
                <w:szCs w:val="16"/>
              </w:rPr>
              <w:t>Investicijska dokumentacija</w:t>
            </w:r>
          </w:p>
        </w:tc>
        <w:tc>
          <w:tcPr>
            <w:tcW w:w="1182"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2.385,00 €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4.184,43 €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0,00 €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0,00 €</w:t>
            </w:r>
          </w:p>
        </w:tc>
        <w:tc>
          <w:tcPr>
            <w:tcW w:w="115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0,00 €</w:t>
            </w:r>
          </w:p>
        </w:tc>
        <w:tc>
          <w:tcPr>
            <w:tcW w:w="1216"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6.569,43 €</w:t>
            </w:r>
          </w:p>
        </w:tc>
        <w:tc>
          <w:tcPr>
            <w:tcW w:w="115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1.445,27 €</w:t>
            </w:r>
          </w:p>
        </w:tc>
        <w:tc>
          <w:tcPr>
            <w:tcW w:w="1232"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8.014,70 €</w:t>
            </w:r>
          </w:p>
        </w:tc>
      </w:tr>
      <w:tr w:rsidR="00751349" w:rsidRPr="00751349" w:rsidTr="0007638C">
        <w:trPr>
          <w:trHeight w:val="300"/>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51349" w:rsidRPr="00751349" w:rsidRDefault="00751349" w:rsidP="00751349">
            <w:pPr>
              <w:rPr>
                <w:color w:val="000000"/>
                <w:sz w:val="16"/>
                <w:szCs w:val="16"/>
              </w:rPr>
            </w:pPr>
            <w:r w:rsidRPr="00751349">
              <w:rPr>
                <w:color w:val="000000"/>
                <w:sz w:val="16"/>
                <w:szCs w:val="16"/>
              </w:rPr>
              <w:t>Projektna dokumentacija</w:t>
            </w:r>
          </w:p>
        </w:tc>
        <w:tc>
          <w:tcPr>
            <w:tcW w:w="1182"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83.944,41 €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126.305,76 €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0,00 €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0,00 €</w:t>
            </w:r>
          </w:p>
        </w:tc>
        <w:tc>
          <w:tcPr>
            <w:tcW w:w="115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0,00 €</w:t>
            </w:r>
          </w:p>
        </w:tc>
        <w:tc>
          <w:tcPr>
            <w:tcW w:w="1216"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210.250,18 €</w:t>
            </w:r>
          </w:p>
        </w:tc>
        <w:tc>
          <w:tcPr>
            <w:tcW w:w="115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46.255,04 €</w:t>
            </w:r>
          </w:p>
        </w:tc>
        <w:tc>
          <w:tcPr>
            <w:tcW w:w="1232"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256.505,21 €</w:t>
            </w:r>
          </w:p>
        </w:tc>
      </w:tr>
      <w:tr w:rsidR="00751349" w:rsidRPr="00751349" w:rsidTr="0007638C">
        <w:trPr>
          <w:trHeight w:val="300"/>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51349" w:rsidRPr="00751349" w:rsidRDefault="00751349" w:rsidP="00751349">
            <w:pPr>
              <w:rPr>
                <w:color w:val="000000"/>
                <w:sz w:val="16"/>
                <w:szCs w:val="16"/>
              </w:rPr>
            </w:pPr>
            <w:r w:rsidRPr="00751349">
              <w:rPr>
                <w:color w:val="000000"/>
                <w:sz w:val="16"/>
                <w:szCs w:val="16"/>
              </w:rPr>
              <w:t>Odkupi zemljišč</w:t>
            </w:r>
          </w:p>
        </w:tc>
        <w:tc>
          <w:tcPr>
            <w:tcW w:w="1182"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57.400,00 €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286.763,61 €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108.094,51 €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64.433,76 €</w:t>
            </w:r>
          </w:p>
        </w:tc>
        <w:tc>
          <w:tcPr>
            <w:tcW w:w="115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81.018,25 €</w:t>
            </w:r>
          </w:p>
        </w:tc>
        <w:tc>
          <w:tcPr>
            <w:tcW w:w="1216"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597.710,13 €</w:t>
            </w:r>
          </w:p>
        </w:tc>
        <w:tc>
          <w:tcPr>
            <w:tcW w:w="115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131.496,23 €</w:t>
            </w:r>
          </w:p>
        </w:tc>
        <w:tc>
          <w:tcPr>
            <w:tcW w:w="1232"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729.206,36 €</w:t>
            </w:r>
          </w:p>
        </w:tc>
      </w:tr>
      <w:tr w:rsidR="00751349" w:rsidRPr="00751349" w:rsidTr="0007638C">
        <w:trPr>
          <w:trHeight w:val="300"/>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51349" w:rsidRPr="00751349" w:rsidRDefault="00751349" w:rsidP="00751349">
            <w:pPr>
              <w:rPr>
                <w:color w:val="000000"/>
                <w:sz w:val="16"/>
                <w:szCs w:val="16"/>
              </w:rPr>
            </w:pPr>
            <w:r w:rsidRPr="00751349">
              <w:rPr>
                <w:color w:val="000000"/>
                <w:sz w:val="16"/>
                <w:szCs w:val="16"/>
              </w:rPr>
              <w:t>Gradbena dela na odseku</w:t>
            </w:r>
          </w:p>
        </w:tc>
        <w:tc>
          <w:tcPr>
            <w:tcW w:w="1182"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0,00 €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2.392.230,20 €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3.222.044,35 €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1.275.600,03 €</w:t>
            </w:r>
          </w:p>
        </w:tc>
        <w:tc>
          <w:tcPr>
            <w:tcW w:w="115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1.599.697,93 €</w:t>
            </w:r>
          </w:p>
        </w:tc>
        <w:tc>
          <w:tcPr>
            <w:tcW w:w="1216"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8.489.572,51 €</w:t>
            </w:r>
          </w:p>
        </w:tc>
        <w:tc>
          <w:tcPr>
            <w:tcW w:w="115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1.867.705,95 €</w:t>
            </w:r>
          </w:p>
        </w:tc>
        <w:tc>
          <w:tcPr>
            <w:tcW w:w="1232"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10.357.278,47 €</w:t>
            </w:r>
          </w:p>
        </w:tc>
      </w:tr>
      <w:tr w:rsidR="00751349" w:rsidRPr="00751349" w:rsidTr="0007638C">
        <w:trPr>
          <w:trHeight w:val="300"/>
          <w:jc w:val="center"/>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51349" w:rsidRPr="00751349" w:rsidRDefault="00751349" w:rsidP="00751349">
            <w:pPr>
              <w:rPr>
                <w:color w:val="000000"/>
                <w:sz w:val="16"/>
                <w:szCs w:val="16"/>
              </w:rPr>
            </w:pPr>
            <w:r w:rsidRPr="00751349">
              <w:rPr>
                <w:color w:val="000000"/>
                <w:sz w:val="16"/>
                <w:szCs w:val="16"/>
              </w:rPr>
              <w:t>Vrednost brez ddv</w:t>
            </w:r>
          </w:p>
        </w:tc>
        <w:tc>
          <w:tcPr>
            <w:tcW w:w="1182"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143.729,41 €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2.809.484,01 €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3.330.138,86 €</w:t>
            </w:r>
          </w:p>
        </w:tc>
        <w:tc>
          <w:tcPr>
            <w:tcW w:w="131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1.340.033,79 €</w:t>
            </w:r>
          </w:p>
        </w:tc>
        <w:tc>
          <w:tcPr>
            <w:tcW w:w="115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1.680.716,19 €</w:t>
            </w:r>
          </w:p>
        </w:tc>
        <w:tc>
          <w:tcPr>
            <w:tcW w:w="1216"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9.304.102,25 €</w:t>
            </w:r>
          </w:p>
        </w:tc>
        <w:tc>
          <w:tcPr>
            <w:tcW w:w="1151"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2.046.902,49 €</w:t>
            </w:r>
          </w:p>
        </w:tc>
        <w:tc>
          <w:tcPr>
            <w:tcW w:w="1232" w:type="dxa"/>
            <w:tcBorders>
              <w:top w:val="nil"/>
              <w:left w:val="nil"/>
              <w:bottom w:val="single" w:sz="4" w:space="0" w:color="auto"/>
              <w:right w:val="single" w:sz="4" w:space="0" w:color="auto"/>
            </w:tcBorders>
            <w:shd w:val="clear" w:color="auto" w:fill="auto"/>
            <w:noWrap/>
            <w:vAlign w:val="center"/>
            <w:hideMark/>
          </w:tcPr>
          <w:p w:rsidR="00751349" w:rsidRPr="00751349" w:rsidRDefault="00751349" w:rsidP="00751349">
            <w:pPr>
              <w:jc w:val="center"/>
              <w:rPr>
                <w:color w:val="000000"/>
                <w:sz w:val="16"/>
                <w:szCs w:val="16"/>
              </w:rPr>
            </w:pPr>
            <w:r w:rsidRPr="00751349">
              <w:rPr>
                <w:color w:val="000000"/>
                <w:sz w:val="16"/>
                <w:szCs w:val="16"/>
              </w:rPr>
              <w:t>11.351.004,74 €</w:t>
            </w:r>
          </w:p>
        </w:tc>
      </w:tr>
      <w:tr w:rsidR="00751349" w:rsidRPr="00751349" w:rsidTr="0007638C">
        <w:trPr>
          <w:trHeight w:val="300"/>
          <w:jc w:val="center"/>
        </w:trPr>
        <w:tc>
          <w:tcPr>
            <w:tcW w:w="1228" w:type="dxa"/>
            <w:tcBorders>
              <w:top w:val="nil"/>
              <w:left w:val="single" w:sz="4" w:space="0" w:color="auto"/>
              <w:bottom w:val="single" w:sz="4" w:space="0" w:color="auto"/>
              <w:right w:val="single" w:sz="4" w:space="0" w:color="auto"/>
            </w:tcBorders>
            <w:shd w:val="clear" w:color="000000" w:fill="FFFFFF"/>
            <w:noWrap/>
            <w:vAlign w:val="center"/>
            <w:hideMark/>
          </w:tcPr>
          <w:p w:rsidR="00751349" w:rsidRPr="00751349" w:rsidRDefault="00751349" w:rsidP="00751349">
            <w:pPr>
              <w:rPr>
                <w:color w:val="000000"/>
                <w:sz w:val="16"/>
                <w:szCs w:val="16"/>
              </w:rPr>
            </w:pPr>
            <w:r w:rsidRPr="00751349">
              <w:rPr>
                <w:color w:val="000000"/>
                <w:sz w:val="16"/>
                <w:szCs w:val="16"/>
              </w:rPr>
              <w:t>DDV</w:t>
            </w:r>
          </w:p>
        </w:tc>
        <w:tc>
          <w:tcPr>
            <w:tcW w:w="1182" w:type="dxa"/>
            <w:tcBorders>
              <w:top w:val="nil"/>
              <w:left w:val="nil"/>
              <w:bottom w:val="single" w:sz="4" w:space="0" w:color="auto"/>
              <w:right w:val="single" w:sz="4" w:space="0" w:color="auto"/>
            </w:tcBorders>
            <w:shd w:val="clear" w:color="000000" w:fill="FFFFFF"/>
            <w:noWrap/>
            <w:vAlign w:val="center"/>
            <w:hideMark/>
          </w:tcPr>
          <w:p w:rsidR="00751349" w:rsidRPr="00751349" w:rsidRDefault="00751349" w:rsidP="00751349">
            <w:pPr>
              <w:jc w:val="center"/>
              <w:rPr>
                <w:color w:val="000000"/>
                <w:sz w:val="16"/>
                <w:szCs w:val="16"/>
              </w:rPr>
            </w:pPr>
            <w:r w:rsidRPr="00751349">
              <w:rPr>
                <w:color w:val="000000"/>
                <w:sz w:val="16"/>
                <w:szCs w:val="16"/>
              </w:rPr>
              <w:t>31.620,47 €</w:t>
            </w:r>
          </w:p>
        </w:tc>
        <w:tc>
          <w:tcPr>
            <w:tcW w:w="1311" w:type="dxa"/>
            <w:tcBorders>
              <w:top w:val="nil"/>
              <w:left w:val="nil"/>
              <w:bottom w:val="single" w:sz="4" w:space="0" w:color="auto"/>
              <w:right w:val="single" w:sz="4" w:space="0" w:color="auto"/>
            </w:tcBorders>
            <w:shd w:val="clear" w:color="000000" w:fill="FFFFFF"/>
            <w:noWrap/>
            <w:vAlign w:val="center"/>
            <w:hideMark/>
          </w:tcPr>
          <w:p w:rsidR="00751349" w:rsidRPr="00751349" w:rsidRDefault="00751349" w:rsidP="00751349">
            <w:pPr>
              <w:jc w:val="center"/>
              <w:rPr>
                <w:color w:val="000000"/>
                <w:sz w:val="16"/>
                <w:szCs w:val="16"/>
              </w:rPr>
            </w:pPr>
            <w:r w:rsidRPr="00751349">
              <w:rPr>
                <w:color w:val="000000"/>
                <w:sz w:val="16"/>
                <w:szCs w:val="16"/>
              </w:rPr>
              <w:t>618.086,48 €</w:t>
            </w:r>
          </w:p>
        </w:tc>
        <w:tc>
          <w:tcPr>
            <w:tcW w:w="1311" w:type="dxa"/>
            <w:tcBorders>
              <w:top w:val="nil"/>
              <w:left w:val="nil"/>
              <w:bottom w:val="single" w:sz="4" w:space="0" w:color="auto"/>
              <w:right w:val="single" w:sz="4" w:space="0" w:color="auto"/>
            </w:tcBorders>
            <w:shd w:val="clear" w:color="000000" w:fill="FFFFFF"/>
            <w:noWrap/>
            <w:vAlign w:val="center"/>
            <w:hideMark/>
          </w:tcPr>
          <w:p w:rsidR="00751349" w:rsidRPr="00751349" w:rsidRDefault="00751349" w:rsidP="00751349">
            <w:pPr>
              <w:jc w:val="center"/>
              <w:rPr>
                <w:color w:val="000000"/>
                <w:sz w:val="16"/>
                <w:szCs w:val="16"/>
              </w:rPr>
            </w:pPr>
            <w:r w:rsidRPr="00751349">
              <w:rPr>
                <w:color w:val="000000"/>
                <w:sz w:val="16"/>
                <w:szCs w:val="16"/>
              </w:rPr>
              <w:t>732.630,55 €</w:t>
            </w:r>
          </w:p>
        </w:tc>
        <w:tc>
          <w:tcPr>
            <w:tcW w:w="1311" w:type="dxa"/>
            <w:tcBorders>
              <w:top w:val="nil"/>
              <w:left w:val="nil"/>
              <w:bottom w:val="single" w:sz="4" w:space="0" w:color="auto"/>
              <w:right w:val="single" w:sz="4" w:space="0" w:color="auto"/>
            </w:tcBorders>
            <w:shd w:val="clear" w:color="000000" w:fill="FFFFFF"/>
            <w:noWrap/>
            <w:vAlign w:val="center"/>
            <w:hideMark/>
          </w:tcPr>
          <w:p w:rsidR="00751349" w:rsidRPr="00751349" w:rsidRDefault="00751349" w:rsidP="00751349">
            <w:pPr>
              <w:jc w:val="center"/>
              <w:rPr>
                <w:color w:val="000000"/>
                <w:sz w:val="16"/>
                <w:szCs w:val="16"/>
              </w:rPr>
            </w:pPr>
            <w:r w:rsidRPr="00751349">
              <w:rPr>
                <w:color w:val="000000"/>
                <w:sz w:val="16"/>
                <w:szCs w:val="16"/>
              </w:rPr>
              <w:t>294.807,43 €</w:t>
            </w:r>
          </w:p>
        </w:tc>
        <w:tc>
          <w:tcPr>
            <w:tcW w:w="1151" w:type="dxa"/>
            <w:tcBorders>
              <w:top w:val="nil"/>
              <w:left w:val="nil"/>
              <w:bottom w:val="single" w:sz="4" w:space="0" w:color="auto"/>
              <w:right w:val="single" w:sz="4" w:space="0" w:color="auto"/>
            </w:tcBorders>
            <w:shd w:val="clear" w:color="000000" w:fill="FFFFFF"/>
            <w:noWrap/>
            <w:vAlign w:val="center"/>
            <w:hideMark/>
          </w:tcPr>
          <w:p w:rsidR="00751349" w:rsidRPr="00751349" w:rsidRDefault="00751349" w:rsidP="00751349">
            <w:pPr>
              <w:jc w:val="center"/>
              <w:rPr>
                <w:color w:val="000000"/>
                <w:sz w:val="16"/>
                <w:szCs w:val="16"/>
              </w:rPr>
            </w:pPr>
            <w:r w:rsidRPr="00751349">
              <w:rPr>
                <w:color w:val="000000"/>
                <w:sz w:val="16"/>
                <w:szCs w:val="16"/>
              </w:rPr>
              <w:t>369.757,56 €</w:t>
            </w:r>
          </w:p>
        </w:tc>
        <w:tc>
          <w:tcPr>
            <w:tcW w:w="1216" w:type="dxa"/>
            <w:tcBorders>
              <w:top w:val="nil"/>
              <w:left w:val="nil"/>
              <w:bottom w:val="single" w:sz="4" w:space="0" w:color="auto"/>
              <w:right w:val="single" w:sz="4" w:space="0" w:color="auto"/>
            </w:tcBorders>
            <w:shd w:val="clear" w:color="000000" w:fill="FFFFFF"/>
            <w:noWrap/>
            <w:vAlign w:val="center"/>
            <w:hideMark/>
          </w:tcPr>
          <w:p w:rsidR="00751349" w:rsidRPr="00751349" w:rsidRDefault="00751349" w:rsidP="00751349">
            <w:pPr>
              <w:jc w:val="center"/>
              <w:rPr>
                <w:color w:val="000000"/>
                <w:sz w:val="16"/>
                <w:szCs w:val="16"/>
              </w:rPr>
            </w:pPr>
            <w:r w:rsidRPr="00751349">
              <w:rPr>
                <w:color w:val="000000"/>
                <w:sz w:val="16"/>
                <w:szCs w:val="16"/>
              </w:rPr>
              <w:t>2.046.902,49 €</w:t>
            </w:r>
          </w:p>
        </w:tc>
        <w:tc>
          <w:tcPr>
            <w:tcW w:w="1151" w:type="dxa"/>
            <w:tcBorders>
              <w:top w:val="nil"/>
              <w:left w:val="nil"/>
              <w:bottom w:val="nil"/>
              <w:right w:val="nil"/>
            </w:tcBorders>
            <w:shd w:val="clear" w:color="auto" w:fill="auto"/>
            <w:noWrap/>
            <w:vAlign w:val="center"/>
            <w:hideMark/>
          </w:tcPr>
          <w:p w:rsidR="00751349" w:rsidRPr="00751349" w:rsidRDefault="00751349" w:rsidP="00751349">
            <w:pPr>
              <w:jc w:val="center"/>
              <w:rPr>
                <w:color w:val="000000"/>
                <w:sz w:val="16"/>
                <w:szCs w:val="16"/>
              </w:rPr>
            </w:pPr>
          </w:p>
        </w:tc>
        <w:tc>
          <w:tcPr>
            <w:tcW w:w="1232" w:type="dxa"/>
            <w:tcBorders>
              <w:top w:val="nil"/>
              <w:left w:val="nil"/>
              <w:bottom w:val="nil"/>
              <w:right w:val="nil"/>
            </w:tcBorders>
            <w:shd w:val="clear" w:color="auto" w:fill="auto"/>
            <w:noWrap/>
            <w:vAlign w:val="center"/>
            <w:hideMark/>
          </w:tcPr>
          <w:p w:rsidR="00751349" w:rsidRPr="00751349" w:rsidRDefault="00751349" w:rsidP="00751349">
            <w:pPr>
              <w:jc w:val="center"/>
              <w:rPr>
                <w:sz w:val="16"/>
                <w:szCs w:val="16"/>
              </w:rPr>
            </w:pPr>
          </w:p>
        </w:tc>
      </w:tr>
      <w:tr w:rsidR="00751349" w:rsidRPr="00751349" w:rsidTr="0007638C">
        <w:trPr>
          <w:trHeight w:val="300"/>
          <w:jc w:val="center"/>
        </w:trPr>
        <w:tc>
          <w:tcPr>
            <w:tcW w:w="1228" w:type="dxa"/>
            <w:tcBorders>
              <w:top w:val="nil"/>
              <w:left w:val="single" w:sz="4" w:space="0" w:color="auto"/>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rPr>
                <w:color w:val="000000"/>
                <w:sz w:val="16"/>
                <w:szCs w:val="16"/>
              </w:rPr>
            </w:pPr>
            <w:r w:rsidRPr="00751349">
              <w:rPr>
                <w:color w:val="000000"/>
                <w:sz w:val="16"/>
                <w:szCs w:val="16"/>
              </w:rPr>
              <w:t>SKUPAJ</w:t>
            </w:r>
          </w:p>
        </w:tc>
        <w:tc>
          <w:tcPr>
            <w:tcW w:w="1182" w:type="dxa"/>
            <w:tcBorders>
              <w:top w:val="nil"/>
              <w:left w:val="nil"/>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jc w:val="center"/>
              <w:rPr>
                <w:color w:val="000000"/>
                <w:sz w:val="16"/>
                <w:szCs w:val="16"/>
              </w:rPr>
            </w:pPr>
            <w:r w:rsidRPr="00751349">
              <w:rPr>
                <w:color w:val="000000"/>
                <w:sz w:val="16"/>
                <w:szCs w:val="16"/>
              </w:rPr>
              <w:t>175.349,88 €</w:t>
            </w:r>
          </w:p>
        </w:tc>
        <w:tc>
          <w:tcPr>
            <w:tcW w:w="1311" w:type="dxa"/>
            <w:tcBorders>
              <w:top w:val="nil"/>
              <w:left w:val="nil"/>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jc w:val="center"/>
              <w:rPr>
                <w:color w:val="000000"/>
                <w:sz w:val="16"/>
                <w:szCs w:val="16"/>
              </w:rPr>
            </w:pPr>
            <w:r w:rsidRPr="00751349">
              <w:rPr>
                <w:color w:val="000000"/>
                <w:sz w:val="16"/>
                <w:szCs w:val="16"/>
              </w:rPr>
              <w:t>3.427.570,49 €</w:t>
            </w:r>
          </w:p>
        </w:tc>
        <w:tc>
          <w:tcPr>
            <w:tcW w:w="1311" w:type="dxa"/>
            <w:tcBorders>
              <w:top w:val="nil"/>
              <w:left w:val="nil"/>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jc w:val="center"/>
              <w:rPr>
                <w:color w:val="000000"/>
                <w:sz w:val="16"/>
                <w:szCs w:val="16"/>
              </w:rPr>
            </w:pPr>
            <w:r w:rsidRPr="00751349">
              <w:rPr>
                <w:color w:val="000000"/>
                <w:sz w:val="16"/>
                <w:szCs w:val="16"/>
              </w:rPr>
              <w:t>4.062.769,40 €</w:t>
            </w:r>
          </w:p>
        </w:tc>
        <w:tc>
          <w:tcPr>
            <w:tcW w:w="1311" w:type="dxa"/>
            <w:tcBorders>
              <w:top w:val="nil"/>
              <w:left w:val="nil"/>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jc w:val="center"/>
              <w:rPr>
                <w:color w:val="000000"/>
                <w:sz w:val="16"/>
                <w:szCs w:val="16"/>
              </w:rPr>
            </w:pPr>
            <w:r w:rsidRPr="00751349">
              <w:rPr>
                <w:color w:val="000000"/>
                <w:sz w:val="16"/>
                <w:szCs w:val="16"/>
              </w:rPr>
              <w:t>1.634.841,22 €</w:t>
            </w:r>
          </w:p>
        </w:tc>
        <w:tc>
          <w:tcPr>
            <w:tcW w:w="1151" w:type="dxa"/>
            <w:tcBorders>
              <w:top w:val="nil"/>
              <w:left w:val="nil"/>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jc w:val="center"/>
              <w:rPr>
                <w:color w:val="000000"/>
                <w:sz w:val="16"/>
                <w:szCs w:val="16"/>
              </w:rPr>
            </w:pPr>
            <w:r w:rsidRPr="00751349">
              <w:rPr>
                <w:color w:val="000000"/>
                <w:sz w:val="16"/>
                <w:szCs w:val="16"/>
              </w:rPr>
              <w:t>2.050.473,75 €</w:t>
            </w:r>
          </w:p>
        </w:tc>
        <w:tc>
          <w:tcPr>
            <w:tcW w:w="1216" w:type="dxa"/>
            <w:tcBorders>
              <w:top w:val="nil"/>
              <w:left w:val="nil"/>
              <w:bottom w:val="single" w:sz="4" w:space="0" w:color="auto"/>
              <w:right w:val="single" w:sz="4" w:space="0" w:color="auto"/>
            </w:tcBorders>
            <w:shd w:val="clear" w:color="auto" w:fill="95B3D7" w:themeFill="accent1" w:themeFillTint="99"/>
            <w:noWrap/>
            <w:vAlign w:val="center"/>
            <w:hideMark/>
          </w:tcPr>
          <w:p w:rsidR="00751349" w:rsidRPr="00751349" w:rsidRDefault="00751349" w:rsidP="00751349">
            <w:pPr>
              <w:jc w:val="center"/>
              <w:rPr>
                <w:color w:val="000000"/>
                <w:sz w:val="16"/>
                <w:szCs w:val="16"/>
              </w:rPr>
            </w:pPr>
            <w:r w:rsidRPr="00751349">
              <w:rPr>
                <w:color w:val="000000"/>
                <w:sz w:val="16"/>
                <w:szCs w:val="16"/>
              </w:rPr>
              <w:t>11.351.004,74 €</w:t>
            </w:r>
          </w:p>
        </w:tc>
        <w:tc>
          <w:tcPr>
            <w:tcW w:w="1151" w:type="dxa"/>
            <w:tcBorders>
              <w:top w:val="nil"/>
              <w:left w:val="nil"/>
              <w:bottom w:val="nil"/>
              <w:right w:val="nil"/>
            </w:tcBorders>
            <w:shd w:val="clear" w:color="auto" w:fill="auto"/>
            <w:noWrap/>
            <w:vAlign w:val="center"/>
            <w:hideMark/>
          </w:tcPr>
          <w:p w:rsidR="00751349" w:rsidRPr="00751349" w:rsidRDefault="00751349" w:rsidP="00751349">
            <w:pPr>
              <w:jc w:val="center"/>
              <w:rPr>
                <w:color w:val="000000"/>
                <w:sz w:val="16"/>
                <w:szCs w:val="16"/>
              </w:rPr>
            </w:pPr>
          </w:p>
        </w:tc>
        <w:tc>
          <w:tcPr>
            <w:tcW w:w="1232" w:type="dxa"/>
            <w:tcBorders>
              <w:top w:val="nil"/>
              <w:left w:val="nil"/>
              <w:bottom w:val="nil"/>
              <w:right w:val="nil"/>
            </w:tcBorders>
            <w:shd w:val="clear" w:color="auto" w:fill="auto"/>
            <w:noWrap/>
            <w:vAlign w:val="center"/>
            <w:hideMark/>
          </w:tcPr>
          <w:p w:rsidR="00751349" w:rsidRPr="00751349" w:rsidRDefault="00751349" w:rsidP="00751349">
            <w:pPr>
              <w:jc w:val="center"/>
              <w:rPr>
                <w:sz w:val="16"/>
                <w:szCs w:val="16"/>
              </w:rPr>
            </w:pPr>
          </w:p>
        </w:tc>
      </w:tr>
    </w:tbl>
    <w:p w:rsidR="00751349" w:rsidRPr="00751349" w:rsidRDefault="00751349" w:rsidP="00751349">
      <w:pPr>
        <w:jc w:val="both"/>
        <w:rPr>
          <w:b/>
        </w:rPr>
      </w:pPr>
    </w:p>
    <w:p w:rsidR="00751349" w:rsidRPr="00751349" w:rsidRDefault="00751349" w:rsidP="00751349">
      <w:pPr>
        <w:jc w:val="both"/>
        <w:rPr>
          <w:b/>
        </w:rPr>
      </w:pPr>
    </w:p>
    <w:p w:rsidR="00960EEF" w:rsidRDefault="00751349" w:rsidP="00751349">
      <w:pPr>
        <w:jc w:val="both"/>
      </w:pPr>
      <w:r w:rsidRPr="00751349">
        <w:t xml:space="preserve">Skupna vrednost operacije, ki je sestavljena iz 4 projektov (odsekov) znaša 11.351.004,74 EUR. </w:t>
      </w:r>
    </w:p>
    <w:p w:rsidR="00960EEF" w:rsidRDefault="00960EEF" w:rsidP="00751349">
      <w:pPr>
        <w:jc w:val="both"/>
      </w:pPr>
    </w:p>
    <w:p w:rsidR="00960EEF" w:rsidRDefault="00960EEF" w:rsidP="00960EEF">
      <w:pPr>
        <w:jc w:val="both"/>
      </w:pPr>
      <w:r w:rsidRPr="00751349">
        <w:t>Vsaka od sodelujočih občin, bo sofinancirala odsek</w:t>
      </w:r>
      <w:r>
        <w:t>e</w:t>
      </w:r>
      <w:r w:rsidRPr="00751349">
        <w:t xml:space="preserve"> na območju</w:t>
      </w:r>
      <w:r>
        <w:t xml:space="preserve"> svoje</w:t>
      </w:r>
      <w:r w:rsidRPr="00751349">
        <w:t xml:space="preserve"> občine.</w:t>
      </w:r>
    </w:p>
    <w:p w:rsidR="00960EEF" w:rsidRDefault="00960EEF" w:rsidP="00960EEF">
      <w:pPr>
        <w:jc w:val="both"/>
      </w:pPr>
    </w:p>
    <w:p w:rsidR="00960EEF" w:rsidRDefault="00960EEF" w:rsidP="00960EEF">
      <w:pPr>
        <w:spacing w:line="260" w:lineRule="exact"/>
        <w:jc w:val="both"/>
        <w:rPr>
          <w:b/>
        </w:rPr>
      </w:pPr>
      <w:r w:rsidRPr="00960EEF">
        <w:rPr>
          <w:noProof/>
        </w:rPr>
        <w:drawing>
          <wp:anchor distT="0" distB="0" distL="114300" distR="114300" simplePos="0" relativeHeight="251658240" behindDoc="0" locked="0" layoutInCell="1" allowOverlap="1">
            <wp:simplePos x="0" y="0"/>
            <wp:positionH relativeFrom="column">
              <wp:posOffset>-500380</wp:posOffset>
            </wp:positionH>
            <wp:positionV relativeFrom="paragraph">
              <wp:posOffset>304800</wp:posOffset>
            </wp:positionV>
            <wp:extent cx="7065645" cy="904875"/>
            <wp:effectExtent l="0" t="0" r="1905"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564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349">
        <w:rPr>
          <w:b/>
        </w:rPr>
        <w:t>Viri financiranja za Mestno občino Ptuj v letih 2018-2022</w:t>
      </w:r>
    </w:p>
    <w:p w:rsidR="00960EEF" w:rsidRPr="00960EEF" w:rsidRDefault="00960EEF" w:rsidP="00960EEF">
      <w:pPr>
        <w:spacing w:line="260" w:lineRule="exact"/>
        <w:jc w:val="both"/>
        <w:rPr>
          <w:b/>
        </w:rPr>
      </w:pPr>
    </w:p>
    <w:p w:rsidR="00960EEF" w:rsidRDefault="00960EEF" w:rsidP="00751349">
      <w:pPr>
        <w:jc w:val="both"/>
      </w:pPr>
    </w:p>
    <w:p w:rsidR="00751349" w:rsidRPr="00751349" w:rsidRDefault="00751349" w:rsidP="00751349">
      <w:pPr>
        <w:spacing w:line="260" w:lineRule="exact"/>
        <w:jc w:val="both"/>
      </w:pPr>
      <w:r w:rsidRPr="00751349">
        <w:t>Pri prednostni naložbi 4.4. Multimodalna mobilnost se lahko iz sredstev kohezijske politike sofinancira do 100 % upravičenih stroškov projekta.  Neupravičene stroške (DDV) krije Mestna občina Ptuj. Sredstva evropske kohezijske politike so sredstva Evropskega sklada za regionalni razvoj v deležu 80 % in nacionalni javni prispevek iz Proračuna RS v deležu 20 %.</w:t>
      </w:r>
    </w:p>
    <w:p w:rsidR="00751349" w:rsidRPr="00751349" w:rsidRDefault="00751349" w:rsidP="00751349">
      <w:pPr>
        <w:jc w:val="both"/>
      </w:pPr>
    </w:p>
    <w:p w:rsidR="003B0FCA" w:rsidRPr="00751349" w:rsidRDefault="003B0FCA" w:rsidP="003B0FCA">
      <w:pPr>
        <w:jc w:val="both"/>
      </w:pPr>
      <w:r>
        <w:t xml:space="preserve">Že obstoječa postavka 6578 Gradnja regionalnih </w:t>
      </w:r>
      <w:r w:rsidRPr="00751349">
        <w:t xml:space="preserve">kolesarskih povezav za zagotavljanje trajnostne mobilnosti v </w:t>
      </w:r>
      <w:r>
        <w:t>Mestni občini Ptuj</w:t>
      </w:r>
      <w:r w:rsidR="008B252B">
        <w:t xml:space="preserve">, se </w:t>
      </w:r>
      <w:r>
        <w:t>spremeni v nazivu in vrednosti v</w:t>
      </w:r>
      <w:r w:rsidR="008B252B">
        <w:t xml:space="preserve"> skladu s predloženim dokumentom</w:t>
      </w:r>
      <w:r>
        <w:t xml:space="preserve"> identifikacije investicijskega projekta. </w:t>
      </w:r>
      <w:r w:rsidR="008B252B">
        <w:t xml:space="preserve">Spremenjena postavka se glasi: </w:t>
      </w:r>
      <w:r w:rsidR="008B252B" w:rsidRPr="006373F0">
        <w:t xml:space="preserve">Gradnja regionalnih kolesarskih povezav za zagotavljanje trajnostne mobilnosti v </w:t>
      </w:r>
      <w:r w:rsidR="008B252B">
        <w:t>Spodnjem Podravju.</w:t>
      </w:r>
    </w:p>
    <w:p w:rsidR="00751349" w:rsidRPr="00751349" w:rsidRDefault="00751349" w:rsidP="00751349">
      <w:pPr>
        <w:jc w:val="both"/>
      </w:pPr>
    </w:p>
    <w:p w:rsidR="00751349" w:rsidRPr="00751349" w:rsidRDefault="00751349" w:rsidP="00751349">
      <w:pPr>
        <w:jc w:val="both"/>
      </w:pPr>
      <w:r w:rsidRPr="00751349">
        <w:t>Na podlagi navedenega Mestnemu svetu Mestne občine Ptuj predlagam, da predloženi dokument obravnava in sprejme predlagani sklep.</w:t>
      </w:r>
    </w:p>
    <w:p w:rsidR="0086714E" w:rsidRDefault="0086714E" w:rsidP="0086714E">
      <w:pPr>
        <w:jc w:val="both"/>
      </w:pPr>
    </w:p>
    <w:p w:rsidR="0086714E" w:rsidRPr="00B14718" w:rsidRDefault="0086714E" w:rsidP="0086714E">
      <w:pPr>
        <w:jc w:val="both"/>
        <w:rPr>
          <w:b/>
        </w:rPr>
      </w:pPr>
      <w:r w:rsidRPr="00B14718">
        <w:t>Pripravila:</w:t>
      </w:r>
      <w:r w:rsidRPr="00B14718">
        <w:rPr>
          <w:b/>
        </w:rPr>
        <w:tab/>
      </w:r>
    </w:p>
    <w:p w:rsidR="0086714E" w:rsidRPr="00B14718" w:rsidRDefault="00141608" w:rsidP="0086714E">
      <w:pPr>
        <w:jc w:val="both"/>
        <w:rPr>
          <w:b/>
        </w:rPr>
      </w:pPr>
      <w:r>
        <w:t>Tina Zamuda</w:t>
      </w:r>
      <w:r w:rsidR="0086714E" w:rsidRPr="00B14718">
        <w:rPr>
          <w:b/>
        </w:rPr>
        <w:tab/>
      </w:r>
      <w:r w:rsidR="0086714E" w:rsidRPr="00B14718">
        <w:rPr>
          <w:b/>
        </w:rPr>
        <w:tab/>
      </w:r>
      <w:r w:rsidR="0086714E" w:rsidRPr="00B14718">
        <w:rPr>
          <w:b/>
        </w:rPr>
        <w:tab/>
      </w:r>
      <w:r w:rsidR="0086714E" w:rsidRPr="00B14718">
        <w:rPr>
          <w:b/>
        </w:rPr>
        <w:tab/>
      </w:r>
      <w:r w:rsidR="0086714E" w:rsidRPr="00B14718">
        <w:rPr>
          <w:b/>
        </w:rPr>
        <w:tab/>
      </w:r>
      <w:r w:rsidR="0086714E" w:rsidRPr="00B14718">
        <w:rPr>
          <w:b/>
        </w:rPr>
        <w:tab/>
        <w:t xml:space="preserve">      </w:t>
      </w:r>
      <w:r w:rsidR="0086714E">
        <w:rPr>
          <w:b/>
        </w:rPr>
        <w:t xml:space="preserve">            </w:t>
      </w:r>
      <w:r w:rsidR="0086714E" w:rsidRPr="00B14718">
        <w:rPr>
          <w:b/>
        </w:rPr>
        <w:t>Miran SENČAR,</w:t>
      </w:r>
    </w:p>
    <w:p w:rsidR="0086714E" w:rsidRPr="00B14718" w:rsidRDefault="0086714E" w:rsidP="0086714E">
      <w:pPr>
        <w:jc w:val="both"/>
        <w:rPr>
          <w:b/>
        </w:rPr>
      </w:pPr>
      <w:r w:rsidRPr="00B14718">
        <w:t xml:space="preserve">   </w:t>
      </w:r>
      <w:r w:rsidR="00141608">
        <w:t xml:space="preserve"> </w:t>
      </w:r>
      <w:r w:rsidR="00141608">
        <w:tab/>
      </w:r>
      <w:r w:rsidR="00141608">
        <w:tab/>
      </w:r>
      <w:r w:rsidR="00141608">
        <w:tab/>
      </w:r>
      <w:r w:rsidR="00141608">
        <w:tab/>
      </w:r>
      <w:r w:rsidR="00141608">
        <w:tab/>
      </w:r>
      <w:r w:rsidR="00141608">
        <w:tab/>
      </w:r>
      <w:r w:rsidR="00141608">
        <w:tab/>
        <w:t xml:space="preserve">             </w:t>
      </w:r>
      <w:r w:rsidRPr="00B14718">
        <w:rPr>
          <w:b/>
        </w:rPr>
        <w:t>župan Mestne občine Ptuj</w:t>
      </w:r>
    </w:p>
    <w:p w:rsidR="0086714E" w:rsidRDefault="0086714E" w:rsidP="00703BF6"/>
    <w:sectPr w:rsidR="0086714E"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62" w:rsidRDefault="001C6662">
      <w:r>
        <w:separator/>
      </w:r>
    </w:p>
  </w:endnote>
  <w:endnote w:type="continuationSeparator" w:id="0">
    <w:p w:rsidR="001C6662" w:rsidRDefault="001C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85" w:rsidRDefault="00D75085"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85" w:rsidRDefault="00D75085"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62" w:rsidRDefault="001C6662">
      <w:r>
        <w:separator/>
      </w:r>
    </w:p>
  </w:footnote>
  <w:footnote w:type="continuationSeparator" w:id="0">
    <w:p w:rsidR="001C6662" w:rsidRDefault="001C6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D75085" w:rsidTr="00AA1F51">
      <w:tc>
        <w:tcPr>
          <w:tcW w:w="3228" w:type="dxa"/>
        </w:tcPr>
        <w:p w:rsidR="00D75085" w:rsidRPr="00AA1F51" w:rsidRDefault="00342EFD" w:rsidP="00AA1F51">
          <w:pPr>
            <w:pBdr>
              <w:bottom w:val="single" w:sz="12" w:space="1" w:color="999999"/>
            </w:pBdr>
            <w:jc w:val="center"/>
            <w:rPr>
              <w:b/>
              <w:i/>
            </w:rPr>
          </w:pPr>
          <w:r>
            <w:rPr>
              <w:noProof/>
            </w:rPr>
            <w:drawing>
              <wp:inline distT="0" distB="0" distL="0" distR="0">
                <wp:extent cx="464820" cy="57912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4820" cy="579120"/>
                        </a:xfrm>
                        <a:prstGeom prst="rect">
                          <a:avLst/>
                        </a:prstGeom>
                        <a:noFill/>
                        <a:ln w="9525">
                          <a:noFill/>
                          <a:miter lim="800000"/>
                          <a:headEnd/>
                          <a:tailEnd/>
                        </a:ln>
                      </pic:spPr>
                    </pic:pic>
                  </a:graphicData>
                </a:graphic>
              </wp:inline>
            </w:drawing>
          </w:r>
        </w:p>
        <w:p w:rsidR="00D75085" w:rsidRDefault="00D75085" w:rsidP="00AA1F51">
          <w:pPr>
            <w:pBdr>
              <w:bottom w:val="single" w:sz="12" w:space="1" w:color="999999"/>
            </w:pBdr>
          </w:pPr>
        </w:p>
        <w:p w:rsidR="00D75085" w:rsidRPr="00AA1F51" w:rsidRDefault="00D75085" w:rsidP="00AA1F51">
          <w:pPr>
            <w:pBdr>
              <w:bottom w:val="single" w:sz="12" w:space="1" w:color="999999"/>
            </w:pBdr>
            <w:jc w:val="center"/>
            <w:rPr>
              <w:b/>
              <w:sz w:val="22"/>
            </w:rPr>
          </w:pPr>
          <w:r w:rsidRPr="00AA1F51">
            <w:rPr>
              <w:b/>
              <w:sz w:val="22"/>
            </w:rPr>
            <w:t>MESTNA OBČINA PTUJ</w:t>
          </w:r>
        </w:p>
        <w:p w:rsidR="00D75085" w:rsidRPr="00AA1F51" w:rsidRDefault="00D75085" w:rsidP="00AA1F51">
          <w:pPr>
            <w:pBdr>
              <w:bottom w:val="single" w:sz="12" w:space="1" w:color="999999"/>
            </w:pBdr>
            <w:jc w:val="center"/>
            <w:rPr>
              <w:sz w:val="22"/>
            </w:rPr>
          </w:pPr>
          <w:r w:rsidRPr="00AA1F51">
            <w:rPr>
              <w:sz w:val="22"/>
            </w:rPr>
            <w:t xml:space="preserve"> ŽUPAN</w:t>
          </w:r>
        </w:p>
        <w:p w:rsidR="00D75085" w:rsidRPr="00AA1F51" w:rsidRDefault="00D75085" w:rsidP="00AA1F51">
          <w:pPr>
            <w:pBdr>
              <w:bottom w:val="single" w:sz="12" w:space="1" w:color="999999"/>
            </w:pBdr>
            <w:rPr>
              <w:sz w:val="22"/>
            </w:rPr>
          </w:pPr>
        </w:p>
        <w:p w:rsidR="00D75085" w:rsidRPr="00AA1F51" w:rsidRDefault="00D75085" w:rsidP="00AA1F51">
          <w:pPr>
            <w:jc w:val="center"/>
            <w:rPr>
              <w:sz w:val="22"/>
            </w:rPr>
          </w:pPr>
        </w:p>
      </w:tc>
      <w:tc>
        <w:tcPr>
          <w:tcW w:w="6394" w:type="dxa"/>
        </w:tcPr>
        <w:p w:rsidR="00D75085" w:rsidRDefault="00D75085" w:rsidP="006D3DCC">
          <w:pPr>
            <w:pStyle w:val="Glava"/>
          </w:pPr>
        </w:p>
      </w:tc>
    </w:tr>
  </w:tbl>
  <w:p w:rsidR="00D75085" w:rsidRDefault="00D7508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B6E"/>
    <w:multiLevelType w:val="hybridMultilevel"/>
    <w:tmpl w:val="E542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484139"/>
    <w:multiLevelType w:val="hybridMultilevel"/>
    <w:tmpl w:val="A222A1A4"/>
    <w:lvl w:ilvl="0" w:tplc="EFBE0232">
      <w:start w:val="5"/>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6804813"/>
    <w:multiLevelType w:val="hybridMultilevel"/>
    <w:tmpl w:val="7F5ED138"/>
    <w:lvl w:ilvl="0" w:tplc="CCEC03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C766735"/>
    <w:multiLevelType w:val="hybridMultilevel"/>
    <w:tmpl w:val="6AA4A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7F00050"/>
    <w:multiLevelType w:val="hybridMultilevel"/>
    <w:tmpl w:val="6194E530"/>
    <w:lvl w:ilvl="0" w:tplc="E78ECD2A">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A6C7638"/>
    <w:multiLevelType w:val="hybridMultilevel"/>
    <w:tmpl w:val="D37862AE"/>
    <w:lvl w:ilvl="0" w:tplc="A43E8A8E">
      <w:start w:val="1"/>
      <w:numFmt w:val="decimal"/>
      <w:lvlText w:val="%1."/>
      <w:lvlJc w:val="left"/>
      <w:pPr>
        <w:ind w:left="720" w:hanging="360"/>
      </w:pPr>
      <w:rPr>
        <w:rFonts w:hint="default"/>
        <w:i w:val="0"/>
        <w:color w:val="auto"/>
      </w:rPr>
    </w:lvl>
    <w:lvl w:ilvl="1" w:tplc="04240013">
      <w:start w:val="1"/>
      <w:numFmt w:val="upperRoman"/>
      <w:lvlText w:val="%2."/>
      <w:lvlJc w:val="right"/>
      <w:pPr>
        <w:tabs>
          <w:tab w:val="num" w:pos="1260"/>
        </w:tabs>
        <w:ind w:left="1260" w:hanging="180"/>
      </w:pPr>
      <w:rPr>
        <w:rFonts w:hint="default"/>
        <w:i w:val="0"/>
        <w:color w:val="auto"/>
      </w:rPr>
    </w:lvl>
    <w:lvl w:ilvl="2" w:tplc="5AB2D942">
      <w:start w:val="1"/>
      <w:numFmt w:val="lowerLetter"/>
      <w:lvlText w:val="%3."/>
      <w:lvlJc w:val="left"/>
      <w:pPr>
        <w:ind w:left="2552" w:hanging="851"/>
      </w:pPr>
      <w:rPr>
        <w:rFonts w:ascii="Arial" w:eastAsia="MS Mincho"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F613CDA"/>
    <w:multiLevelType w:val="hybridMultilevel"/>
    <w:tmpl w:val="642451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0"/>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509C"/>
    <w:rsid w:val="00005C43"/>
    <w:rsid w:val="00005D12"/>
    <w:rsid w:val="000073D0"/>
    <w:rsid w:val="00037924"/>
    <w:rsid w:val="00046752"/>
    <w:rsid w:val="000544C1"/>
    <w:rsid w:val="00054B0C"/>
    <w:rsid w:val="000560DD"/>
    <w:rsid w:val="0007513B"/>
    <w:rsid w:val="00085317"/>
    <w:rsid w:val="00094385"/>
    <w:rsid w:val="00097029"/>
    <w:rsid w:val="00097307"/>
    <w:rsid w:val="000B20FB"/>
    <w:rsid w:val="000C1E72"/>
    <w:rsid w:val="000C4106"/>
    <w:rsid w:val="000D6253"/>
    <w:rsid w:val="000E3F5F"/>
    <w:rsid w:val="000E42C3"/>
    <w:rsid w:val="000F0493"/>
    <w:rsid w:val="000F25DE"/>
    <w:rsid w:val="000F2984"/>
    <w:rsid w:val="00105339"/>
    <w:rsid w:val="00122378"/>
    <w:rsid w:val="001225E9"/>
    <w:rsid w:val="001235D0"/>
    <w:rsid w:val="00136704"/>
    <w:rsid w:val="00141608"/>
    <w:rsid w:val="0014287A"/>
    <w:rsid w:val="0014457D"/>
    <w:rsid w:val="00161F10"/>
    <w:rsid w:val="00162D3E"/>
    <w:rsid w:val="00174A7E"/>
    <w:rsid w:val="00175930"/>
    <w:rsid w:val="00177755"/>
    <w:rsid w:val="00181AD2"/>
    <w:rsid w:val="00194894"/>
    <w:rsid w:val="0019517D"/>
    <w:rsid w:val="001B5A8F"/>
    <w:rsid w:val="001C0EC7"/>
    <w:rsid w:val="001C6662"/>
    <w:rsid w:val="001D32E4"/>
    <w:rsid w:val="001D5EA1"/>
    <w:rsid w:val="001E246C"/>
    <w:rsid w:val="001E6B9C"/>
    <w:rsid w:val="001F2DE3"/>
    <w:rsid w:val="00203B6D"/>
    <w:rsid w:val="002043ED"/>
    <w:rsid w:val="00217AA7"/>
    <w:rsid w:val="00223A8A"/>
    <w:rsid w:val="00227047"/>
    <w:rsid w:val="002349EE"/>
    <w:rsid w:val="00242B7A"/>
    <w:rsid w:val="002550D0"/>
    <w:rsid w:val="00257031"/>
    <w:rsid w:val="002611D3"/>
    <w:rsid w:val="00261791"/>
    <w:rsid w:val="002639D8"/>
    <w:rsid w:val="002669DE"/>
    <w:rsid w:val="00266B26"/>
    <w:rsid w:val="002B37CD"/>
    <w:rsid w:val="002C7616"/>
    <w:rsid w:val="002E4596"/>
    <w:rsid w:val="002E56EB"/>
    <w:rsid w:val="002F36AD"/>
    <w:rsid w:val="002F68A3"/>
    <w:rsid w:val="00302680"/>
    <w:rsid w:val="00303202"/>
    <w:rsid w:val="00307FDA"/>
    <w:rsid w:val="00313442"/>
    <w:rsid w:val="00313CEC"/>
    <w:rsid w:val="0031476F"/>
    <w:rsid w:val="00316F25"/>
    <w:rsid w:val="00317551"/>
    <w:rsid w:val="003225DC"/>
    <w:rsid w:val="00327E05"/>
    <w:rsid w:val="00331CA1"/>
    <w:rsid w:val="00342EFD"/>
    <w:rsid w:val="00354BFF"/>
    <w:rsid w:val="003560AB"/>
    <w:rsid w:val="003628CB"/>
    <w:rsid w:val="003659EF"/>
    <w:rsid w:val="00365E89"/>
    <w:rsid w:val="0036683C"/>
    <w:rsid w:val="003739BA"/>
    <w:rsid w:val="00376518"/>
    <w:rsid w:val="003810A7"/>
    <w:rsid w:val="00387834"/>
    <w:rsid w:val="00396438"/>
    <w:rsid w:val="003B0D4B"/>
    <w:rsid w:val="003B0FCA"/>
    <w:rsid w:val="003B18A0"/>
    <w:rsid w:val="003C4A3B"/>
    <w:rsid w:val="003D185D"/>
    <w:rsid w:val="003E7FED"/>
    <w:rsid w:val="0041370A"/>
    <w:rsid w:val="0043041D"/>
    <w:rsid w:val="004374BD"/>
    <w:rsid w:val="00460C93"/>
    <w:rsid w:val="004632D1"/>
    <w:rsid w:val="004653CD"/>
    <w:rsid w:val="00487DF4"/>
    <w:rsid w:val="00492CE7"/>
    <w:rsid w:val="004948CB"/>
    <w:rsid w:val="004A6E70"/>
    <w:rsid w:val="004B340B"/>
    <w:rsid w:val="004B5193"/>
    <w:rsid w:val="004C1AA7"/>
    <w:rsid w:val="004E07B1"/>
    <w:rsid w:val="004E368E"/>
    <w:rsid w:val="004F5251"/>
    <w:rsid w:val="004F6500"/>
    <w:rsid w:val="004F686A"/>
    <w:rsid w:val="004F71C3"/>
    <w:rsid w:val="00504856"/>
    <w:rsid w:val="00506F2F"/>
    <w:rsid w:val="005107D2"/>
    <w:rsid w:val="005156DD"/>
    <w:rsid w:val="0052092B"/>
    <w:rsid w:val="005268DA"/>
    <w:rsid w:val="00536B73"/>
    <w:rsid w:val="00542613"/>
    <w:rsid w:val="00550D51"/>
    <w:rsid w:val="00552CBD"/>
    <w:rsid w:val="00553F16"/>
    <w:rsid w:val="00575584"/>
    <w:rsid w:val="005856EC"/>
    <w:rsid w:val="005873FD"/>
    <w:rsid w:val="00590651"/>
    <w:rsid w:val="00590C9A"/>
    <w:rsid w:val="00594126"/>
    <w:rsid w:val="005A6480"/>
    <w:rsid w:val="005B2DE6"/>
    <w:rsid w:val="005B66F0"/>
    <w:rsid w:val="005D6B9A"/>
    <w:rsid w:val="005D728C"/>
    <w:rsid w:val="005E2CED"/>
    <w:rsid w:val="005E527D"/>
    <w:rsid w:val="005E592B"/>
    <w:rsid w:val="005F2BEC"/>
    <w:rsid w:val="00600C9C"/>
    <w:rsid w:val="00611E0D"/>
    <w:rsid w:val="0061559A"/>
    <w:rsid w:val="006225BF"/>
    <w:rsid w:val="00637998"/>
    <w:rsid w:val="00656BD0"/>
    <w:rsid w:val="0066495D"/>
    <w:rsid w:val="0067001C"/>
    <w:rsid w:val="00670FFD"/>
    <w:rsid w:val="006766B5"/>
    <w:rsid w:val="006839E2"/>
    <w:rsid w:val="0069113E"/>
    <w:rsid w:val="006913F2"/>
    <w:rsid w:val="00693846"/>
    <w:rsid w:val="006A0503"/>
    <w:rsid w:val="006A5C07"/>
    <w:rsid w:val="006B6268"/>
    <w:rsid w:val="006C2349"/>
    <w:rsid w:val="006D3188"/>
    <w:rsid w:val="006D3DCC"/>
    <w:rsid w:val="006E2A00"/>
    <w:rsid w:val="006E734E"/>
    <w:rsid w:val="006F3BB7"/>
    <w:rsid w:val="006F7ADD"/>
    <w:rsid w:val="00701425"/>
    <w:rsid w:val="00703BF6"/>
    <w:rsid w:val="00705D2D"/>
    <w:rsid w:val="007067CB"/>
    <w:rsid w:val="00710694"/>
    <w:rsid w:val="00722067"/>
    <w:rsid w:val="00733A9D"/>
    <w:rsid w:val="00733C03"/>
    <w:rsid w:val="00734465"/>
    <w:rsid w:val="00735585"/>
    <w:rsid w:val="007358BF"/>
    <w:rsid w:val="007436C8"/>
    <w:rsid w:val="00751349"/>
    <w:rsid w:val="00753E9F"/>
    <w:rsid w:val="007552C1"/>
    <w:rsid w:val="0076292A"/>
    <w:rsid w:val="00766124"/>
    <w:rsid w:val="00766F3E"/>
    <w:rsid w:val="00790377"/>
    <w:rsid w:val="00793A88"/>
    <w:rsid w:val="00795E84"/>
    <w:rsid w:val="007B1FC8"/>
    <w:rsid w:val="007C2F2C"/>
    <w:rsid w:val="007E34AA"/>
    <w:rsid w:val="007E3519"/>
    <w:rsid w:val="007E47B4"/>
    <w:rsid w:val="007E50AA"/>
    <w:rsid w:val="007E5D34"/>
    <w:rsid w:val="007E6B04"/>
    <w:rsid w:val="007F02B6"/>
    <w:rsid w:val="00811E6B"/>
    <w:rsid w:val="008134F6"/>
    <w:rsid w:val="00820D01"/>
    <w:rsid w:val="00820E31"/>
    <w:rsid w:val="00823C14"/>
    <w:rsid w:val="0082485C"/>
    <w:rsid w:val="00825CE4"/>
    <w:rsid w:val="00825D89"/>
    <w:rsid w:val="00826685"/>
    <w:rsid w:val="00833AE7"/>
    <w:rsid w:val="00840B74"/>
    <w:rsid w:val="00840C2F"/>
    <w:rsid w:val="00846DF2"/>
    <w:rsid w:val="00851636"/>
    <w:rsid w:val="00852A3C"/>
    <w:rsid w:val="00854D79"/>
    <w:rsid w:val="00855B35"/>
    <w:rsid w:val="0086714E"/>
    <w:rsid w:val="00877A10"/>
    <w:rsid w:val="008821B8"/>
    <w:rsid w:val="00892492"/>
    <w:rsid w:val="008A48D0"/>
    <w:rsid w:val="008A57C6"/>
    <w:rsid w:val="008A6166"/>
    <w:rsid w:val="008B252B"/>
    <w:rsid w:val="008B2761"/>
    <w:rsid w:val="008B4142"/>
    <w:rsid w:val="008B49E8"/>
    <w:rsid w:val="008B71E2"/>
    <w:rsid w:val="008C7258"/>
    <w:rsid w:val="008C7A1B"/>
    <w:rsid w:val="008D536A"/>
    <w:rsid w:val="008F760E"/>
    <w:rsid w:val="008F78CE"/>
    <w:rsid w:val="00904FD3"/>
    <w:rsid w:val="00914C7E"/>
    <w:rsid w:val="0091762E"/>
    <w:rsid w:val="00917BAD"/>
    <w:rsid w:val="0094375A"/>
    <w:rsid w:val="00950060"/>
    <w:rsid w:val="00952ABA"/>
    <w:rsid w:val="0095359D"/>
    <w:rsid w:val="00955A88"/>
    <w:rsid w:val="009571F5"/>
    <w:rsid w:val="00960EEF"/>
    <w:rsid w:val="00964897"/>
    <w:rsid w:val="00965D9F"/>
    <w:rsid w:val="00967143"/>
    <w:rsid w:val="009768AF"/>
    <w:rsid w:val="00997AD5"/>
    <w:rsid w:val="00997D0A"/>
    <w:rsid w:val="009A23BD"/>
    <w:rsid w:val="009A4258"/>
    <w:rsid w:val="009A6B9F"/>
    <w:rsid w:val="009B3911"/>
    <w:rsid w:val="009C1614"/>
    <w:rsid w:val="009C2636"/>
    <w:rsid w:val="009D34B5"/>
    <w:rsid w:val="009D60C5"/>
    <w:rsid w:val="009D79A8"/>
    <w:rsid w:val="009F099C"/>
    <w:rsid w:val="009F4E96"/>
    <w:rsid w:val="009F64F2"/>
    <w:rsid w:val="00A115CA"/>
    <w:rsid w:val="00A12866"/>
    <w:rsid w:val="00A17D4A"/>
    <w:rsid w:val="00A30CDE"/>
    <w:rsid w:val="00A3359B"/>
    <w:rsid w:val="00A33CE3"/>
    <w:rsid w:val="00A37610"/>
    <w:rsid w:val="00A3799E"/>
    <w:rsid w:val="00A453E5"/>
    <w:rsid w:val="00A45D5F"/>
    <w:rsid w:val="00A533EB"/>
    <w:rsid w:val="00A71A96"/>
    <w:rsid w:val="00A77EE9"/>
    <w:rsid w:val="00A8186A"/>
    <w:rsid w:val="00A958EA"/>
    <w:rsid w:val="00AA0776"/>
    <w:rsid w:val="00AA192A"/>
    <w:rsid w:val="00AA1F51"/>
    <w:rsid w:val="00AC2784"/>
    <w:rsid w:val="00AD194A"/>
    <w:rsid w:val="00AE0886"/>
    <w:rsid w:val="00AE2CFF"/>
    <w:rsid w:val="00AE697F"/>
    <w:rsid w:val="00AF4D15"/>
    <w:rsid w:val="00AF5E77"/>
    <w:rsid w:val="00AF7C94"/>
    <w:rsid w:val="00B026B8"/>
    <w:rsid w:val="00B06019"/>
    <w:rsid w:val="00B2418B"/>
    <w:rsid w:val="00B321AC"/>
    <w:rsid w:val="00B35565"/>
    <w:rsid w:val="00B5283C"/>
    <w:rsid w:val="00B564E3"/>
    <w:rsid w:val="00B61013"/>
    <w:rsid w:val="00B71195"/>
    <w:rsid w:val="00B93F44"/>
    <w:rsid w:val="00BA21D2"/>
    <w:rsid w:val="00BA3324"/>
    <w:rsid w:val="00BC6813"/>
    <w:rsid w:val="00BD4B4D"/>
    <w:rsid w:val="00BD7797"/>
    <w:rsid w:val="00BE4610"/>
    <w:rsid w:val="00C0275B"/>
    <w:rsid w:val="00C06FF4"/>
    <w:rsid w:val="00C10993"/>
    <w:rsid w:val="00C14FC2"/>
    <w:rsid w:val="00C1558F"/>
    <w:rsid w:val="00C17AA3"/>
    <w:rsid w:val="00C21AA9"/>
    <w:rsid w:val="00C26598"/>
    <w:rsid w:val="00C323C4"/>
    <w:rsid w:val="00C32809"/>
    <w:rsid w:val="00C63455"/>
    <w:rsid w:val="00C705ED"/>
    <w:rsid w:val="00C7249C"/>
    <w:rsid w:val="00C83195"/>
    <w:rsid w:val="00C87456"/>
    <w:rsid w:val="00C901F1"/>
    <w:rsid w:val="00C94BC7"/>
    <w:rsid w:val="00C959AE"/>
    <w:rsid w:val="00CE04DA"/>
    <w:rsid w:val="00CE373F"/>
    <w:rsid w:val="00CE4436"/>
    <w:rsid w:val="00CF1AF8"/>
    <w:rsid w:val="00CF6330"/>
    <w:rsid w:val="00D00229"/>
    <w:rsid w:val="00D00DA1"/>
    <w:rsid w:val="00D04F89"/>
    <w:rsid w:val="00D131B1"/>
    <w:rsid w:val="00D15968"/>
    <w:rsid w:val="00D211CA"/>
    <w:rsid w:val="00D34672"/>
    <w:rsid w:val="00D5171F"/>
    <w:rsid w:val="00D52478"/>
    <w:rsid w:val="00D70F6F"/>
    <w:rsid w:val="00D7459C"/>
    <w:rsid w:val="00D75085"/>
    <w:rsid w:val="00D7649A"/>
    <w:rsid w:val="00D82A2D"/>
    <w:rsid w:val="00D82D00"/>
    <w:rsid w:val="00D850AA"/>
    <w:rsid w:val="00D8690E"/>
    <w:rsid w:val="00D87A41"/>
    <w:rsid w:val="00D90820"/>
    <w:rsid w:val="00D952C7"/>
    <w:rsid w:val="00D9704D"/>
    <w:rsid w:val="00DA0DDA"/>
    <w:rsid w:val="00DA6A57"/>
    <w:rsid w:val="00DB18E1"/>
    <w:rsid w:val="00DB3819"/>
    <w:rsid w:val="00DB4931"/>
    <w:rsid w:val="00DD53F8"/>
    <w:rsid w:val="00DE174E"/>
    <w:rsid w:val="00E154DD"/>
    <w:rsid w:val="00E212F4"/>
    <w:rsid w:val="00E379DD"/>
    <w:rsid w:val="00E44389"/>
    <w:rsid w:val="00E470C3"/>
    <w:rsid w:val="00E50ECF"/>
    <w:rsid w:val="00E61273"/>
    <w:rsid w:val="00E63038"/>
    <w:rsid w:val="00E6682F"/>
    <w:rsid w:val="00E722E1"/>
    <w:rsid w:val="00E74A15"/>
    <w:rsid w:val="00E80517"/>
    <w:rsid w:val="00E92947"/>
    <w:rsid w:val="00EA3BF9"/>
    <w:rsid w:val="00EA6465"/>
    <w:rsid w:val="00EB792B"/>
    <w:rsid w:val="00EB7E57"/>
    <w:rsid w:val="00EC3D24"/>
    <w:rsid w:val="00ED5138"/>
    <w:rsid w:val="00ED7592"/>
    <w:rsid w:val="00EE0ED1"/>
    <w:rsid w:val="00F06E94"/>
    <w:rsid w:val="00F14F1E"/>
    <w:rsid w:val="00F32F3D"/>
    <w:rsid w:val="00F34EC5"/>
    <w:rsid w:val="00F428E8"/>
    <w:rsid w:val="00F42FB9"/>
    <w:rsid w:val="00F50827"/>
    <w:rsid w:val="00F64257"/>
    <w:rsid w:val="00F71F49"/>
    <w:rsid w:val="00F76B7F"/>
    <w:rsid w:val="00F911A8"/>
    <w:rsid w:val="00F95934"/>
    <w:rsid w:val="00FA3E61"/>
    <w:rsid w:val="00FB689B"/>
    <w:rsid w:val="00FC338D"/>
    <w:rsid w:val="00FC5126"/>
    <w:rsid w:val="00FE0C23"/>
    <w:rsid w:val="00FE3598"/>
    <w:rsid w:val="00FE402B"/>
    <w:rsid w:val="00FE4F06"/>
    <w:rsid w:val="00FE6824"/>
    <w:rsid w:val="00FF1E9C"/>
    <w:rsid w:val="00FF4AF9"/>
    <w:rsid w:val="00FF515B"/>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2">
    <w:name w:val="heading 2"/>
    <w:basedOn w:val="Navaden"/>
    <w:next w:val="Navaden"/>
    <w:link w:val="Naslov2Znak"/>
    <w:uiPriority w:val="9"/>
    <w:unhideWhenUsed/>
    <w:qFormat/>
    <w:rsid w:val="00CF6330"/>
    <w:pPr>
      <w:keepNext/>
      <w:spacing w:before="240" w:after="60" w:line="276" w:lineRule="auto"/>
      <w:outlineLvl w:val="1"/>
    </w:pPr>
    <w:rPr>
      <w:rFonts w:ascii="Cambria" w:hAnsi="Cambria"/>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basedOn w:val="Privzetapisavaodstavka"/>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uiPriority w:val="99"/>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uiPriority w:val="99"/>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99"/>
    <w:qFormat/>
    <w:rsid w:val="00FE4F06"/>
    <w:pPr>
      <w:ind w:left="708"/>
    </w:pPr>
    <w:rPr>
      <w:szCs w:val="20"/>
    </w:rPr>
  </w:style>
  <w:style w:type="character" w:styleId="Krepko">
    <w:name w:val="Strong"/>
    <w:qFormat/>
    <w:rsid w:val="00FE4F06"/>
    <w:rPr>
      <w:rFonts w:cs="Times New Roman"/>
      <w:b/>
      <w:bCs/>
    </w:rPr>
  </w:style>
  <w:style w:type="character" w:customStyle="1" w:styleId="Naslov2Znak">
    <w:name w:val="Naslov 2 Znak"/>
    <w:basedOn w:val="Privzetapisavaodstavka"/>
    <w:link w:val="Naslov2"/>
    <w:uiPriority w:val="9"/>
    <w:rsid w:val="00CF6330"/>
    <w:rPr>
      <w:rFonts w:ascii="Cambria" w:hAnsi="Cambria"/>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2">
    <w:name w:val="heading 2"/>
    <w:basedOn w:val="Navaden"/>
    <w:next w:val="Navaden"/>
    <w:link w:val="Naslov2Znak"/>
    <w:uiPriority w:val="9"/>
    <w:unhideWhenUsed/>
    <w:qFormat/>
    <w:rsid w:val="00CF6330"/>
    <w:pPr>
      <w:keepNext/>
      <w:spacing w:before="240" w:after="60" w:line="276" w:lineRule="auto"/>
      <w:outlineLvl w:val="1"/>
    </w:pPr>
    <w:rPr>
      <w:rFonts w:ascii="Cambria" w:hAnsi="Cambria"/>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basedOn w:val="Privzetapisavaodstavka"/>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uiPriority w:val="99"/>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uiPriority w:val="99"/>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99"/>
    <w:qFormat/>
    <w:rsid w:val="00FE4F06"/>
    <w:pPr>
      <w:ind w:left="708"/>
    </w:pPr>
    <w:rPr>
      <w:szCs w:val="20"/>
    </w:rPr>
  </w:style>
  <w:style w:type="character" w:styleId="Krepko">
    <w:name w:val="Strong"/>
    <w:qFormat/>
    <w:rsid w:val="00FE4F06"/>
    <w:rPr>
      <w:rFonts w:cs="Times New Roman"/>
      <w:b/>
      <w:bCs/>
    </w:rPr>
  </w:style>
  <w:style w:type="character" w:customStyle="1" w:styleId="Naslov2Znak">
    <w:name w:val="Naslov 2 Znak"/>
    <w:basedOn w:val="Privzetapisavaodstavka"/>
    <w:link w:val="Naslov2"/>
    <w:uiPriority w:val="9"/>
    <w:rsid w:val="00CF6330"/>
    <w:rPr>
      <w:rFonts w:ascii="Cambria" w:hAnsi="Cambri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993</Words>
  <Characters>6439</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Urška Fajt</cp:lastModifiedBy>
  <cp:revision>17</cp:revision>
  <cp:lastPrinted>2018-01-31T09:27:00Z</cp:lastPrinted>
  <dcterms:created xsi:type="dcterms:W3CDTF">2017-12-01T10:57:00Z</dcterms:created>
  <dcterms:modified xsi:type="dcterms:W3CDTF">2018-01-31T09:27:00Z</dcterms:modified>
</cp:coreProperties>
</file>