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CE41CF" w14:textId="5E647952" w:rsidR="004907B0" w:rsidRPr="004907B0" w:rsidRDefault="003B02AA" w:rsidP="004907B0">
      <w:pPr>
        <w:jc w:val="both"/>
      </w:pPr>
      <w:bookmarkStart w:id="0" w:name="_GoBack"/>
      <w:bookmarkEnd w:id="0"/>
      <w:r>
        <w:t xml:space="preserve">Na podlagi </w:t>
      </w:r>
      <w:r w:rsidR="004907B0" w:rsidRPr="004907B0">
        <w:t>Odloka o programu opremljanja stavbnih zemljišč in merilih za odmero komunalnega prispevka za kanalizacijo komunalnih odpadnih vod, ki je bila zgrajena v obdobju 2008-2013 in bo zgrajena v obdobju 2014-2015 v občini Cerklje na Gorenjskem obsega:</w:t>
      </w:r>
    </w:p>
    <w:p w14:paraId="17BF60C4" w14:textId="77777777" w:rsidR="004907B0" w:rsidRPr="004907B0" w:rsidRDefault="004907B0" w:rsidP="004907B0">
      <w:pPr>
        <w:pStyle w:val="Odstavekseznama"/>
        <w:numPr>
          <w:ilvl w:val="0"/>
          <w:numId w:val="27"/>
        </w:numPr>
        <w:jc w:val="both"/>
      </w:pPr>
      <w:r w:rsidRPr="004907B0">
        <w:t>Odlok o programu opremljanja stavbnih zemljišč in merilih za odmero komunalnega prispevka za kanalizacijo komunalnih odpadnih vod, ki je bila zgrajena v obdobju 2008-2013 in bo zgrajena v obdobju 2014-2015 v občini Cerklje na Gorenjskem (Uradni vestnik občine Cerklje na Gorenjskem št. 1/2014),</w:t>
      </w:r>
    </w:p>
    <w:p w14:paraId="23F00C62" w14:textId="77777777" w:rsidR="004907B0" w:rsidRPr="004907B0" w:rsidRDefault="004907B0" w:rsidP="004907B0">
      <w:pPr>
        <w:pStyle w:val="Odstavekseznama"/>
        <w:numPr>
          <w:ilvl w:val="0"/>
          <w:numId w:val="27"/>
        </w:numPr>
        <w:jc w:val="both"/>
      </w:pPr>
      <w:r w:rsidRPr="004907B0">
        <w:t>Odlok o spremembah in dopolnitvah Odloka o programu opremljanja stavbnih zemljišč in merilih za odmero komunalnega prispevka za kanalizacijo komunalnih odpadnih vod, ki je bila zgrajena v obdobju 2008-2013 in bo zgrajena v obdobju 2014-2015 v občini Cerklje na Gorenjskem (Uradni vestnik občine Cerklje na Gorenjskem št. 2/2015),</w:t>
      </w:r>
    </w:p>
    <w:p w14:paraId="4B17C286" w14:textId="77777777" w:rsidR="004907B0" w:rsidRPr="004907B0" w:rsidRDefault="004907B0" w:rsidP="004907B0">
      <w:pPr>
        <w:pStyle w:val="Odstavekseznama"/>
        <w:numPr>
          <w:ilvl w:val="0"/>
          <w:numId w:val="27"/>
        </w:numPr>
      </w:pPr>
      <w:r w:rsidRPr="004907B0">
        <w:t>Odlok o spremembah in dopolnitvah programa opremljanja stavbnih zemljišč in merilih za odmero komunalnega prispevka za kanalizacijo komunalnih odpadnih vod, ki je bila zgrajena v obdobju 2008-2013 in bo zgrajena v obdobju 2014-2015 v občini Cerklje na Gorenjskem (Uradni vestnik občine Cerklje na Gorenjskem št. 3/2015),</w:t>
      </w:r>
    </w:p>
    <w:p w14:paraId="698E6DFC" w14:textId="12F0D076" w:rsidR="004907B0" w:rsidRPr="004907B0" w:rsidRDefault="004907B0" w:rsidP="004907B0">
      <w:pPr>
        <w:pStyle w:val="Odstavekseznama"/>
        <w:numPr>
          <w:ilvl w:val="0"/>
          <w:numId w:val="27"/>
        </w:numPr>
      </w:pPr>
      <w:r w:rsidRPr="004907B0">
        <w:t xml:space="preserve">Odlok o spremembah in dopolnitvah programa opremljanja stavbnih zemljišč in merilih za odmero komunalnega prispevka za kanalizacijo komunalnih odpadnih vod, ki je bila zgrajena v obdobju 2008-2013 in bo zgrajena v obdobju 2014-2015 v občini Cerklje na Gorenjskem (Uradni vestnik občine Cerklje na Gorenjskem št. </w:t>
      </w:r>
      <w:r w:rsidR="00017A33">
        <w:t>4</w:t>
      </w:r>
      <w:r w:rsidRPr="004907B0">
        <w:t xml:space="preserve"> /2015)</w:t>
      </w:r>
      <w:r w:rsidR="003B02AA">
        <w:t>,</w:t>
      </w:r>
    </w:p>
    <w:p w14:paraId="181E5E8D" w14:textId="77777777" w:rsidR="004907B0" w:rsidRDefault="004907B0" w:rsidP="003B02AA">
      <w:pPr>
        <w:jc w:val="both"/>
      </w:pPr>
    </w:p>
    <w:p w14:paraId="3F2CD4CA" w14:textId="7DF74A78" w:rsidR="003B02AA" w:rsidRPr="004907B0" w:rsidRDefault="003B02AA" w:rsidP="003B02AA">
      <w:pPr>
        <w:jc w:val="both"/>
      </w:pPr>
      <w:r>
        <w:t xml:space="preserve">je </w:t>
      </w:r>
      <w:r w:rsidRPr="003B02AA">
        <w:t xml:space="preserve">Občinski svet Občine Cerklje na Gorenjskem je na 6. redni seji, dne 10.09.2015 sprejel  </w:t>
      </w:r>
    </w:p>
    <w:p w14:paraId="601E0051" w14:textId="77777777" w:rsidR="004907B0" w:rsidRPr="004907B0" w:rsidRDefault="004907B0" w:rsidP="004907B0">
      <w:pPr>
        <w:jc w:val="both"/>
      </w:pPr>
    </w:p>
    <w:p w14:paraId="79FF0CFF" w14:textId="77777777" w:rsidR="004907B0" w:rsidRPr="004907B0" w:rsidRDefault="004907B0" w:rsidP="004907B0">
      <w:pPr>
        <w:jc w:val="both"/>
      </w:pPr>
    </w:p>
    <w:p w14:paraId="48A29037" w14:textId="77777777" w:rsidR="004907B0" w:rsidRPr="004907B0" w:rsidRDefault="004907B0" w:rsidP="004907B0">
      <w:pPr>
        <w:jc w:val="center"/>
        <w:rPr>
          <w:b/>
        </w:rPr>
      </w:pPr>
      <w:r w:rsidRPr="004907B0">
        <w:rPr>
          <w:b/>
        </w:rPr>
        <w:t>O D L O K</w:t>
      </w:r>
    </w:p>
    <w:p w14:paraId="1F83784E" w14:textId="77777777" w:rsidR="004907B0" w:rsidRPr="004907B0" w:rsidRDefault="004907B0" w:rsidP="004907B0">
      <w:pPr>
        <w:jc w:val="center"/>
        <w:rPr>
          <w:b/>
        </w:rPr>
      </w:pPr>
      <w:r w:rsidRPr="004907B0">
        <w:rPr>
          <w:b/>
        </w:rPr>
        <w:t>o programu opremljanja stavbnih zemljišč in merilih za odmero komunalnega prispevka za kanalizacijo komunalnih odpadnih vod, ki je bila zgrajena v obdobju 2008-2013 in bo zgrajena v obdobju 2014-2015 v občini Cerklje na Gorenjskem</w:t>
      </w:r>
    </w:p>
    <w:p w14:paraId="11AB1883" w14:textId="77777777" w:rsidR="004907B0" w:rsidRPr="004907B0" w:rsidRDefault="004907B0" w:rsidP="004907B0">
      <w:pPr>
        <w:tabs>
          <w:tab w:val="center" w:pos="4536"/>
          <w:tab w:val="left" w:pos="4990"/>
        </w:tabs>
        <w:rPr>
          <w:b/>
        </w:rPr>
      </w:pPr>
    </w:p>
    <w:p w14:paraId="6BD81AB3" w14:textId="19FEF4D1" w:rsidR="004907B0" w:rsidRPr="004907B0" w:rsidRDefault="004907B0" w:rsidP="004907B0">
      <w:pPr>
        <w:tabs>
          <w:tab w:val="center" w:pos="4536"/>
          <w:tab w:val="left" w:pos="4990"/>
        </w:tabs>
        <w:jc w:val="center"/>
      </w:pPr>
      <w:r w:rsidRPr="004907B0">
        <w:t>(</w:t>
      </w:r>
      <w:r w:rsidR="00017A33">
        <w:t>U</w:t>
      </w:r>
      <w:r w:rsidRPr="004907B0">
        <w:t xml:space="preserve">radno prečiščeno besedilo </w:t>
      </w:r>
      <w:r w:rsidR="00017A33">
        <w:t xml:space="preserve">UPB - </w:t>
      </w:r>
      <w:r w:rsidRPr="004907B0">
        <w:t>1)</w:t>
      </w:r>
    </w:p>
    <w:p w14:paraId="5C853F4F" w14:textId="77777777" w:rsidR="004907B0" w:rsidRPr="004907B0" w:rsidRDefault="004907B0" w:rsidP="004907B0"/>
    <w:p w14:paraId="7EDAA452" w14:textId="77777777" w:rsidR="004907B0" w:rsidRPr="004907B0" w:rsidRDefault="004907B0" w:rsidP="004907B0"/>
    <w:p w14:paraId="24DEC9D6" w14:textId="77777777" w:rsidR="004907B0" w:rsidRPr="004907B0" w:rsidRDefault="004907B0" w:rsidP="004907B0">
      <w:pPr>
        <w:jc w:val="center"/>
      </w:pPr>
      <w:r w:rsidRPr="004907B0">
        <w:t>I. UVODNE DOLOČBE</w:t>
      </w:r>
    </w:p>
    <w:p w14:paraId="11F1EDE3" w14:textId="77777777" w:rsidR="004907B0" w:rsidRPr="004907B0" w:rsidRDefault="004907B0" w:rsidP="004907B0">
      <w:pPr>
        <w:jc w:val="center"/>
      </w:pPr>
    </w:p>
    <w:p w14:paraId="093FDA76" w14:textId="77777777" w:rsidR="004907B0" w:rsidRPr="004907B0" w:rsidRDefault="004907B0" w:rsidP="004907B0">
      <w:pPr>
        <w:jc w:val="center"/>
      </w:pPr>
      <w:r w:rsidRPr="004907B0">
        <w:t>1. člen</w:t>
      </w:r>
    </w:p>
    <w:p w14:paraId="71AC8ECC" w14:textId="77777777" w:rsidR="004907B0" w:rsidRPr="004907B0" w:rsidRDefault="004907B0" w:rsidP="004907B0"/>
    <w:p w14:paraId="03EF0F37" w14:textId="77777777" w:rsidR="004907B0" w:rsidRPr="004907B0" w:rsidRDefault="004907B0" w:rsidP="004907B0">
      <w:pPr>
        <w:pStyle w:val="Odstavekseznama"/>
        <w:numPr>
          <w:ilvl w:val="0"/>
          <w:numId w:val="25"/>
        </w:numPr>
        <w:ind w:left="378"/>
        <w:jc w:val="both"/>
      </w:pPr>
      <w:r w:rsidRPr="004907B0">
        <w:t xml:space="preserve">S tem odlokom se sprejme program opremljanja stavbnih zemljišč za priključitev na javno kanalizacijsko omrežje komunalnih odpadnih vod s končnim čiščenjem na CČN Domžale – Kamnik,  ki je bila zgrajena v obdobju 2008-2013 in bo zgrajena v obdobju 2014-2015 (v nadaljevanju: program opremljanja). </w:t>
      </w:r>
    </w:p>
    <w:p w14:paraId="05276210" w14:textId="77777777" w:rsidR="004907B0" w:rsidRPr="004907B0" w:rsidRDefault="004907B0" w:rsidP="004907B0">
      <w:pPr>
        <w:pStyle w:val="Odstavekseznama"/>
        <w:numPr>
          <w:ilvl w:val="0"/>
          <w:numId w:val="25"/>
        </w:numPr>
        <w:ind w:left="378"/>
        <w:jc w:val="both"/>
      </w:pPr>
      <w:r w:rsidRPr="004907B0">
        <w:t>Program opremljanja je izdelalo podjetje Ipsum, d.o.o., Ljubljanska cesta 72, 1230 Domžale. Upoštevana je bila vsa razpoložljiva dokumentacija in smernice pristojnih nosilcev urejanja prostora, ki je navedena v programu opremljanja.</w:t>
      </w:r>
    </w:p>
    <w:p w14:paraId="52E9B250" w14:textId="77777777" w:rsidR="004907B0" w:rsidRPr="004907B0" w:rsidRDefault="004907B0" w:rsidP="004907B0">
      <w:pPr>
        <w:jc w:val="both"/>
      </w:pPr>
    </w:p>
    <w:p w14:paraId="6A6A913C" w14:textId="77777777" w:rsidR="004907B0" w:rsidRPr="004907B0" w:rsidRDefault="004907B0" w:rsidP="004907B0">
      <w:pPr>
        <w:jc w:val="center"/>
      </w:pPr>
      <w:r w:rsidRPr="004907B0">
        <w:t>2. člen</w:t>
      </w:r>
    </w:p>
    <w:p w14:paraId="15529366" w14:textId="77777777" w:rsidR="004907B0" w:rsidRPr="004907B0" w:rsidRDefault="004907B0" w:rsidP="004907B0">
      <w:pPr>
        <w:jc w:val="both"/>
      </w:pPr>
    </w:p>
    <w:p w14:paraId="1BED7969" w14:textId="77777777" w:rsidR="004907B0" w:rsidRPr="004907B0" w:rsidRDefault="004907B0" w:rsidP="004907B0">
      <w:pPr>
        <w:jc w:val="both"/>
      </w:pPr>
      <w:r w:rsidRPr="004907B0">
        <w:t>Posamezni izrazi, uporabljeni v tem odloku, imajo naslednji pomen:</w:t>
      </w:r>
    </w:p>
    <w:p w14:paraId="00578452" w14:textId="77777777" w:rsidR="004907B0" w:rsidRPr="004907B0" w:rsidRDefault="004907B0" w:rsidP="004907B0">
      <w:pPr>
        <w:pStyle w:val="Odstavekseznama"/>
        <w:numPr>
          <w:ilvl w:val="0"/>
          <w:numId w:val="18"/>
        </w:numPr>
        <w:jc w:val="both"/>
      </w:pPr>
      <w:r w:rsidRPr="004907B0">
        <w:t>Komunalna oprema so:</w:t>
      </w:r>
    </w:p>
    <w:p w14:paraId="387BE2BB" w14:textId="6502C37A" w:rsidR="004907B0" w:rsidRPr="004907B0" w:rsidRDefault="004907B0" w:rsidP="004907B0">
      <w:pPr>
        <w:pStyle w:val="Odstavekseznama"/>
        <w:numPr>
          <w:ilvl w:val="0"/>
          <w:numId w:val="19"/>
        </w:numPr>
        <w:jc w:val="both"/>
      </w:pPr>
      <w:r w:rsidRPr="004907B0">
        <w:lastRenderedPageBreak/>
        <w:t>objekti in omrežja infrastrukture za izvajanje obveznih lokalnih gospodarskih javnih služb varstva okolja po predpisih, ki urejajo varstvo okolja,</w:t>
      </w:r>
    </w:p>
    <w:p w14:paraId="03B5E878" w14:textId="77777777" w:rsidR="004907B0" w:rsidRPr="004907B0" w:rsidRDefault="004907B0" w:rsidP="004907B0">
      <w:pPr>
        <w:pStyle w:val="Odstavekseznama"/>
        <w:numPr>
          <w:ilvl w:val="0"/>
          <w:numId w:val="19"/>
        </w:numPr>
        <w:jc w:val="both"/>
      </w:pPr>
      <w:r w:rsidRPr="004907B0">
        <w:t>objekti grajenega javnega dobra, in sicer: občinske ceste, javna parkirišča in druge javne površine.</w:t>
      </w:r>
    </w:p>
    <w:p w14:paraId="74A3FEDC" w14:textId="77777777" w:rsidR="004907B0" w:rsidRPr="004907B0" w:rsidRDefault="004907B0" w:rsidP="004907B0">
      <w:pPr>
        <w:pStyle w:val="Odstavekseznama"/>
        <w:numPr>
          <w:ilvl w:val="0"/>
          <w:numId w:val="18"/>
        </w:numPr>
        <w:jc w:val="both"/>
      </w:pPr>
      <w:r w:rsidRPr="004907B0">
        <w:t>Obračunsko območje posamezne vrste komunalne opreme je območje, na katerem se zagotavlja priključevanje na to vrsto komunalne opreme, oziroma območje njene uporabe.</w:t>
      </w:r>
    </w:p>
    <w:p w14:paraId="527531C3" w14:textId="77777777" w:rsidR="004907B0" w:rsidRPr="004907B0" w:rsidRDefault="004907B0" w:rsidP="004907B0">
      <w:pPr>
        <w:pStyle w:val="Odstavekseznama"/>
        <w:numPr>
          <w:ilvl w:val="0"/>
          <w:numId w:val="18"/>
        </w:numPr>
        <w:jc w:val="both"/>
      </w:pPr>
      <w:r w:rsidRPr="004907B0">
        <w:t>Skupni stroški obsegajo vse stroške, ki so povezani s projektiranjem in gradnjo posamezne vrste komunalne opreme na obračunskem območju.</w:t>
      </w:r>
    </w:p>
    <w:p w14:paraId="7502D8C8" w14:textId="77777777" w:rsidR="004907B0" w:rsidRPr="004907B0" w:rsidRDefault="004907B0" w:rsidP="004907B0">
      <w:pPr>
        <w:pStyle w:val="Odstavekseznama"/>
        <w:numPr>
          <w:ilvl w:val="0"/>
          <w:numId w:val="18"/>
        </w:numPr>
        <w:jc w:val="both"/>
      </w:pPr>
      <w:r w:rsidRPr="004907B0">
        <w:t>Obračunski stroški komunalne opreme so tisti del skupnih stroškov, ki se financirajo iz sredstev zbranih s plačili komunalnih prispevkov in bodo bremenili določljive zavezance.</w:t>
      </w:r>
    </w:p>
    <w:p w14:paraId="094373C9" w14:textId="77777777" w:rsidR="004907B0" w:rsidRPr="004907B0" w:rsidRDefault="004907B0" w:rsidP="004907B0">
      <w:pPr>
        <w:pStyle w:val="Odstavekseznama"/>
        <w:numPr>
          <w:ilvl w:val="0"/>
          <w:numId w:val="18"/>
        </w:numPr>
        <w:jc w:val="both"/>
      </w:pPr>
      <w:r w:rsidRPr="004907B0">
        <w:t>Komunalni prispevek je plačilo dela stroškov gradnje komunalne opreme, ki ga zavezanec za plačilo komunalnega prispevka plača Občini Cerklje na Gorenjskem.</w:t>
      </w:r>
    </w:p>
    <w:p w14:paraId="7BBD94B2" w14:textId="77777777" w:rsidR="004907B0" w:rsidRPr="004907B0" w:rsidRDefault="004907B0" w:rsidP="004907B0">
      <w:pPr>
        <w:pStyle w:val="Odstavekseznama"/>
        <w:numPr>
          <w:ilvl w:val="0"/>
          <w:numId w:val="18"/>
        </w:numPr>
        <w:jc w:val="both"/>
      </w:pPr>
      <w:r w:rsidRPr="004907B0">
        <w:t>Objekt je s tlemi povezana stavba ali gradbeni inženirski objekt, narejen iz gradbenih proizvodov in naravnih materialov, skupaj z vgrajenimi inštalacijami in tehnološkimi napravami.</w:t>
      </w:r>
    </w:p>
    <w:p w14:paraId="32FE7716" w14:textId="77777777" w:rsidR="004907B0" w:rsidRPr="004907B0" w:rsidRDefault="004907B0" w:rsidP="004907B0">
      <w:pPr>
        <w:pStyle w:val="Odstavekseznama"/>
        <w:numPr>
          <w:ilvl w:val="0"/>
          <w:numId w:val="18"/>
        </w:numPr>
        <w:jc w:val="both"/>
      </w:pPr>
      <w:r w:rsidRPr="004907B0">
        <w:t>Parcela je zemljišče, sestavljeno iz ene ali več zemljiških parcel ali njihovih delov, na katerem stoji objekt in na katerem so urejene površine, ki služijo takšnemu objektu, oziroma je predvidena ureditev površin, ki bodo služile takšnemu objektu.</w:t>
      </w:r>
    </w:p>
    <w:p w14:paraId="672B5BBC" w14:textId="77777777" w:rsidR="004907B0" w:rsidRPr="004907B0" w:rsidRDefault="004907B0" w:rsidP="004907B0">
      <w:pPr>
        <w:pStyle w:val="Odstavekseznama"/>
        <w:numPr>
          <w:ilvl w:val="0"/>
          <w:numId w:val="18"/>
        </w:numPr>
        <w:jc w:val="both"/>
      </w:pPr>
      <w:r w:rsidRPr="004907B0">
        <w:t>Neto tlorisna površina je seštevek vseh tlorisnih površin objekta in se izračuna po standardu SIST ISO 9836.</w:t>
      </w:r>
    </w:p>
    <w:p w14:paraId="056B25D9" w14:textId="77777777" w:rsidR="004907B0" w:rsidRPr="004907B0" w:rsidRDefault="004907B0" w:rsidP="004907B0">
      <w:pPr>
        <w:jc w:val="both"/>
      </w:pPr>
    </w:p>
    <w:p w14:paraId="7A97B48B" w14:textId="77777777" w:rsidR="004907B0" w:rsidRPr="004907B0" w:rsidRDefault="004907B0" w:rsidP="004907B0">
      <w:pPr>
        <w:jc w:val="both"/>
      </w:pPr>
      <w:r w:rsidRPr="004907B0">
        <w:t>Drugi pojmi uporabljeni v tem odloku imajo enak pomen kot je določeno v zakonih in v podzakonskih predpisih, ki so izdani na njihovi podlagi.</w:t>
      </w:r>
    </w:p>
    <w:p w14:paraId="28F639F9" w14:textId="77777777" w:rsidR="004907B0" w:rsidRPr="004907B0" w:rsidRDefault="004907B0" w:rsidP="004907B0">
      <w:pPr>
        <w:jc w:val="both"/>
      </w:pPr>
    </w:p>
    <w:p w14:paraId="091ADA81" w14:textId="77777777" w:rsidR="004907B0" w:rsidRPr="004907B0" w:rsidRDefault="004907B0" w:rsidP="004907B0">
      <w:pPr>
        <w:jc w:val="center"/>
      </w:pPr>
      <w:r w:rsidRPr="004907B0">
        <w:t>3. člen</w:t>
      </w:r>
    </w:p>
    <w:p w14:paraId="663D408E" w14:textId="77777777" w:rsidR="004907B0" w:rsidRPr="004907B0" w:rsidRDefault="004907B0" w:rsidP="004907B0">
      <w:pPr>
        <w:jc w:val="both"/>
      </w:pPr>
    </w:p>
    <w:p w14:paraId="56E2828B" w14:textId="77777777" w:rsidR="004907B0" w:rsidRPr="004907B0" w:rsidRDefault="004907B0" w:rsidP="004907B0">
      <w:r w:rsidRPr="004907B0">
        <w:t>Program opremljanja vsebuje:</w:t>
      </w:r>
    </w:p>
    <w:p w14:paraId="4AB6EB1B" w14:textId="77777777" w:rsidR="004907B0" w:rsidRPr="004907B0" w:rsidRDefault="004907B0" w:rsidP="004907B0">
      <w:pPr>
        <w:pStyle w:val="Odstavekseznama"/>
        <w:numPr>
          <w:ilvl w:val="0"/>
          <w:numId w:val="11"/>
        </w:numPr>
      </w:pPr>
      <w:r w:rsidRPr="004907B0">
        <w:t>prikaz kanalizacijskega sistema komunalnih odpadnih vod,</w:t>
      </w:r>
    </w:p>
    <w:p w14:paraId="66665820" w14:textId="77777777" w:rsidR="004907B0" w:rsidRPr="004907B0" w:rsidRDefault="004907B0" w:rsidP="004907B0">
      <w:pPr>
        <w:pStyle w:val="Odstavekseznama"/>
        <w:numPr>
          <w:ilvl w:val="0"/>
          <w:numId w:val="11"/>
        </w:numPr>
      </w:pPr>
      <w:r w:rsidRPr="004907B0">
        <w:t>prikaz izračuna skupnih in obračunskih stroškov na obračunskem območju,</w:t>
      </w:r>
    </w:p>
    <w:p w14:paraId="7F4FC459" w14:textId="77777777" w:rsidR="004907B0" w:rsidRPr="004907B0" w:rsidRDefault="004907B0" w:rsidP="004907B0">
      <w:pPr>
        <w:pStyle w:val="Odstavekseznama"/>
        <w:numPr>
          <w:ilvl w:val="0"/>
          <w:numId w:val="11"/>
        </w:numPr>
      </w:pPr>
      <w:r w:rsidRPr="004907B0">
        <w:t>podlage za odmero komunalnega prispevka.</w:t>
      </w:r>
    </w:p>
    <w:p w14:paraId="322C8CC9" w14:textId="77777777" w:rsidR="004907B0" w:rsidRPr="004907B0" w:rsidRDefault="004907B0" w:rsidP="004907B0"/>
    <w:p w14:paraId="7221B7A2" w14:textId="77777777" w:rsidR="004907B0" w:rsidRPr="004907B0" w:rsidRDefault="004907B0" w:rsidP="004907B0">
      <w:pPr>
        <w:jc w:val="center"/>
      </w:pPr>
      <w:r w:rsidRPr="004907B0">
        <w:t>4. člen</w:t>
      </w:r>
    </w:p>
    <w:p w14:paraId="128EC009" w14:textId="77777777" w:rsidR="004907B0" w:rsidRPr="004907B0" w:rsidRDefault="004907B0" w:rsidP="004907B0"/>
    <w:p w14:paraId="0969C841" w14:textId="77777777" w:rsidR="004907B0" w:rsidRPr="004907B0" w:rsidRDefault="004907B0" w:rsidP="004907B0">
      <w:pPr>
        <w:jc w:val="both"/>
      </w:pPr>
      <w:r w:rsidRPr="004907B0">
        <w:t>Program opremljanja obravnava izvedbo kanalizacijskega sistema komunalnih odpadnih vod na območju naselij Cerklje na Gorenjskem, Dvorje, Glinje, Grad, Lahovče, Poženik, Pšata, Spodnji Brnik, Šmartno, Vašca, Vopovlje, Zalog pri Cerkljah in Zgornji Brnik v Občini Cerklje na Gorenjskem. Program opremljanja obravnava tudi povezavo kanalizacijskega sistema komunalnih odpadnih vod na obstoječ kanalizacijski sistem komunalnih odpadnih vod v Občini Komenda in Centralno čistilno napravo (CČN) Domžale - Kamnik na katero se stekajo komunalne odpadne vode.</w:t>
      </w:r>
    </w:p>
    <w:p w14:paraId="3A3414D2" w14:textId="77777777" w:rsidR="004907B0" w:rsidRPr="004907B0" w:rsidRDefault="004907B0" w:rsidP="004907B0"/>
    <w:p w14:paraId="7B0F8065" w14:textId="77777777" w:rsidR="004907B0" w:rsidRPr="004907B0" w:rsidRDefault="004907B0" w:rsidP="004907B0"/>
    <w:p w14:paraId="1CBDA72B" w14:textId="77777777" w:rsidR="004907B0" w:rsidRPr="004907B0" w:rsidRDefault="004907B0" w:rsidP="004907B0">
      <w:pPr>
        <w:jc w:val="center"/>
      </w:pPr>
      <w:r w:rsidRPr="004907B0">
        <w:t>II. PRIKAZ PREDVIDENE GOSPODARSKE JAVNE INFRASTRUKTURE</w:t>
      </w:r>
    </w:p>
    <w:p w14:paraId="32C2D57E" w14:textId="77777777" w:rsidR="004907B0" w:rsidRPr="004907B0" w:rsidRDefault="004907B0" w:rsidP="004907B0">
      <w:pPr>
        <w:jc w:val="center"/>
      </w:pPr>
    </w:p>
    <w:p w14:paraId="77851770" w14:textId="77777777" w:rsidR="004907B0" w:rsidRPr="004907B0" w:rsidRDefault="004907B0" w:rsidP="004907B0">
      <w:pPr>
        <w:jc w:val="center"/>
      </w:pPr>
      <w:r w:rsidRPr="004907B0">
        <w:t>5. člen</w:t>
      </w:r>
    </w:p>
    <w:p w14:paraId="47E12DA1" w14:textId="77777777" w:rsidR="004907B0" w:rsidRPr="004907B0" w:rsidRDefault="004907B0" w:rsidP="004907B0"/>
    <w:p w14:paraId="24A062C4" w14:textId="77777777" w:rsidR="004907B0" w:rsidRPr="004907B0" w:rsidRDefault="004907B0" w:rsidP="004907B0">
      <w:pPr>
        <w:jc w:val="both"/>
      </w:pPr>
      <w:r w:rsidRPr="004907B0">
        <w:t>Kanalizacijski sistem komunalnih odpadnih vod iz 3. člena tega odloka je prikazana v grafični prilogi, ki je sestavni del programa opremljanja.</w:t>
      </w:r>
    </w:p>
    <w:p w14:paraId="140D0603" w14:textId="77777777" w:rsidR="00874060" w:rsidRPr="004907B0" w:rsidRDefault="00874060" w:rsidP="004907B0">
      <w:pPr>
        <w:jc w:val="both"/>
      </w:pPr>
    </w:p>
    <w:p w14:paraId="52AC704A" w14:textId="77777777" w:rsidR="004907B0" w:rsidRPr="004907B0" w:rsidRDefault="004907B0" w:rsidP="004907B0">
      <w:pPr>
        <w:jc w:val="both"/>
      </w:pPr>
    </w:p>
    <w:p w14:paraId="3C5CAC00" w14:textId="77777777" w:rsidR="004907B0" w:rsidRPr="004907B0" w:rsidRDefault="004907B0" w:rsidP="004907B0">
      <w:pPr>
        <w:jc w:val="center"/>
      </w:pPr>
      <w:r w:rsidRPr="004907B0">
        <w:lastRenderedPageBreak/>
        <w:t>III. INVESTICIJE V GRADNJO KOMUNALNE OPREME</w:t>
      </w:r>
    </w:p>
    <w:p w14:paraId="4A3F4761" w14:textId="77777777" w:rsidR="004907B0" w:rsidRPr="004907B0" w:rsidRDefault="004907B0" w:rsidP="004907B0"/>
    <w:p w14:paraId="78A223BC" w14:textId="77777777" w:rsidR="004907B0" w:rsidRPr="004907B0" w:rsidRDefault="004907B0" w:rsidP="004907B0">
      <w:pPr>
        <w:jc w:val="center"/>
      </w:pPr>
      <w:r w:rsidRPr="004907B0">
        <w:t>6. člen</w:t>
      </w:r>
    </w:p>
    <w:p w14:paraId="7F41D8C8" w14:textId="77777777" w:rsidR="004907B0" w:rsidRPr="004907B0" w:rsidRDefault="004907B0" w:rsidP="004907B0">
      <w:pPr>
        <w:jc w:val="center"/>
      </w:pPr>
    </w:p>
    <w:p w14:paraId="1C2669AB" w14:textId="77777777" w:rsidR="004907B0" w:rsidRPr="004907B0" w:rsidRDefault="004907B0" w:rsidP="004907B0">
      <w:pPr>
        <w:pStyle w:val="Odstavekseznama"/>
        <w:numPr>
          <w:ilvl w:val="0"/>
          <w:numId w:val="12"/>
        </w:numPr>
        <w:jc w:val="both"/>
      </w:pPr>
      <w:r w:rsidRPr="004907B0">
        <w:t>Skupni stroški investicije obsegajo stroške za:</w:t>
      </w:r>
    </w:p>
    <w:p w14:paraId="08B08616" w14:textId="77777777" w:rsidR="004907B0" w:rsidRPr="004907B0" w:rsidRDefault="004907B0" w:rsidP="004907B0">
      <w:pPr>
        <w:pStyle w:val="Odstavekseznama"/>
        <w:numPr>
          <w:ilvl w:val="0"/>
          <w:numId w:val="10"/>
        </w:numPr>
        <w:jc w:val="both"/>
      </w:pPr>
      <w:r w:rsidRPr="004907B0">
        <w:t>gradnjo nove kanalizacije komunalnih odpadnih vod, ki se je izvedla v obdobju 2008-2013 in se bo izvedla v obdobju 2014-2015,</w:t>
      </w:r>
    </w:p>
    <w:p w14:paraId="7714BFF9" w14:textId="77777777" w:rsidR="004907B0" w:rsidRPr="004907B0" w:rsidRDefault="004907B0" w:rsidP="004907B0">
      <w:pPr>
        <w:pStyle w:val="Odstavekseznama"/>
        <w:numPr>
          <w:ilvl w:val="0"/>
          <w:numId w:val="10"/>
        </w:numPr>
        <w:jc w:val="both"/>
      </w:pPr>
      <w:r w:rsidRPr="004907B0">
        <w:t>projektno dokumentacijo povezano z gradnjo nove kanalizacije komunalnih odpadnih vod in Centralno čistilno napravo (CČN) Domžale – Kamnik,</w:t>
      </w:r>
    </w:p>
    <w:p w14:paraId="7215A652" w14:textId="77777777" w:rsidR="004907B0" w:rsidRPr="004907B0" w:rsidRDefault="004907B0" w:rsidP="004907B0">
      <w:pPr>
        <w:pStyle w:val="Odstavekseznama"/>
        <w:numPr>
          <w:ilvl w:val="0"/>
          <w:numId w:val="10"/>
        </w:numPr>
        <w:jc w:val="both"/>
      </w:pPr>
      <w:r w:rsidRPr="004907B0">
        <w:t>odkupa deleža Centralne čistilne naprave (CČN) Domžale – Kamnik in</w:t>
      </w:r>
    </w:p>
    <w:p w14:paraId="439A8329" w14:textId="77777777" w:rsidR="004907B0" w:rsidRPr="004907B0" w:rsidRDefault="004907B0" w:rsidP="004907B0">
      <w:pPr>
        <w:pStyle w:val="Odstavekseznama"/>
        <w:numPr>
          <w:ilvl w:val="0"/>
          <w:numId w:val="10"/>
        </w:numPr>
        <w:jc w:val="both"/>
      </w:pPr>
      <w:r w:rsidRPr="004907B0">
        <w:t>nadgradnjo Centralne čistilne naprave (CČN) Domžale – Kamnik.</w:t>
      </w:r>
    </w:p>
    <w:p w14:paraId="19A6A0FA" w14:textId="77777777" w:rsidR="004907B0" w:rsidRPr="004907B0" w:rsidRDefault="004907B0" w:rsidP="004907B0">
      <w:pPr>
        <w:pStyle w:val="Odstavekseznama"/>
        <w:numPr>
          <w:ilvl w:val="0"/>
          <w:numId w:val="12"/>
        </w:numPr>
        <w:jc w:val="both"/>
      </w:pPr>
      <w:r w:rsidRPr="004907B0">
        <w:t>Skupni stroški za gradnjo nove kanalizacije komunalnih odpadnih vod in odkup deleža ter nadgradnja Centralne čistilne naprave (CČN) Domžale – Kamnik  znašajo 13.415.702 € (brez DDV).</w:t>
      </w:r>
    </w:p>
    <w:p w14:paraId="287A4B92" w14:textId="77777777" w:rsidR="004907B0" w:rsidRPr="004907B0" w:rsidRDefault="004907B0" w:rsidP="004907B0"/>
    <w:p w14:paraId="76B1F514" w14:textId="77777777" w:rsidR="004907B0" w:rsidRPr="004907B0" w:rsidRDefault="004907B0" w:rsidP="004907B0">
      <w:pPr>
        <w:jc w:val="center"/>
      </w:pPr>
      <w:r w:rsidRPr="004907B0">
        <w:t>IV. PODLAGE ZA ODMERO KOMUNALNEGA PRISPEVKA</w:t>
      </w:r>
    </w:p>
    <w:p w14:paraId="241406B0" w14:textId="77777777" w:rsidR="004907B0" w:rsidRPr="004907B0" w:rsidRDefault="004907B0" w:rsidP="004907B0">
      <w:pPr>
        <w:jc w:val="center"/>
      </w:pPr>
    </w:p>
    <w:p w14:paraId="2F5162AF" w14:textId="77777777" w:rsidR="004907B0" w:rsidRPr="004907B0" w:rsidRDefault="004907B0" w:rsidP="004907B0">
      <w:pPr>
        <w:jc w:val="center"/>
      </w:pPr>
      <w:r w:rsidRPr="004907B0">
        <w:t>7. člen</w:t>
      </w:r>
    </w:p>
    <w:p w14:paraId="604397C2" w14:textId="77777777" w:rsidR="004907B0" w:rsidRPr="004907B0" w:rsidRDefault="004907B0" w:rsidP="004907B0"/>
    <w:p w14:paraId="1C21D28F" w14:textId="77777777" w:rsidR="004907B0" w:rsidRPr="004907B0" w:rsidRDefault="004907B0" w:rsidP="004907B0">
      <w:pPr>
        <w:jc w:val="both"/>
      </w:pPr>
      <w:r w:rsidRPr="004907B0">
        <w:t>Podlaga za odmero komunalnega prispevka za določeno vrsto komunalne opreme na obračunskem območju je višina obračunskih stroškov investicije.</w:t>
      </w:r>
    </w:p>
    <w:p w14:paraId="58976CB3" w14:textId="77777777" w:rsidR="004907B0" w:rsidRPr="004907B0" w:rsidRDefault="004907B0" w:rsidP="004907B0">
      <w:pPr>
        <w:jc w:val="both"/>
      </w:pPr>
    </w:p>
    <w:p w14:paraId="49076699" w14:textId="3E57EF81" w:rsidR="004907B0" w:rsidRDefault="001F38FE" w:rsidP="001F38FE">
      <w:pPr>
        <w:jc w:val="both"/>
      </w:pPr>
      <w:r>
        <w:t xml:space="preserve">Višina obračunskih stroškov investicije se izračuna tako, da se od skupnih stroškov investicije odštejejo sredstva, ki jih občina za izvedbo investicije pridobi iz drugih virov </w:t>
      </w:r>
      <w:r w:rsidRPr="00D45275">
        <w:t>in sredstva iz občinskega proračuna.</w:t>
      </w:r>
      <w:r>
        <w:t xml:space="preserve"> Drugi viri za izvedbo investicije iz tega odloka so bili: sredstva iz Evropskega sklada za regionalni razvoj, sredstva iz evropskega kohezijskega sklada, sredstva za komunalno opremo po Zakonu o financiranju </w:t>
      </w:r>
      <w:r w:rsidRPr="0099019B">
        <w:t>občin</w:t>
      </w:r>
      <w:r>
        <w:t xml:space="preserve"> in s</w:t>
      </w:r>
      <w:r w:rsidRPr="00F9443E">
        <w:t>redstva okoljske dajatve za onesnaževanje okolja zar</w:t>
      </w:r>
      <w:r>
        <w:t>adi odvajanja odpadnih voda po Zakonu</w:t>
      </w:r>
      <w:r w:rsidRPr="00F9443E">
        <w:t xml:space="preserve"> o varstvu okolja</w:t>
      </w:r>
    </w:p>
    <w:p w14:paraId="6DE7B404" w14:textId="77777777" w:rsidR="001F38FE" w:rsidRPr="004907B0" w:rsidRDefault="001F38FE" w:rsidP="001F38FE">
      <w:pPr>
        <w:jc w:val="both"/>
      </w:pPr>
    </w:p>
    <w:p w14:paraId="3BF7D02D" w14:textId="77777777" w:rsidR="004907B0" w:rsidRPr="004907B0" w:rsidRDefault="004907B0" w:rsidP="004907B0">
      <w:pPr>
        <w:jc w:val="center"/>
      </w:pPr>
      <w:r w:rsidRPr="004907B0">
        <w:t>8. člen</w:t>
      </w:r>
    </w:p>
    <w:p w14:paraId="2CFA2AF6" w14:textId="77777777" w:rsidR="004907B0" w:rsidRPr="004907B0" w:rsidRDefault="004907B0" w:rsidP="004907B0"/>
    <w:p w14:paraId="144EE654" w14:textId="77777777" w:rsidR="004907B0" w:rsidRPr="004907B0" w:rsidRDefault="004907B0" w:rsidP="004907B0">
      <w:pPr>
        <w:jc w:val="both"/>
      </w:pPr>
      <w:r w:rsidRPr="004907B0">
        <w:t>Podlage za odmero dela komunalnega prispevka, ki se tiče investicije, zavezancem so:</w:t>
      </w:r>
    </w:p>
    <w:p w14:paraId="31E6D884" w14:textId="77777777" w:rsidR="004907B0" w:rsidRPr="004907B0" w:rsidRDefault="004907B0" w:rsidP="004907B0">
      <w:pPr>
        <w:pStyle w:val="Odstavekseznama"/>
        <w:numPr>
          <w:ilvl w:val="0"/>
          <w:numId w:val="13"/>
        </w:numPr>
        <w:jc w:val="both"/>
      </w:pPr>
      <w:r w:rsidRPr="004907B0">
        <w:t>obračunski stroški investicije,</w:t>
      </w:r>
    </w:p>
    <w:p w14:paraId="000D1C0B" w14:textId="77777777" w:rsidR="004907B0" w:rsidRPr="004907B0" w:rsidRDefault="004907B0" w:rsidP="004907B0">
      <w:pPr>
        <w:pStyle w:val="Odstavekseznama"/>
        <w:numPr>
          <w:ilvl w:val="0"/>
          <w:numId w:val="13"/>
        </w:numPr>
        <w:jc w:val="both"/>
      </w:pPr>
      <w:r w:rsidRPr="004907B0">
        <w:t>preračun obračunskih stroškov investicije na enoto mere (parcela objekta in na neto tlorisno površino objekta),</w:t>
      </w:r>
    </w:p>
    <w:p w14:paraId="11F98E8B" w14:textId="77777777" w:rsidR="004907B0" w:rsidRPr="004907B0" w:rsidRDefault="004907B0" w:rsidP="004907B0">
      <w:pPr>
        <w:pStyle w:val="Odstavekseznama"/>
        <w:numPr>
          <w:ilvl w:val="0"/>
          <w:numId w:val="13"/>
        </w:numPr>
        <w:jc w:val="both"/>
      </w:pPr>
      <w:r w:rsidRPr="004907B0">
        <w:t>podrobnejša merila za odmero komunalnega prispevka,</w:t>
      </w:r>
    </w:p>
    <w:p w14:paraId="2DDE14FC" w14:textId="72C4F578" w:rsidR="004907B0" w:rsidRPr="004907B0" w:rsidRDefault="004907B0" w:rsidP="001F38FE">
      <w:pPr>
        <w:jc w:val="both"/>
      </w:pPr>
    </w:p>
    <w:p w14:paraId="3BD7C84E" w14:textId="77777777" w:rsidR="004907B0" w:rsidRPr="004907B0" w:rsidRDefault="004907B0" w:rsidP="004907B0">
      <w:pPr>
        <w:jc w:val="both"/>
      </w:pPr>
    </w:p>
    <w:p w14:paraId="602C27E8" w14:textId="77777777" w:rsidR="004907B0" w:rsidRPr="004907B0" w:rsidRDefault="004907B0" w:rsidP="004907B0">
      <w:pPr>
        <w:jc w:val="both"/>
      </w:pPr>
    </w:p>
    <w:p w14:paraId="1903EBBD" w14:textId="77777777" w:rsidR="004907B0" w:rsidRPr="004907B0" w:rsidRDefault="004907B0" w:rsidP="004907B0">
      <w:pPr>
        <w:jc w:val="center"/>
      </w:pPr>
      <w:r w:rsidRPr="004907B0">
        <w:t>V. OBRAČUNSKI STROŠKI INVESTICIJE</w:t>
      </w:r>
    </w:p>
    <w:p w14:paraId="4677802F" w14:textId="77777777" w:rsidR="004907B0" w:rsidRPr="004907B0" w:rsidRDefault="004907B0" w:rsidP="004907B0">
      <w:pPr>
        <w:jc w:val="center"/>
      </w:pPr>
    </w:p>
    <w:p w14:paraId="717D72B3" w14:textId="77777777" w:rsidR="004907B0" w:rsidRPr="004907B0" w:rsidRDefault="004907B0" w:rsidP="004907B0">
      <w:pPr>
        <w:jc w:val="center"/>
      </w:pPr>
      <w:r w:rsidRPr="004907B0">
        <w:t>9. člen</w:t>
      </w:r>
    </w:p>
    <w:p w14:paraId="74A61EE1" w14:textId="77777777" w:rsidR="004907B0" w:rsidRPr="004907B0" w:rsidRDefault="004907B0" w:rsidP="004907B0"/>
    <w:p w14:paraId="23FBA6A2" w14:textId="3E5B9D09" w:rsidR="004907B0" w:rsidRPr="004907B0" w:rsidRDefault="004907B0" w:rsidP="004907B0">
      <w:pPr>
        <w:jc w:val="both"/>
      </w:pPr>
      <w:r w:rsidRPr="004907B0">
        <w:t>Obračunski stroški investicije v novo kanalizacijo komunalnih odpadnih vod in odkupa deleža ter nadgradnje Centralne čistilne naprave (CČN) Do</w:t>
      </w:r>
      <w:r w:rsidR="001F38FE">
        <w:t>mžale – Kamnik znašajo 6.677.746</w:t>
      </w:r>
      <w:r w:rsidRPr="004907B0">
        <w:t xml:space="preserve"> € (brez DDV).</w:t>
      </w:r>
    </w:p>
    <w:p w14:paraId="0834694D" w14:textId="77777777" w:rsidR="004907B0" w:rsidRPr="004907B0" w:rsidRDefault="004907B0" w:rsidP="004907B0">
      <w:pPr>
        <w:jc w:val="both"/>
      </w:pPr>
    </w:p>
    <w:p w14:paraId="5DB85748" w14:textId="77777777" w:rsidR="004907B0" w:rsidRPr="004907B0" w:rsidRDefault="004907B0" w:rsidP="004907B0">
      <w:pPr>
        <w:jc w:val="both"/>
      </w:pPr>
    </w:p>
    <w:p w14:paraId="03F95AB9" w14:textId="77777777" w:rsidR="004907B0" w:rsidRPr="004907B0" w:rsidRDefault="004907B0" w:rsidP="004907B0">
      <w:pPr>
        <w:jc w:val="both"/>
      </w:pPr>
    </w:p>
    <w:p w14:paraId="101A1E76" w14:textId="77777777" w:rsidR="004907B0" w:rsidRPr="004907B0" w:rsidRDefault="004907B0" w:rsidP="004907B0">
      <w:pPr>
        <w:jc w:val="both"/>
      </w:pPr>
    </w:p>
    <w:p w14:paraId="550F51A2" w14:textId="77777777" w:rsidR="004907B0" w:rsidRPr="004907B0" w:rsidRDefault="004907B0" w:rsidP="004907B0">
      <w:pPr>
        <w:jc w:val="center"/>
      </w:pPr>
      <w:r w:rsidRPr="004907B0">
        <w:lastRenderedPageBreak/>
        <w:t>VI. PRERAČUN OBRAČUNSKIH STROŠKOV INVESTICIJE NA ENOTO MERE</w:t>
      </w:r>
    </w:p>
    <w:p w14:paraId="47BB999B" w14:textId="77777777" w:rsidR="004907B0" w:rsidRPr="004907B0" w:rsidRDefault="004907B0" w:rsidP="004907B0"/>
    <w:p w14:paraId="03009C6A" w14:textId="77777777" w:rsidR="004907B0" w:rsidRPr="004907B0" w:rsidRDefault="004907B0" w:rsidP="004907B0">
      <w:pPr>
        <w:jc w:val="center"/>
      </w:pPr>
      <w:r w:rsidRPr="004907B0">
        <w:t>10. člen</w:t>
      </w:r>
    </w:p>
    <w:p w14:paraId="497D3E76" w14:textId="77777777" w:rsidR="004907B0" w:rsidRPr="004907B0" w:rsidRDefault="004907B0" w:rsidP="004907B0"/>
    <w:p w14:paraId="64D2184C" w14:textId="77777777" w:rsidR="004907B0" w:rsidRPr="004907B0" w:rsidRDefault="004907B0" w:rsidP="004907B0">
      <w:pPr>
        <w:pStyle w:val="Odstavekseznama"/>
        <w:widowControl w:val="0"/>
        <w:numPr>
          <w:ilvl w:val="0"/>
          <w:numId w:val="15"/>
        </w:numPr>
        <w:jc w:val="both"/>
      </w:pPr>
      <w:r w:rsidRPr="004907B0">
        <w:t>Enoti mere za preračun obračunskih stroškov investicije, ki se uporabljata za odmero komunalnega prispevka zavezancem, sta kvadratni meter parcele objekta, opremljene s posamezno komunalno opremo in kvadratni meter neto tlorisne površine objekta. Zaradi velikega deleža objektov z nedoločljivo parcelo objekta ali nesorazmerno veliko parcelo objekta se v skladu z veljavnim predpisom kot parcelo objekta uporabi površina stavbišča pomnožena s faktorjem 1,5 (Pravilnik o merilih za odmero komunalnega prispevka (Ur. l. RS, št. 95/07)). To pravilo se uporabi za vse obstoječe objekte.</w:t>
      </w:r>
    </w:p>
    <w:p w14:paraId="6AFB0DDF" w14:textId="77777777" w:rsidR="004907B0" w:rsidRPr="004907B0" w:rsidRDefault="004907B0" w:rsidP="004907B0">
      <w:pPr>
        <w:pStyle w:val="Odstavekseznama"/>
        <w:widowControl w:val="0"/>
        <w:ind w:left="360"/>
        <w:jc w:val="both"/>
      </w:pPr>
    </w:p>
    <w:p w14:paraId="3C50244A" w14:textId="77777777" w:rsidR="004907B0" w:rsidRPr="004907B0" w:rsidRDefault="004907B0" w:rsidP="004907B0">
      <w:pPr>
        <w:pStyle w:val="Odstavekseznama"/>
        <w:widowControl w:val="0"/>
        <w:ind w:left="360"/>
        <w:jc w:val="both"/>
      </w:pPr>
    </w:p>
    <w:p w14:paraId="698D0385" w14:textId="77777777" w:rsidR="004907B0" w:rsidRPr="004907B0" w:rsidRDefault="004907B0" w:rsidP="004907B0">
      <w:pPr>
        <w:pStyle w:val="Odstavekseznama"/>
        <w:widowControl w:val="0"/>
        <w:numPr>
          <w:ilvl w:val="0"/>
          <w:numId w:val="15"/>
        </w:numPr>
        <w:jc w:val="both"/>
      </w:pPr>
      <w:r w:rsidRPr="004907B0">
        <w:t>Preračun obračunskih stroškov investicije na enoto mere iz prejšnjega odstavka tega člena je:</w:t>
      </w:r>
    </w:p>
    <w:p w14:paraId="76B16CDD" w14:textId="77777777" w:rsidR="00DA4258" w:rsidRDefault="00DA4258" w:rsidP="00DA4258">
      <w:pPr>
        <w:numPr>
          <w:ilvl w:val="0"/>
          <w:numId w:val="1"/>
        </w:numPr>
        <w:jc w:val="both"/>
      </w:pPr>
      <w:r w:rsidRPr="008F4EFF">
        <w:t>kvadratni meter parcele</w:t>
      </w:r>
      <w:r>
        <w:t xml:space="preserve"> in kvadratni meter neto tlorisne površine</w:t>
      </w:r>
      <w:r w:rsidRPr="008F4EFF">
        <w:t xml:space="preserve"> objekta</w:t>
      </w:r>
      <w:r>
        <w:t xml:space="preserve"> za primarno in sekundarno omrežje skupaj, na območju naselij, ki so navedena v 4. členu tega odloka (</w:t>
      </w:r>
      <w:r w:rsidRPr="006707DB">
        <w:t>Cerklje na Gorenjskem, Cerkljanska Dobrava, Dvorje, Glinje, Grad, Lahovče, Poženik, Pšata, Pšenična Polica, Spodnji Brnik, Šmartno, Vašca, Vopovlje, Zalo</w:t>
      </w:r>
      <w:r>
        <w:t>g pri Cerkljah in Zgornji Brnik).</w:t>
      </w:r>
    </w:p>
    <w:p w14:paraId="0FAA4DC1" w14:textId="77777777" w:rsidR="00DA4258" w:rsidRDefault="00DA4258" w:rsidP="00DA4258">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32"/>
        <w:gridCol w:w="1842"/>
        <w:gridCol w:w="1701"/>
      </w:tblGrid>
      <w:tr w:rsidR="00DA4258" w:rsidRPr="00967C6C" w14:paraId="2933F001" w14:textId="77777777" w:rsidTr="008C5334">
        <w:trPr>
          <w:trHeight w:val="300"/>
          <w:jc w:val="center"/>
        </w:trPr>
        <w:tc>
          <w:tcPr>
            <w:tcW w:w="5032" w:type="dxa"/>
            <w:vMerge w:val="restart"/>
          </w:tcPr>
          <w:p w14:paraId="13759525" w14:textId="77777777" w:rsidR="00DA4258" w:rsidRDefault="00DA4258" w:rsidP="008C5334">
            <w:pPr>
              <w:rPr>
                <w:color w:val="000000"/>
                <w:sz w:val="22"/>
                <w:szCs w:val="22"/>
              </w:rPr>
            </w:pPr>
            <w:r>
              <w:rPr>
                <w:color w:val="000000"/>
                <w:sz w:val="22"/>
                <w:szCs w:val="22"/>
              </w:rPr>
              <w:t>Vrsta komunalne opreme – SEKUNDAR + PRIMAR</w:t>
            </w:r>
          </w:p>
          <w:p w14:paraId="20E7707B" w14:textId="77777777" w:rsidR="00DA4258" w:rsidRPr="00967C6C" w:rsidRDefault="00DA4258" w:rsidP="008C5334">
            <w:pPr>
              <w:rPr>
                <w:b/>
                <w:bCs/>
                <w:color w:val="000000"/>
                <w:sz w:val="22"/>
                <w:szCs w:val="22"/>
              </w:rPr>
            </w:pPr>
            <w:r>
              <w:rPr>
                <w:b/>
                <w:bCs/>
                <w:color w:val="000000"/>
                <w:sz w:val="22"/>
                <w:szCs w:val="22"/>
              </w:rPr>
              <w:t>Naselja (</w:t>
            </w:r>
            <w:r w:rsidRPr="006707DB">
              <w:rPr>
                <w:b/>
                <w:bCs/>
                <w:color w:val="000000"/>
                <w:sz w:val="22"/>
                <w:szCs w:val="22"/>
              </w:rPr>
              <w:t>Cerklje na Gorenjskem, Cerkljanska Dobrava, Dvorje, Glinje, Grad, Lahovče, Poženik, Pšata, Pšenična Polica, Spodnji Brnik, Šmartno, Vašca, Vopovlje, Zalo</w:t>
            </w:r>
            <w:r>
              <w:rPr>
                <w:b/>
                <w:bCs/>
                <w:color w:val="000000"/>
                <w:sz w:val="22"/>
                <w:szCs w:val="22"/>
              </w:rPr>
              <w:t>g pri Cerkljah in Zgornji Brnik)</w:t>
            </w:r>
          </w:p>
        </w:tc>
        <w:tc>
          <w:tcPr>
            <w:tcW w:w="1842" w:type="dxa"/>
            <w:shd w:val="clear" w:color="auto" w:fill="auto"/>
            <w:noWrap/>
            <w:vAlign w:val="center"/>
            <w:hideMark/>
          </w:tcPr>
          <w:p w14:paraId="69D2CF76" w14:textId="77777777" w:rsidR="00DA4258" w:rsidRPr="00077CB1" w:rsidRDefault="00DA4258" w:rsidP="008C5334">
            <w:pPr>
              <w:jc w:val="center"/>
              <w:rPr>
                <w:bCs/>
                <w:color w:val="000000"/>
                <w:sz w:val="22"/>
                <w:szCs w:val="22"/>
              </w:rPr>
            </w:pPr>
            <w:r w:rsidRPr="00077CB1">
              <w:rPr>
                <w:bCs/>
                <w:color w:val="000000"/>
                <w:sz w:val="22"/>
                <w:szCs w:val="22"/>
              </w:rPr>
              <w:t>Cp</w:t>
            </w:r>
          </w:p>
        </w:tc>
        <w:tc>
          <w:tcPr>
            <w:tcW w:w="1701" w:type="dxa"/>
            <w:shd w:val="clear" w:color="auto" w:fill="auto"/>
            <w:noWrap/>
            <w:vAlign w:val="center"/>
            <w:hideMark/>
          </w:tcPr>
          <w:p w14:paraId="576DC539" w14:textId="77777777" w:rsidR="00DA4258" w:rsidRPr="00077CB1" w:rsidRDefault="00DA4258" w:rsidP="008C5334">
            <w:pPr>
              <w:jc w:val="center"/>
              <w:rPr>
                <w:bCs/>
                <w:color w:val="000000"/>
                <w:sz w:val="22"/>
                <w:szCs w:val="22"/>
              </w:rPr>
            </w:pPr>
            <w:r w:rsidRPr="00077CB1">
              <w:rPr>
                <w:bCs/>
                <w:color w:val="000000"/>
                <w:sz w:val="22"/>
                <w:szCs w:val="22"/>
              </w:rPr>
              <w:t>C</w:t>
            </w:r>
            <w:r>
              <w:rPr>
                <w:bCs/>
                <w:color w:val="000000"/>
                <w:sz w:val="22"/>
                <w:szCs w:val="22"/>
              </w:rPr>
              <w:t>t</w:t>
            </w:r>
          </w:p>
        </w:tc>
      </w:tr>
      <w:tr w:rsidR="00DA4258" w:rsidRPr="00967C6C" w14:paraId="588CD8B0" w14:textId="77777777" w:rsidTr="008C5334">
        <w:trPr>
          <w:trHeight w:val="300"/>
          <w:jc w:val="center"/>
        </w:trPr>
        <w:tc>
          <w:tcPr>
            <w:tcW w:w="5032" w:type="dxa"/>
            <w:vMerge/>
          </w:tcPr>
          <w:p w14:paraId="488B171A" w14:textId="77777777" w:rsidR="00DA4258" w:rsidRDefault="00DA4258" w:rsidP="008C5334">
            <w:pPr>
              <w:rPr>
                <w:color w:val="000000"/>
                <w:sz w:val="22"/>
                <w:szCs w:val="22"/>
              </w:rPr>
            </w:pPr>
          </w:p>
        </w:tc>
        <w:tc>
          <w:tcPr>
            <w:tcW w:w="1842" w:type="dxa"/>
            <w:shd w:val="clear" w:color="auto" w:fill="auto"/>
            <w:noWrap/>
            <w:vAlign w:val="bottom"/>
            <w:hideMark/>
          </w:tcPr>
          <w:p w14:paraId="1B0217E4" w14:textId="77777777" w:rsidR="00DA4258" w:rsidRPr="00077CB1" w:rsidRDefault="00DA4258" w:rsidP="008C5334">
            <w:pPr>
              <w:jc w:val="center"/>
              <w:rPr>
                <w:bCs/>
                <w:color w:val="000000"/>
                <w:sz w:val="22"/>
                <w:szCs w:val="22"/>
              </w:rPr>
            </w:pPr>
            <w:r w:rsidRPr="00077CB1">
              <w:rPr>
                <w:bCs/>
                <w:color w:val="000000"/>
                <w:sz w:val="22"/>
                <w:szCs w:val="22"/>
              </w:rPr>
              <w:t>[€/m</w:t>
            </w:r>
            <w:r w:rsidRPr="00077CB1">
              <w:rPr>
                <w:bCs/>
                <w:color w:val="000000"/>
                <w:sz w:val="22"/>
                <w:szCs w:val="22"/>
                <w:vertAlign w:val="superscript"/>
              </w:rPr>
              <w:t>2</w:t>
            </w:r>
            <w:r w:rsidRPr="00077CB1">
              <w:rPr>
                <w:bCs/>
                <w:color w:val="000000"/>
                <w:sz w:val="22"/>
                <w:szCs w:val="22"/>
              </w:rPr>
              <w:t>]</w:t>
            </w:r>
          </w:p>
        </w:tc>
        <w:tc>
          <w:tcPr>
            <w:tcW w:w="1701" w:type="dxa"/>
            <w:shd w:val="clear" w:color="auto" w:fill="auto"/>
            <w:noWrap/>
            <w:vAlign w:val="bottom"/>
            <w:hideMark/>
          </w:tcPr>
          <w:p w14:paraId="3A5B3855" w14:textId="77777777" w:rsidR="00DA4258" w:rsidRPr="00077CB1" w:rsidRDefault="00DA4258" w:rsidP="008C5334">
            <w:pPr>
              <w:jc w:val="center"/>
              <w:rPr>
                <w:bCs/>
                <w:color w:val="000000"/>
                <w:sz w:val="22"/>
                <w:szCs w:val="22"/>
              </w:rPr>
            </w:pPr>
            <w:r w:rsidRPr="00077CB1">
              <w:rPr>
                <w:bCs/>
                <w:color w:val="000000"/>
                <w:sz w:val="22"/>
                <w:szCs w:val="22"/>
              </w:rPr>
              <w:t>[€/m</w:t>
            </w:r>
            <w:r w:rsidRPr="00077CB1">
              <w:rPr>
                <w:bCs/>
                <w:color w:val="000000"/>
                <w:sz w:val="22"/>
                <w:szCs w:val="22"/>
                <w:vertAlign w:val="superscript"/>
              </w:rPr>
              <w:t>2</w:t>
            </w:r>
            <w:r w:rsidRPr="00077CB1">
              <w:rPr>
                <w:bCs/>
                <w:color w:val="000000"/>
                <w:sz w:val="22"/>
                <w:szCs w:val="22"/>
              </w:rPr>
              <w:t>]</w:t>
            </w:r>
          </w:p>
        </w:tc>
      </w:tr>
      <w:tr w:rsidR="00DA4258" w:rsidRPr="00631C72" w14:paraId="75B7E494" w14:textId="77777777" w:rsidTr="008C5334">
        <w:trPr>
          <w:trHeight w:val="300"/>
          <w:jc w:val="center"/>
        </w:trPr>
        <w:tc>
          <w:tcPr>
            <w:tcW w:w="5032" w:type="dxa"/>
          </w:tcPr>
          <w:p w14:paraId="2E61C08A" w14:textId="77777777" w:rsidR="00DA4258" w:rsidRPr="00DD650A" w:rsidRDefault="00DA4258" w:rsidP="008C5334">
            <w:pPr>
              <w:rPr>
                <w:bCs/>
                <w:sz w:val="20"/>
                <w:szCs w:val="20"/>
              </w:rPr>
            </w:pPr>
            <w:r>
              <w:rPr>
                <w:color w:val="000000"/>
                <w:sz w:val="22"/>
                <w:szCs w:val="22"/>
              </w:rPr>
              <w:t>Kanalizacija</w:t>
            </w:r>
          </w:p>
        </w:tc>
        <w:tc>
          <w:tcPr>
            <w:tcW w:w="1842" w:type="dxa"/>
            <w:shd w:val="clear" w:color="auto" w:fill="auto"/>
            <w:noWrap/>
            <w:vAlign w:val="bottom"/>
            <w:hideMark/>
          </w:tcPr>
          <w:p w14:paraId="7724377C" w14:textId="77777777" w:rsidR="00DA4258" w:rsidRPr="00631C72" w:rsidRDefault="00DA4258" w:rsidP="008C5334">
            <w:pPr>
              <w:jc w:val="center"/>
              <w:rPr>
                <w:color w:val="000000"/>
                <w:sz w:val="20"/>
                <w:szCs w:val="20"/>
              </w:rPr>
            </w:pPr>
            <w:r w:rsidRPr="00631C72">
              <w:t>7,01</w:t>
            </w:r>
          </w:p>
        </w:tc>
        <w:tc>
          <w:tcPr>
            <w:tcW w:w="1701" w:type="dxa"/>
            <w:shd w:val="clear" w:color="auto" w:fill="auto"/>
            <w:noWrap/>
            <w:vAlign w:val="bottom"/>
            <w:hideMark/>
          </w:tcPr>
          <w:p w14:paraId="43718995" w14:textId="77777777" w:rsidR="00DA4258" w:rsidRPr="00631C72" w:rsidRDefault="00DA4258" w:rsidP="008C5334">
            <w:pPr>
              <w:jc w:val="center"/>
              <w:rPr>
                <w:color w:val="000000"/>
                <w:sz w:val="20"/>
                <w:szCs w:val="20"/>
              </w:rPr>
            </w:pPr>
            <w:r w:rsidRPr="00631C72">
              <w:t>10,45</w:t>
            </w:r>
          </w:p>
        </w:tc>
      </w:tr>
    </w:tbl>
    <w:p w14:paraId="2AC8FE99" w14:textId="77777777" w:rsidR="00DA4258" w:rsidRDefault="00DA4258" w:rsidP="00DA4258">
      <w:pPr>
        <w:ind w:left="708"/>
        <w:jc w:val="both"/>
      </w:pPr>
      <w:r w:rsidRPr="00B87DBE">
        <w:t>Vse cene so brez DDV.</w:t>
      </w:r>
    </w:p>
    <w:p w14:paraId="7BDBFEBB" w14:textId="77777777" w:rsidR="00DA4258" w:rsidRPr="00B87DBE" w:rsidRDefault="00DA4258" w:rsidP="00DA4258">
      <w:pPr>
        <w:ind w:left="720"/>
        <w:jc w:val="both"/>
      </w:pPr>
    </w:p>
    <w:p w14:paraId="41C85341" w14:textId="77777777" w:rsidR="00DA4258" w:rsidRPr="00DC661A" w:rsidRDefault="00DA4258" w:rsidP="00DA4258">
      <w:pPr>
        <w:numPr>
          <w:ilvl w:val="0"/>
          <w:numId w:val="1"/>
        </w:numPr>
        <w:jc w:val="both"/>
      </w:pPr>
      <w:r w:rsidRPr="00DC661A">
        <w:t>kvadratni meter parcele in kvadratni meter neto tlorisne površine objekta za primarno omrežje na območju poslovnih con Letališča.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32"/>
        <w:gridCol w:w="1842"/>
        <w:gridCol w:w="1701"/>
      </w:tblGrid>
      <w:tr w:rsidR="00DA4258" w:rsidRPr="00DC661A" w14:paraId="69B2A841" w14:textId="77777777" w:rsidTr="008C5334">
        <w:trPr>
          <w:trHeight w:val="300"/>
          <w:jc w:val="center"/>
        </w:trPr>
        <w:tc>
          <w:tcPr>
            <w:tcW w:w="5032" w:type="dxa"/>
            <w:vMerge w:val="restart"/>
          </w:tcPr>
          <w:p w14:paraId="3D2EC040" w14:textId="77777777" w:rsidR="00DA4258" w:rsidRPr="00DC661A" w:rsidRDefault="00DA4258" w:rsidP="008C5334">
            <w:pPr>
              <w:rPr>
                <w:color w:val="000000"/>
                <w:sz w:val="22"/>
                <w:szCs w:val="22"/>
              </w:rPr>
            </w:pPr>
            <w:r w:rsidRPr="00DC661A">
              <w:rPr>
                <w:color w:val="000000"/>
                <w:sz w:val="22"/>
                <w:szCs w:val="22"/>
              </w:rPr>
              <w:t>Vrsta komunalne opreme – PRIMAR</w:t>
            </w:r>
          </w:p>
          <w:p w14:paraId="459236B5" w14:textId="77777777" w:rsidR="00DA4258" w:rsidRPr="00DC661A" w:rsidRDefault="00DA4258" w:rsidP="008C5334">
            <w:pPr>
              <w:rPr>
                <w:b/>
                <w:bCs/>
                <w:color w:val="000000"/>
                <w:sz w:val="22"/>
                <w:szCs w:val="22"/>
              </w:rPr>
            </w:pPr>
            <w:r w:rsidRPr="00DC661A">
              <w:rPr>
                <w:b/>
                <w:bCs/>
                <w:color w:val="000000"/>
                <w:sz w:val="22"/>
                <w:szCs w:val="22"/>
              </w:rPr>
              <w:t>na območju poslovnih con Letališča</w:t>
            </w:r>
          </w:p>
        </w:tc>
        <w:tc>
          <w:tcPr>
            <w:tcW w:w="1842" w:type="dxa"/>
            <w:shd w:val="clear" w:color="auto" w:fill="auto"/>
            <w:noWrap/>
            <w:vAlign w:val="center"/>
            <w:hideMark/>
          </w:tcPr>
          <w:p w14:paraId="1549A755" w14:textId="77777777" w:rsidR="00DA4258" w:rsidRPr="00DC661A" w:rsidRDefault="00DA4258" w:rsidP="008C5334">
            <w:pPr>
              <w:jc w:val="center"/>
              <w:rPr>
                <w:bCs/>
                <w:color w:val="000000"/>
                <w:sz w:val="22"/>
                <w:szCs w:val="22"/>
              </w:rPr>
            </w:pPr>
            <w:r w:rsidRPr="00DC661A">
              <w:rPr>
                <w:bCs/>
                <w:color w:val="000000"/>
                <w:sz w:val="22"/>
                <w:szCs w:val="22"/>
              </w:rPr>
              <w:t>Cp</w:t>
            </w:r>
          </w:p>
        </w:tc>
        <w:tc>
          <w:tcPr>
            <w:tcW w:w="1701" w:type="dxa"/>
            <w:shd w:val="clear" w:color="auto" w:fill="auto"/>
            <w:noWrap/>
            <w:vAlign w:val="center"/>
            <w:hideMark/>
          </w:tcPr>
          <w:p w14:paraId="45A518BB" w14:textId="77777777" w:rsidR="00DA4258" w:rsidRPr="00DC661A" w:rsidRDefault="00DA4258" w:rsidP="008C5334">
            <w:pPr>
              <w:jc w:val="center"/>
              <w:rPr>
                <w:bCs/>
                <w:color w:val="000000"/>
                <w:sz w:val="22"/>
                <w:szCs w:val="22"/>
              </w:rPr>
            </w:pPr>
            <w:r w:rsidRPr="00DC661A">
              <w:rPr>
                <w:bCs/>
                <w:color w:val="000000"/>
                <w:sz w:val="22"/>
                <w:szCs w:val="22"/>
              </w:rPr>
              <w:t>Ct</w:t>
            </w:r>
          </w:p>
        </w:tc>
      </w:tr>
      <w:tr w:rsidR="00DA4258" w:rsidRPr="00DC661A" w14:paraId="642BF686" w14:textId="77777777" w:rsidTr="008C5334">
        <w:trPr>
          <w:trHeight w:val="300"/>
          <w:jc w:val="center"/>
        </w:trPr>
        <w:tc>
          <w:tcPr>
            <w:tcW w:w="5032" w:type="dxa"/>
            <w:vMerge/>
          </w:tcPr>
          <w:p w14:paraId="05EDBC27" w14:textId="77777777" w:rsidR="00DA4258" w:rsidRPr="00DC661A" w:rsidRDefault="00DA4258" w:rsidP="008C5334">
            <w:pPr>
              <w:rPr>
                <w:color w:val="000000"/>
                <w:sz w:val="22"/>
                <w:szCs w:val="22"/>
              </w:rPr>
            </w:pPr>
          </w:p>
        </w:tc>
        <w:tc>
          <w:tcPr>
            <w:tcW w:w="1842" w:type="dxa"/>
            <w:shd w:val="clear" w:color="auto" w:fill="auto"/>
            <w:noWrap/>
            <w:vAlign w:val="bottom"/>
            <w:hideMark/>
          </w:tcPr>
          <w:p w14:paraId="0C57E549" w14:textId="77777777" w:rsidR="00DA4258" w:rsidRPr="00DC661A" w:rsidRDefault="00DA4258" w:rsidP="008C5334">
            <w:pPr>
              <w:jc w:val="center"/>
              <w:rPr>
                <w:bCs/>
                <w:color w:val="000000"/>
                <w:sz w:val="22"/>
                <w:szCs w:val="22"/>
              </w:rPr>
            </w:pPr>
            <w:r w:rsidRPr="00DC661A">
              <w:rPr>
                <w:bCs/>
                <w:color w:val="000000"/>
                <w:sz w:val="22"/>
                <w:szCs w:val="22"/>
              </w:rPr>
              <w:t>[€/m</w:t>
            </w:r>
            <w:r w:rsidRPr="00DC661A">
              <w:rPr>
                <w:bCs/>
                <w:color w:val="000000"/>
                <w:sz w:val="22"/>
                <w:szCs w:val="22"/>
                <w:vertAlign w:val="superscript"/>
              </w:rPr>
              <w:t>2</w:t>
            </w:r>
            <w:r w:rsidRPr="00DC661A">
              <w:rPr>
                <w:bCs/>
                <w:color w:val="000000"/>
                <w:sz w:val="22"/>
                <w:szCs w:val="22"/>
              </w:rPr>
              <w:t>]</w:t>
            </w:r>
          </w:p>
        </w:tc>
        <w:tc>
          <w:tcPr>
            <w:tcW w:w="1701" w:type="dxa"/>
            <w:shd w:val="clear" w:color="auto" w:fill="auto"/>
            <w:noWrap/>
            <w:vAlign w:val="bottom"/>
            <w:hideMark/>
          </w:tcPr>
          <w:p w14:paraId="2303CF14" w14:textId="77777777" w:rsidR="00DA4258" w:rsidRPr="00DC661A" w:rsidRDefault="00DA4258" w:rsidP="008C5334">
            <w:pPr>
              <w:jc w:val="center"/>
              <w:rPr>
                <w:bCs/>
                <w:color w:val="000000"/>
                <w:sz w:val="22"/>
                <w:szCs w:val="22"/>
              </w:rPr>
            </w:pPr>
            <w:r w:rsidRPr="00DC661A">
              <w:rPr>
                <w:bCs/>
                <w:color w:val="000000"/>
                <w:sz w:val="22"/>
                <w:szCs w:val="22"/>
              </w:rPr>
              <w:t>[€/m</w:t>
            </w:r>
            <w:r w:rsidRPr="00DC661A">
              <w:rPr>
                <w:bCs/>
                <w:color w:val="000000"/>
                <w:sz w:val="22"/>
                <w:szCs w:val="22"/>
                <w:vertAlign w:val="superscript"/>
              </w:rPr>
              <w:t>2</w:t>
            </w:r>
            <w:r w:rsidRPr="00DC661A">
              <w:rPr>
                <w:bCs/>
                <w:color w:val="000000"/>
                <w:sz w:val="22"/>
                <w:szCs w:val="22"/>
              </w:rPr>
              <w:t>]</w:t>
            </w:r>
          </w:p>
        </w:tc>
      </w:tr>
      <w:tr w:rsidR="00DA4258" w:rsidRPr="00DC661A" w14:paraId="4516C379" w14:textId="77777777" w:rsidTr="008C5334">
        <w:trPr>
          <w:trHeight w:val="300"/>
          <w:jc w:val="center"/>
        </w:trPr>
        <w:tc>
          <w:tcPr>
            <w:tcW w:w="5032" w:type="dxa"/>
          </w:tcPr>
          <w:p w14:paraId="059D5EBB" w14:textId="77777777" w:rsidR="00DA4258" w:rsidRPr="00DC661A" w:rsidRDefault="00DA4258" w:rsidP="008C5334">
            <w:pPr>
              <w:rPr>
                <w:bCs/>
                <w:sz w:val="20"/>
                <w:szCs w:val="20"/>
              </w:rPr>
            </w:pPr>
            <w:r w:rsidRPr="00DC661A">
              <w:rPr>
                <w:color w:val="000000"/>
                <w:sz w:val="22"/>
                <w:szCs w:val="22"/>
              </w:rPr>
              <w:t>Kanalizacija</w:t>
            </w:r>
          </w:p>
        </w:tc>
        <w:tc>
          <w:tcPr>
            <w:tcW w:w="1842" w:type="dxa"/>
            <w:shd w:val="clear" w:color="auto" w:fill="auto"/>
            <w:noWrap/>
            <w:vAlign w:val="bottom"/>
            <w:hideMark/>
          </w:tcPr>
          <w:p w14:paraId="0147DC91" w14:textId="77777777" w:rsidR="00DA4258" w:rsidRPr="00631C72" w:rsidRDefault="00DA4258" w:rsidP="008C5334">
            <w:pPr>
              <w:jc w:val="center"/>
              <w:rPr>
                <w:color w:val="000000"/>
                <w:sz w:val="20"/>
                <w:szCs w:val="20"/>
              </w:rPr>
            </w:pPr>
            <w:r w:rsidRPr="00631C72">
              <w:t>4,92</w:t>
            </w:r>
          </w:p>
        </w:tc>
        <w:tc>
          <w:tcPr>
            <w:tcW w:w="1701" w:type="dxa"/>
            <w:shd w:val="clear" w:color="auto" w:fill="auto"/>
            <w:noWrap/>
            <w:vAlign w:val="bottom"/>
            <w:hideMark/>
          </w:tcPr>
          <w:p w14:paraId="3CE555BB" w14:textId="77777777" w:rsidR="00DA4258" w:rsidRPr="00631C72" w:rsidRDefault="00DA4258" w:rsidP="008C5334">
            <w:pPr>
              <w:jc w:val="center"/>
              <w:rPr>
                <w:color w:val="000000"/>
                <w:sz w:val="20"/>
                <w:szCs w:val="20"/>
              </w:rPr>
            </w:pPr>
            <w:r w:rsidRPr="00631C72">
              <w:t>7,33</w:t>
            </w:r>
          </w:p>
        </w:tc>
      </w:tr>
    </w:tbl>
    <w:p w14:paraId="649365BD" w14:textId="003C400B" w:rsidR="004907B0" w:rsidRDefault="00DA4258" w:rsidP="004907B0">
      <w:pPr>
        <w:jc w:val="both"/>
      </w:pPr>
      <w:r>
        <w:t xml:space="preserve">            </w:t>
      </w:r>
      <w:r w:rsidRPr="00DC661A">
        <w:t>Vse cene so brez DDV</w:t>
      </w:r>
      <w:r>
        <w:t>.</w:t>
      </w:r>
    </w:p>
    <w:p w14:paraId="165CC69D" w14:textId="77777777" w:rsidR="00DA4258" w:rsidRPr="004907B0" w:rsidRDefault="00DA4258" w:rsidP="004907B0">
      <w:pPr>
        <w:jc w:val="both"/>
      </w:pPr>
    </w:p>
    <w:p w14:paraId="05B2FDCC" w14:textId="77777777" w:rsidR="004907B0" w:rsidRPr="004907B0" w:rsidRDefault="004907B0" w:rsidP="004907B0">
      <w:pPr>
        <w:jc w:val="center"/>
      </w:pPr>
      <w:r w:rsidRPr="004907B0">
        <w:t>VII. PODROBNEJŠA MERILA ZA ODMERO KOMUNALNEGA PRISPEVKA</w:t>
      </w:r>
    </w:p>
    <w:p w14:paraId="3EBF316F" w14:textId="77777777" w:rsidR="004907B0" w:rsidRPr="004907B0" w:rsidRDefault="004907B0" w:rsidP="004907B0">
      <w:pPr>
        <w:jc w:val="center"/>
      </w:pPr>
    </w:p>
    <w:p w14:paraId="47D83D40" w14:textId="77777777" w:rsidR="004907B0" w:rsidRPr="004907B0" w:rsidRDefault="004907B0" w:rsidP="004907B0">
      <w:pPr>
        <w:jc w:val="center"/>
      </w:pPr>
      <w:r w:rsidRPr="004907B0">
        <w:t>1. Zavezanec za plačilo komunalnega prispevka</w:t>
      </w:r>
    </w:p>
    <w:p w14:paraId="4DB2967E" w14:textId="77777777" w:rsidR="004907B0" w:rsidRPr="004907B0" w:rsidRDefault="004907B0" w:rsidP="004907B0">
      <w:pPr>
        <w:jc w:val="center"/>
        <w:rPr>
          <w:sz w:val="16"/>
          <w:szCs w:val="16"/>
        </w:rPr>
      </w:pPr>
    </w:p>
    <w:p w14:paraId="57443C3C" w14:textId="77777777" w:rsidR="004907B0" w:rsidRPr="004907B0" w:rsidRDefault="004907B0" w:rsidP="004907B0">
      <w:pPr>
        <w:jc w:val="center"/>
      </w:pPr>
      <w:r w:rsidRPr="004907B0">
        <w:t>11. člen</w:t>
      </w:r>
    </w:p>
    <w:p w14:paraId="6FC7A92E" w14:textId="77777777" w:rsidR="004907B0" w:rsidRPr="004907B0" w:rsidRDefault="004907B0" w:rsidP="004907B0"/>
    <w:p w14:paraId="59B22C51" w14:textId="77777777" w:rsidR="004907B0" w:rsidRPr="004907B0" w:rsidRDefault="004907B0" w:rsidP="004907B0">
      <w:pPr>
        <w:pStyle w:val="Odstavekseznama"/>
        <w:numPr>
          <w:ilvl w:val="0"/>
          <w:numId w:val="17"/>
        </w:numPr>
        <w:jc w:val="both"/>
      </w:pPr>
      <w:r w:rsidRPr="004907B0">
        <w:t>Zavezanec za plačilo komunalnega prispevka (v nadaljevanju zavezanec) po tem odloku je lastnik ali investitor oziroma uporabnik obstoječega objekta.</w:t>
      </w:r>
    </w:p>
    <w:p w14:paraId="235AFAC4" w14:textId="77777777" w:rsidR="004907B0" w:rsidRPr="004907B0" w:rsidRDefault="004907B0" w:rsidP="004907B0">
      <w:pPr>
        <w:pStyle w:val="Odstavekseznama"/>
        <w:numPr>
          <w:ilvl w:val="0"/>
          <w:numId w:val="17"/>
        </w:numPr>
        <w:jc w:val="both"/>
      </w:pPr>
      <w:r w:rsidRPr="004907B0">
        <w:t>Ne glede na prejšnji odstavek je zavezanec, fizična ali pravna oseba, to je lastnik ali uporabnik obstoječega objekta, za katerega se odmerja komunalni prispevek, ki je pridobil nepremičnino s pravnim poslom, na podlagi katerega je pridobil pravico, da se vpiše v zemljiško knjigo (v nadaljnjem besedilu: pridobitelj), prenos lastništva pa še ni izveden, če se prenos lastništva nepremičnine dokaže s pravno listino, ki nedvoumno izkazuje pravico pridobitelja do pridobitve lastninske pravice na nepremičnini.</w:t>
      </w:r>
    </w:p>
    <w:p w14:paraId="7452F4C9" w14:textId="77777777" w:rsidR="004907B0" w:rsidRPr="004907B0" w:rsidRDefault="004907B0" w:rsidP="004907B0">
      <w:pPr>
        <w:pStyle w:val="Odstavekseznama"/>
        <w:numPr>
          <w:ilvl w:val="0"/>
          <w:numId w:val="17"/>
        </w:numPr>
        <w:jc w:val="both"/>
      </w:pPr>
      <w:r w:rsidRPr="004907B0">
        <w:t>V primeru solastnine ali skupne lastnine na nepremičnini (obstoječi objekt) je zavezanec vsak solastnik ali skupni lastnik  sorazmerno s svojim lastniškim deležem. Če solastniški deleži v registru nepremičnin enemu ali več solastnikom niso določeni, se za potrebe tega odloka šteje, da so enaki.</w:t>
      </w:r>
      <w:r w:rsidRPr="004907B0">
        <w:rPr>
          <w:rFonts w:ascii="Arial" w:hAnsi="Arial" w:cs="Arial"/>
        </w:rPr>
        <w:t xml:space="preserve"> </w:t>
      </w:r>
      <w:r w:rsidRPr="004907B0">
        <w:t>Če je vsota solastniških deležev vseh solastnikov manjša oziroma večja od 100 %, se za potrebe tega odloka manjkajoči oziroma presežni del razdeli med solastnike glede na njim pripadajoče deleže in na ta način izračunane deleže manjkajočega oziroma presežnega dela prišteje oziroma odšteje od deležev posameznih solastnikov tako, da je na novo izračunana vsota solastniških deležev enaka 100 %.</w:t>
      </w:r>
    </w:p>
    <w:p w14:paraId="2D85BD14" w14:textId="77777777" w:rsidR="004907B0" w:rsidRPr="004907B0" w:rsidRDefault="004907B0" w:rsidP="004907B0">
      <w:pPr>
        <w:pStyle w:val="Odstavekseznama"/>
        <w:numPr>
          <w:ilvl w:val="0"/>
          <w:numId w:val="17"/>
        </w:numPr>
        <w:jc w:val="both"/>
      </w:pPr>
      <w:r w:rsidRPr="004907B0">
        <w:t>Ne glede na prvi odstavek tega člena je za obstoječi objekt v lasti Republike Slovenije, ki ji je v registru nepremičnin določen upravljavec,  zavezanec upravljavec nepremičnine (obstoječega objekta), evidentiran v registru nepremičnin.</w:t>
      </w:r>
    </w:p>
    <w:p w14:paraId="7EB37E0E" w14:textId="77777777" w:rsidR="004907B0" w:rsidRPr="004907B0" w:rsidRDefault="004907B0" w:rsidP="004907B0">
      <w:pPr>
        <w:pStyle w:val="Odstavekseznama"/>
        <w:numPr>
          <w:ilvl w:val="0"/>
          <w:numId w:val="17"/>
        </w:numPr>
        <w:jc w:val="both"/>
      </w:pPr>
      <w:r w:rsidRPr="004907B0">
        <w:t>Za obstoječe objekte se zavezancem, ki so se oz. se bodo priključili na kanalizacijo, komunalni prispevek za kanalizacijo, odmeri po uradni dolžnosti.</w:t>
      </w:r>
    </w:p>
    <w:p w14:paraId="46F7DE77" w14:textId="77777777" w:rsidR="004907B0" w:rsidRPr="004907B0" w:rsidRDefault="004907B0" w:rsidP="004907B0">
      <w:pPr>
        <w:pStyle w:val="Odstavekseznama"/>
        <w:numPr>
          <w:ilvl w:val="0"/>
          <w:numId w:val="17"/>
        </w:numPr>
        <w:jc w:val="both"/>
      </w:pPr>
      <w:r w:rsidRPr="004907B0">
        <w:t>Zavezanec/uporabnik se je dolžan priključiti na javno kanalizacijo najkasneje v roku šestih mesecev po izgradnji javnega kanalizacijskega omrežja s končnim čiščenjem na čistilni napravi.</w:t>
      </w:r>
    </w:p>
    <w:p w14:paraId="2E1E4CFB" w14:textId="77777777" w:rsidR="004907B0" w:rsidRPr="004907B0" w:rsidRDefault="004907B0" w:rsidP="004907B0">
      <w:pPr>
        <w:pStyle w:val="Odstavekseznama"/>
        <w:numPr>
          <w:ilvl w:val="0"/>
          <w:numId w:val="17"/>
        </w:numPr>
        <w:jc w:val="both"/>
      </w:pPr>
      <w:r w:rsidRPr="004907B0">
        <w:t>Pred priključitvijo na javno kanalizacijo morajo biti izpolnjene vse obveznosti zavezanca iz izdane odločbe o plačilu komunalnega prispevka iz 16. člena tega odloka.</w:t>
      </w:r>
    </w:p>
    <w:p w14:paraId="5B7BF32D" w14:textId="77777777" w:rsidR="004907B0" w:rsidRPr="004907B0" w:rsidRDefault="004907B0" w:rsidP="004907B0">
      <w:pPr>
        <w:pStyle w:val="Odstavekseznama"/>
        <w:numPr>
          <w:ilvl w:val="0"/>
          <w:numId w:val="17"/>
        </w:numPr>
        <w:jc w:val="both"/>
      </w:pPr>
      <w:r w:rsidRPr="004907B0">
        <w:t>Komunalni prispevek po tem odloku se ne plača za priključitev objektov v lasti Občine Cerklje na Gorenjskem, gasilnih domov, posameznih vrst stavb za izobraževanje, kulturo, znanstveno-raziskovalno delo ter zdravstveno in socialno varstvo po predpisih o uvedbi in uporabi enotne klasifikacije vrst objektov. O oprostitvi plačila za navedene objekte se odloči z upravno odločbo, ki jo izda občinska uprava.</w:t>
      </w:r>
    </w:p>
    <w:p w14:paraId="3D2CF5D1" w14:textId="77777777" w:rsidR="004907B0" w:rsidRPr="004907B0" w:rsidRDefault="004907B0" w:rsidP="004907B0"/>
    <w:p w14:paraId="00DF1F0F" w14:textId="77777777" w:rsidR="004907B0" w:rsidRPr="004907B0" w:rsidRDefault="004907B0" w:rsidP="004907B0"/>
    <w:p w14:paraId="0AB7248C" w14:textId="77777777" w:rsidR="004907B0" w:rsidRPr="004907B0" w:rsidRDefault="004907B0" w:rsidP="004907B0">
      <w:pPr>
        <w:jc w:val="center"/>
      </w:pPr>
      <w:r w:rsidRPr="004907B0">
        <w:t>2. Izračun komunalnega prispevka</w:t>
      </w:r>
    </w:p>
    <w:p w14:paraId="2F01B4C7" w14:textId="77777777" w:rsidR="004907B0" w:rsidRPr="004907B0" w:rsidRDefault="004907B0" w:rsidP="004907B0">
      <w:pPr>
        <w:jc w:val="center"/>
        <w:rPr>
          <w:sz w:val="16"/>
          <w:szCs w:val="16"/>
        </w:rPr>
      </w:pPr>
    </w:p>
    <w:p w14:paraId="6F80F1D2" w14:textId="77777777" w:rsidR="004907B0" w:rsidRPr="004907B0" w:rsidRDefault="004907B0" w:rsidP="004907B0">
      <w:pPr>
        <w:jc w:val="center"/>
      </w:pPr>
      <w:r w:rsidRPr="004907B0">
        <w:t>12. člen</w:t>
      </w:r>
    </w:p>
    <w:p w14:paraId="40C9FE56" w14:textId="77777777" w:rsidR="004907B0" w:rsidRPr="004907B0" w:rsidRDefault="004907B0" w:rsidP="004907B0"/>
    <w:p w14:paraId="202F00D6" w14:textId="77777777" w:rsidR="004907B0" w:rsidRPr="004907B0" w:rsidRDefault="004907B0" w:rsidP="004907B0">
      <w:r w:rsidRPr="004907B0">
        <w:t>Podrobnejša merila za odmero komunalnega prispevka so:</w:t>
      </w:r>
    </w:p>
    <w:p w14:paraId="463FD22E" w14:textId="77777777" w:rsidR="004907B0" w:rsidRPr="004907B0" w:rsidRDefault="004907B0" w:rsidP="004907B0">
      <w:pPr>
        <w:numPr>
          <w:ilvl w:val="0"/>
          <w:numId w:val="6"/>
        </w:numPr>
        <w:suppressAutoHyphens/>
        <w:jc w:val="both"/>
      </w:pPr>
      <w:r w:rsidRPr="004907B0">
        <w:t>razmerje med merilom parcele objekta (D</w:t>
      </w:r>
      <w:r w:rsidRPr="004907B0">
        <w:rPr>
          <w:vertAlign w:val="subscript"/>
        </w:rPr>
        <w:t>P</w:t>
      </w:r>
      <w:r w:rsidRPr="004907B0">
        <w:t xml:space="preserve"> = 0,6) in merilom neto tlorisne površine (D</w:t>
      </w:r>
      <w:r w:rsidRPr="004907B0">
        <w:rPr>
          <w:vertAlign w:val="subscript"/>
        </w:rPr>
        <w:t>T</w:t>
      </w:r>
      <w:r w:rsidRPr="004907B0">
        <w:t xml:space="preserve"> = 0,4) pri izračunu komunalnega prispevka;</w:t>
      </w:r>
    </w:p>
    <w:p w14:paraId="196F10A5" w14:textId="77777777" w:rsidR="004907B0" w:rsidRDefault="004907B0" w:rsidP="004907B0">
      <w:r w:rsidRPr="004907B0">
        <w:t>-     faktorji dejavnosti (K</w:t>
      </w:r>
      <w:r w:rsidRPr="004907B0">
        <w:rPr>
          <w:vertAlign w:val="subscript"/>
        </w:rPr>
        <w:t>dejavnosti</w:t>
      </w:r>
      <w:r w:rsidRPr="004907B0">
        <w:t>) so določeni v prilogi – K</w:t>
      </w:r>
      <w:r w:rsidRPr="004907B0">
        <w:rPr>
          <w:vertAlign w:val="subscript"/>
        </w:rPr>
        <w:t xml:space="preserve">dejavnosti </w:t>
      </w:r>
      <w:r w:rsidRPr="004907B0">
        <w:t xml:space="preserve"> tega odloka.</w:t>
      </w:r>
    </w:p>
    <w:p w14:paraId="254AFE95" w14:textId="77777777" w:rsidR="00CA3D85" w:rsidRPr="004907B0" w:rsidRDefault="00CA3D85" w:rsidP="004907B0"/>
    <w:p w14:paraId="54DE4CED" w14:textId="77777777" w:rsidR="004907B0" w:rsidRPr="004907B0" w:rsidRDefault="004907B0" w:rsidP="004907B0">
      <w:pPr>
        <w:jc w:val="center"/>
      </w:pPr>
      <w:r w:rsidRPr="004907B0">
        <w:t>13. člen</w:t>
      </w:r>
    </w:p>
    <w:p w14:paraId="6F3A08C5" w14:textId="77777777" w:rsidR="004907B0" w:rsidRPr="004907B0" w:rsidRDefault="004907B0" w:rsidP="004907B0"/>
    <w:p w14:paraId="206F6441" w14:textId="77777777" w:rsidR="004907B0" w:rsidRPr="004907B0" w:rsidRDefault="004907B0" w:rsidP="004907B0">
      <w:pPr>
        <w:jc w:val="both"/>
      </w:pPr>
      <w:r w:rsidRPr="004907B0">
        <w:t>Pri izračunu komunalnega prispevka se upoštevajo določbe 10. in 12. člena tega odloka.</w:t>
      </w:r>
    </w:p>
    <w:p w14:paraId="6C65E0A9" w14:textId="77777777" w:rsidR="004907B0" w:rsidRPr="004907B0" w:rsidRDefault="004907B0" w:rsidP="004907B0">
      <w:pPr>
        <w:jc w:val="both"/>
      </w:pPr>
    </w:p>
    <w:p w14:paraId="1B68A570" w14:textId="77777777" w:rsidR="004907B0" w:rsidRPr="004907B0" w:rsidRDefault="004907B0" w:rsidP="004907B0">
      <w:pPr>
        <w:jc w:val="both"/>
      </w:pPr>
      <w:r w:rsidRPr="004907B0">
        <w:t>Komunalni prispevek se izračuna:</w:t>
      </w:r>
    </w:p>
    <w:p w14:paraId="189F7ED9" w14:textId="77777777" w:rsidR="004907B0" w:rsidRPr="004907B0" w:rsidRDefault="004907B0" w:rsidP="004907B0">
      <w:pPr>
        <w:pStyle w:val="Telobesedila"/>
        <w:spacing w:before="120"/>
        <w:rPr>
          <w:rFonts w:cs="Arial"/>
          <w:b/>
          <w:bCs/>
          <w:vertAlign w:val="subscript"/>
        </w:rPr>
      </w:pPr>
      <w:r w:rsidRPr="004907B0">
        <w:rPr>
          <w:rFonts w:cs="Arial"/>
          <w:b/>
          <w:bCs/>
        </w:rPr>
        <w:t>KP = ((D</w:t>
      </w:r>
      <w:r w:rsidRPr="004907B0">
        <w:rPr>
          <w:rFonts w:cs="Arial"/>
          <w:b/>
          <w:bCs/>
          <w:vertAlign w:val="subscript"/>
        </w:rPr>
        <w:t>P</w:t>
      </w:r>
      <w:r w:rsidRPr="004907B0">
        <w:rPr>
          <w:rFonts w:cs="Arial"/>
          <w:b/>
          <w:bCs/>
        </w:rPr>
        <w:t xml:space="preserve"> * C</w:t>
      </w:r>
      <w:r w:rsidRPr="004907B0">
        <w:rPr>
          <w:rFonts w:cs="Arial"/>
          <w:b/>
          <w:bCs/>
          <w:vertAlign w:val="subscript"/>
        </w:rPr>
        <w:t>Pi</w:t>
      </w:r>
      <w:r w:rsidRPr="004907B0">
        <w:rPr>
          <w:rFonts w:cs="Arial"/>
          <w:b/>
          <w:bCs/>
        </w:rPr>
        <w:t xml:space="preserve"> * </w:t>
      </w:r>
      <w:r w:rsidRPr="004907B0">
        <w:rPr>
          <w:rFonts w:cs="Arial"/>
          <w:b/>
        </w:rPr>
        <w:t>A</w:t>
      </w:r>
      <w:r w:rsidRPr="004907B0">
        <w:rPr>
          <w:rFonts w:cs="Arial"/>
          <w:sz w:val="22"/>
          <w:szCs w:val="22"/>
          <w:vertAlign w:val="subscript"/>
        </w:rPr>
        <w:t>Parcela</w:t>
      </w:r>
      <w:r w:rsidRPr="004907B0">
        <w:rPr>
          <w:rFonts w:cs="Arial"/>
          <w:b/>
        </w:rPr>
        <w:t>)</w:t>
      </w:r>
      <w:r w:rsidRPr="004907B0">
        <w:rPr>
          <w:rFonts w:cs="Arial"/>
          <w:b/>
          <w:bCs/>
        </w:rPr>
        <w:t xml:space="preserve"> + (D</w:t>
      </w:r>
      <w:r w:rsidRPr="004907B0">
        <w:rPr>
          <w:rFonts w:cs="Arial"/>
          <w:b/>
          <w:bCs/>
          <w:vertAlign w:val="subscript"/>
        </w:rPr>
        <w:t>T</w:t>
      </w:r>
      <w:r w:rsidRPr="004907B0">
        <w:rPr>
          <w:rFonts w:cs="Arial"/>
          <w:b/>
          <w:bCs/>
        </w:rPr>
        <w:t xml:space="preserve"> * C</w:t>
      </w:r>
      <w:r w:rsidRPr="004907B0">
        <w:rPr>
          <w:rFonts w:cs="Arial"/>
          <w:b/>
          <w:bCs/>
          <w:vertAlign w:val="subscript"/>
        </w:rPr>
        <w:t>Ti</w:t>
      </w:r>
      <w:r w:rsidRPr="004907B0">
        <w:rPr>
          <w:rFonts w:cs="Arial"/>
          <w:b/>
          <w:bCs/>
        </w:rPr>
        <w:t xml:space="preserve"> * </w:t>
      </w:r>
      <w:r w:rsidRPr="004907B0">
        <w:rPr>
          <w:rFonts w:cs="Arial"/>
        </w:rPr>
        <w:t>A</w:t>
      </w:r>
      <w:r w:rsidRPr="004907B0">
        <w:rPr>
          <w:rFonts w:cs="Arial"/>
          <w:vertAlign w:val="subscript"/>
        </w:rPr>
        <w:t xml:space="preserve">Tlorisna </w:t>
      </w:r>
      <w:r w:rsidRPr="004907B0">
        <w:rPr>
          <w:rFonts w:cs="Arial"/>
          <w:b/>
          <w:bCs/>
        </w:rPr>
        <w:t>* K</w:t>
      </w:r>
      <w:r w:rsidRPr="004907B0">
        <w:rPr>
          <w:rFonts w:cs="Arial"/>
          <w:b/>
          <w:bCs/>
          <w:vertAlign w:val="subscript"/>
        </w:rPr>
        <w:t>dejavnost</w:t>
      </w:r>
      <w:r w:rsidRPr="004907B0">
        <w:rPr>
          <w:rFonts w:cs="Arial"/>
          <w:b/>
          <w:bCs/>
        </w:rPr>
        <w:t>)) * i</w:t>
      </w:r>
    </w:p>
    <w:p w14:paraId="39D21769" w14:textId="77777777" w:rsidR="004907B0" w:rsidRPr="004907B0" w:rsidRDefault="004907B0" w:rsidP="004907B0">
      <w:pPr>
        <w:pStyle w:val="Telobesedila"/>
        <w:rPr>
          <w:rFonts w:cs="Arial"/>
        </w:rPr>
      </w:pPr>
      <w:r w:rsidRPr="004907B0">
        <w:rPr>
          <w:rFonts w:cs="Arial"/>
        </w:rPr>
        <w:t>pri čemer je:</w:t>
      </w:r>
    </w:p>
    <w:tbl>
      <w:tblPr>
        <w:tblW w:w="0" w:type="auto"/>
        <w:tblCellSpacing w:w="20" w:type="dxa"/>
        <w:tblLayout w:type="fixed"/>
        <w:tblCellMar>
          <w:left w:w="70" w:type="dxa"/>
          <w:right w:w="70" w:type="dxa"/>
        </w:tblCellMar>
        <w:tblLook w:val="0000" w:firstRow="0" w:lastRow="0" w:firstColumn="0" w:lastColumn="0" w:noHBand="0" w:noVBand="0"/>
      </w:tblPr>
      <w:tblGrid>
        <w:gridCol w:w="1103"/>
        <w:gridCol w:w="8228"/>
      </w:tblGrid>
      <w:tr w:rsidR="004907B0" w:rsidRPr="004907B0" w14:paraId="25EEDF12" w14:textId="77777777" w:rsidTr="00C530B0">
        <w:trPr>
          <w:tblCellSpacing w:w="20" w:type="dxa"/>
        </w:trPr>
        <w:tc>
          <w:tcPr>
            <w:tcW w:w="1043" w:type="dxa"/>
          </w:tcPr>
          <w:p w14:paraId="4BD8E30C" w14:textId="77777777" w:rsidR="004907B0" w:rsidRPr="004907B0" w:rsidRDefault="004907B0" w:rsidP="00C530B0">
            <w:pPr>
              <w:pStyle w:val="Telobesedila"/>
              <w:snapToGrid w:val="0"/>
              <w:rPr>
                <w:rFonts w:cs="Arial"/>
                <w:sz w:val="22"/>
                <w:szCs w:val="22"/>
              </w:rPr>
            </w:pPr>
            <w:r w:rsidRPr="004907B0">
              <w:rPr>
                <w:rFonts w:cs="Arial"/>
                <w:sz w:val="22"/>
                <w:szCs w:val="22"/>
              </w:rPr>
              <w:t>KP</w:t>
            </w:r>
          </w:p>
        </w:tc>
        <w:tc>
          <w:tcPr>
            <w:tcW w:w="8168" w:type="dxa"/>
          </w:tcPr>
          <w:p w14:paraId="5A8B1D46" w14:textId="77777777" w:rsidR="004907B0" w:rsidRPr="004907B0" w:rsidRDefault="004907B0" w:rsidP="00C530B0">
            <w:pPr>
              <w:pStyle w:val="Telobesedila"/>
              <w:snapToGrid w:val="0"/>
              <w:rPr>
                <w:rFonts w:cs="Arial"/>
                <w:sz w:val="22"/>
                <w:szCs w:val="22"/>
              </w:rPr>
            </w:pPr>
            <w:r w:rsidRPr="004907B0">
              <w:rPr>
                <w:rFonts w:cs="Arial"/>
                <w:sz w:val="22"/>
                <w:szCs w:val="22"/>
              </w:rPr>
              <w:t>- komunalni prispevek</w:t>
            </w:r>
          </w:p>
        </w:tc>
      </w:tr>
      <w:tr w:rsidR="004907B0" w:rsidRPr="004907B0" w14:paraId="132781B5" w14:textId="77777777" w:rsidTr="00C530B0">
        <w:trPr>
          <w:tblCellSpacing w:w="20" w:type="dxa"/>
        </w:trPr>
        <w:tc>
          <w:tcPr>
            <w:tcW w:w="1043" w:type="dxa"/>
          </w:tcPr>
          <w:p w14:paraId="57F08ACE" w14:textId="77777777" w:rsidR="004907B0" w:rsidRPr="004907B0" w:rsidRDefault="004907B0" w:rsidP="00C530B0">
            <w:pPr>
              <w:pStyle w:val="Telobesedila"/>
              <w:snapToGrid w:val="0"/>
              <w:rPr>
                <w:rFonts w:cs="Arial"/>
                <w:sz w:val="22"/>
                <w:szCs w:val="22"/>
              </w:rPr>
            </w:pPr>
            <w:r w:rsidRPr="004907B0">
              <w:rPr>
                <w:rFonts w:cs="Arial"/>
                <w:sz w:val="22"/>
                <w:szCs w:val="22"/>
              </w:rPr>
              <w:t>A</w:t>
            </w:r>
            <w:r w:rsidRPr="004907B0">
              <w:rPr>
                <w:rFonts w:cs="Arial"/>
                <w:sz w:val="22"/>
                <w:szCs w:val="22"/>
                <w:vertAlign w:val="subscript"/>
              </w:rPr>
              <w:t>Parcela</w:t>
            </w:r>
          </w:p>
        </w:tc>
        <w:tc>
          <w:tcPr>
            <w:tcW w:w="8168" w:type="dxa"/>
          </w:tcPr>
          <w:p w14:paraId="4209F5CD" w14:textId="77777777" w:rsidR="004907B0" w:rsidRPr="004907B0" w:rsidRDefault="004907B0" w:rsidP="00C530B0">
            <w:pPr>
              <w:pStyle w:val="Telobesedila"/>
              <w:snapToGrid w:val="0"/>
              <w:rPr>
                <w:rFonts w:cs="Arial"/>
                <w:sz w:val="22"/>
                <w:szCs w:val="22"/>
              </w:rPr>
            </w:pPr>
            <w:r w:rsidRPr="004907B0">
              <w:rPr>
                <w:rFonts w:cs="Arial"/>
                <w:sz w:val="22"/>
                <w:szCs w:val="22"/>
              </w:rPr>
              <w:t xml:space="preserve">- </w:t>
            </w:r>
            <w:r w:rsidRPr="004907B0">
              <w:rPr>
                <w:rFonts w:cs="Arial"/>
                <w:bCs/>
                <w:sz w:val="22"/>
                <w:szCs w:val="22"/>
              </w:rPr>
              <w:t xml:space="preserve">površina parcele objekta </w:t>
            </w:r>
            <w:r w:rsidRPr="004907B0">
              <w:rPr>
                <w:rFonts w:cs="Arial"/>
                <w:sz w:val="22"/>
                <w:szCs w:val="22"/>
              </w:rPr>
              <w:t>(m</w:t>
            </w:r>
            <w:r w:rsidRPr="004907B0">
              <w:rPr>
                <w:rFonts w:cs="Arial"/>
                <w:sz w:val="22"/>
                <w:szCs w:val="22"/>
                <w:vertAlign w:val="superscript"/>
              </w:rPr>
              <w:t>2</w:t>
            </w:r>
            <w:r w:rsidRPr="004907B0">
              <w:rPr>
                <w:rFonts w:cs="Arial"/>
                <w:sz w:val="22"/>
                <w:szCs w:val="22"/>
              </w:rPr>
              <w:t>). Zaradi velikega deleža objektov z nedoločljivo parcelo objekta ali nesorazmerno veliko parcelo objekta se v skladu z veljavnim predpisom kot parcelo objekta uporabi površina stavbišča pomnožena s faktorjem 1,5. To pravilo se uporabi za vse obstoječe objekte.</w:t>
            </w:r>
          </w:p>
        </w:tc>
      </w:tr>
      <w:tr w:rsidR="004907B0" w:rsidRPr="004907B0" w14:paraId="44EBFCAA" w14:textId="77777777" w:rsidTr="00C530B0">
        <w:trPr>
          <w:tblCellSpacing w:w="20" w:type="dxa"/>
        </w:trPr>
        <w:tc>
          <w:tcPr>
            <w:tcW w:w="1043" w:type="dxa"/>
          </w:tcPr>
          <w:p w14:paraId="6DA7B420" w14:textId="77777777" w:rsidR="004907B0" w:rsidRPr="004907B0" w:rsidRDefault="004907B0" w:rsidP="00C530B0">
            <w:pPr>
              <w:pStyle w:val="Telobesedila"/>
              <w:snapToGrid w:val="0"/>
              <w:rPr>
                <w:rFonts w:cs="Arial"/>
                <w:sz w:val="22"/>
                <w:szCs w:val="22"/>
              </w:rPr>
            </w:pPr>
            <w:r w:rsidRPr="004907B0">
              <w:rPr>
                <w:rFonts w:cs="Arial"/>
                <w:sz w:val="22"/>
                <w:szCs w:val="22"/>
              </w:rPr>
              <w:t>A</w:t>
            </w:r>
            <w:r w:rsidRPr="004907B0">
              <w:rPr>
                <w:rFonts w:cs="Arial"/>
                <w:sz w:val="22"/>
                <w:szCs w:val="22"/>
                <w:vertAlign w:val="subscript"/>
              </w:rPr>
              <w:t>Tlorisna</w:t>
            </w:r>
          </w:p>
        </w:tc>
        <w:tc>
          <w:tcPr>
            <w:tcW w:w="8168" w:type="dxa"/>
          </w:tcPr>
          <w:p w14:paraId="55B61261" w14:textId="77777777" w:rsidR="004907B0" w:rsidRPr="004907B0" w:rsidRDefault="004907B0" w:rsidP="00C530B0">
            <w:pPr>
              <w:pStyle w:val="Telobesedila"/>
              <w:snapToGrid w:val="0"/>
              <w:rPr>
                <w:rFonts w:cs="Arial"/>
                <w:sz w:val="22"/>
                <w:szCs w:val="22"/>
              </w:rPr>
            </w:pPr>
            <w:r w:rsidRPr="004907B0">
              <w:rPr>
                <w:rFonts w:cs="Arial"/>
                <w:sz w:val="22"/>
                <w:szCs w:val="22"/>
              </w:rPr>
              <w:t xml:space="preserve">- neto tlorisna </w:t>
            </w:r>
            <w:r w:rsidRPr="004907B0">
              <w:rPr>
                <w:rFonts w:cs="Arial"/>
                <w:bCs/>
                <w:sz w:val="22"/>
                <w:szCs w:val="22"/>
              </w:rPr>
              <w:t xml:space="preserve">površina objekta </w:t>
            </w:r>
            <w:r w:rsidRPr="004907B0">
              <w:rPr>
                <w:rFonts w:cs="Arial"/>
                <w:sz w:val="22"/>
                <w:szCs w:val="22"/>
              </w:rPr>
              <w:t>(m</w:t>
            </w:r>
            <w:r w:rsidRPr="004907B0">
              <w:rPr>
                <w:rFonts w:cs="Arial"/>
                <w:sz w:val="22"/>
                <w:szCs w:val="22"/>
                <w:vertAlign w:val="superscript"/>
              </w:rPr>
              <w:t>2</w:t>
            </w:r>
            <w:r w:rsidRPr="004907B0">
              <w:rPr>
                <w:rFonts w:cs="Arial"/>
                <w:sz w:val="22"/>
                <w:szCs w:val="22"/>
              </w:rPr>
              <w:t>)</w:t>
            </w:r>
          </w:p>
        </w:tc>
      </w:tr>
      <w:tr w:rsidR="004907B0" w:rsidRPr="004907B0" w14:paraId="057DA72C" w14:textId="77777777" w:rsidTr="00C530B0">
        <w:trPr>
          <w:tblCellSpacing w:w="20" w:type="dxa"/>
        </w:trPr>
        <w:tc>
          <w:tcPr>
            <w:tcW w:w="1043" w:type="dxa"/>
          </w:tcPr>
          <w:p w14:paraId="2C48CF0A" w14:textId="77777777" w:rsidR="004907B0" w:rsidRPr="004907B0" w:rsidRDefault="004907B0" w:rsidP="00C530B0">
            <w:pPr>
              <w:pStyle w:val="Telobesedila"/>
              <w:snapToGrid w:val="0"/>
              <w:rPr>
                <w:rFonts w:cs="Arial"/>
                <w:sz w:val="22"/>
                <w:szCs w:val="22"/>
              </w:rPr>
            </w:pPr>
            <w:r w:rsidRPr="004907B0">
              <w:rPr>
                <w:rFonts w:cs="Arial"/>
                <w:sz w:val="22"/>
                <w:szCs w:val="22"/>
              </w:rPr>
              <w:t>i</w:t>
            </w:r>
          </w:p>
        </w:tc>
        <w:tc>
          <w:tcPr>
            <w:tcW w:w="8168" w:type="dxa"/>
          </w:tcPr>
          <w:p w14:paraId="003B7ED7" w14:textId="77777777" w:rsidR="004907B0" w:rsidRPr="004907B0" w:rsidRDefault="004907B0" w:rsidP="00C530B0">
            <w:pPr>
              <w:pStyle w:val="Telobesedila"/>
              <w:snapToGrid w:val="0"/>
              <w:rPr>
                <w:rFonts w:cs="Arial"/>
                <w:sz w:val="22"/>
                <w:szCs w:val="22"/>
              </w:rPr>
            </w:pPr>
            <w:r w:rsidRPr="004907B0">
              <w:rPr>
                <w:rFonts w:cs="Arial"/>
                <w:sz w:val="22"/>
                <w:szCs w:val="22"/>
              </w:rPr>
              <w:t>- letni povprečni indeks podražitev gradbenih storitev, ki jih objavlja GZS – Združenje za gradbeništvo in IGM za področje nizkih gradenj</w:t>
            </w:r>
          </w:p>
        </w:tc>
      </w:tr>
      <w:tr w:rsidR="004907B0" w:rsidRPr="004907B0" w14:paraId="35E4EC8E" w14:textId="77777777" w:rsidTr="00C530B0">
        <w:trPr>
          <w:tblCellSpacing w:w="20" w:type="dxa"/>
        </w:trPr>
        <w:tc>
          <w:tcPr>
            <w:tcW w:w="1043" w:type="dxa"/>
          </w:tcPr>
          <w:p w14:paraId="4082E4C7" w14:textId="77777777" w:rsidR="004907B0" w:rsidRPr="004907B0" w:rsidRDefault="004907B0" w:rsidP="00C530B0">
            <w:pPr>
              <w:pStyle w:val="Telobesedila"/>
              <w:snapToGrid w:val="0"/>
              <w:rPr>
                <w:rFonts w:cs="Arial"/>
                <w:sz w:val="22"/>
                <w:szCs w:val="22"/>
              </w:rPr>
            </w:pPr>
            <w:r w:rsidRPr="004907B0">
              <w:rPr>
                <w:rFonts w:cs="Arial"/>
                <w:sz w:val="22"/>
                <w:szCs w:val="22"/>
              </w:rPr>
              <w:t>C</w:t>
            </w:r>
            <w:r w:rsidRPr="004907B0">
              <w:rPr>
                <w:rFonts w:cs="Arial"/>
                <w:sz w:val="22"/>
                <w:szCs w:val="22"/>
                <w:vertAlign w:val="subscript"/>
              </w:rPr>
              <w:t>Pi</w:t>
            </w:r>
          </w:p>
        </w:tc>
        <w:tc>
          <w:tcPr>
            <w:tcW w:w="8168" w:type="dxa"/>
          </w:tcPr>
          <w:p w14:paraId="788F8B6E" w14:textId="77777777" w:rsidR="004907B0" w:rsidRPr="004907B0" w:rsidRDefault="004907B0" w:rsidP="00C530B0">
            <w:pPr>
              <w:pStyle w:val="Telobesedila"/>
              <w:snapToGrid w:val="0"/>
              <w:rPr>
                <w:rFonts w:cs="Arial"/>
                <w:sz w:val="22"/>
                <w:szCs w:val="22"/>
              </w:rPr>
            </w:pPr>
            <w:r w:rsidRPr="004907B0">
              <w:rPr>
                <w:rFonts w:cs="Arial"/>
                <w:sz w:val="22"/>
                <w:szCs w:val="22"/>
              </w:rPr>
              <w:t>- cena opremljanja glede na površino parcele objekta (€/m</w:t>
            </w:r>
            <w:r w:rsidRPr="004907B0">
              <w:rPr>
                <w:rFonts w:cs="Arial"/>
                <w:sz w:val="22"/>
                <w:szCs w:val="22"/>
                <w:vertAlign w:val="superscript"/>
              </w:rPr>
              <w:t>2</w:t>
            </w:r>
            <w:r w:rsidRPr="004907B0">
              <w:rPr>
                <w:rFonts w:cs="Arial"/>
                <w:sz w:val="22"/>
                <w:szCs w:val="22"/>
              </w:rPr>
              <w:t>)</w:t>
            </w:r>
          </w:p>
        </w:tc>
      </w:tr>
      <w:tr w:rsidR="004907B0" w:rsidRPr="004907B0" w14:paraId="405BDBE2" w14:textId="77777777" w:rsidTr="00C530B0">
        <w:trPr>
          <w:tblCellSpacing w:w="20" w:type="dxa"/>
        </w:trPr>
        <w:tc>
          <w:tcPr>
            <w:tcW w:w="1043" w:type="dxa"/>
          </w:tcPr>
          <w:p w14:paraId="2A53C526" w14:textId="77777777" w:rsidR="004907B0" w:rsidRPr="004907B0" w:rsidRDefault="004907B0" w:rsidP="00C530B0">
            <w:pPr>
              <w:pStyle w:val="Telobesedila"/>
              <w:snapToGrid w:val="0"/>
              <w:rPr>
                <w:rFonts w:cs="Arial"/>
                <w:sz w:val="22"/>
                <w:szCs w:val="22"/>
                <w:vertAlign w:val="subscript"/>
              </w:rPr>
            </w:pPr>
            <w:r w:rsidRPr="004907B0">
              <w:rPr>
                <w:rFonts w:cs="Arial"/>
                <w:sz w:val="22"/>
                <w:szCs w:val="22"/>
              </w:rPr>
              <w:t>C</w:t>
            </w:r>
            <w:r w:rsidRPr="004907B0">
              <w:rPr>
                <w:rFonts w:cs="Arial"/>
                <w:sz w:val="22"/>
                <w:szCs w:val="22"/>
                <w:vertAlign w:val="subscript"/>
              </w:rPr>
              <w:t>Ti</w:t>
            </w:r>
          </w:p>
        </w:tc>
        <w:tc>
          <w:tcPr>
            <w:tcW w:w="8168" w:type="dxa"/>
          </w:tcPr>
          <w:p w14:paraId="6ABF1A2B" w14:textId="77777777" w:rsidR="004907B0" w:rsidRPr="004907B0" w:rsidRDefault="004907B0" w:rsidP="00C530B0">
            <w:pPr>
              <w:pStyle w:val="Telobesedila"/>
              <w:snapToGrid w:val="0"/>
              <w:rPr>
                <w:rFonts w:cs="Arial"/>
                <w:sz w:val="22"/>
                <w:szCs w:val="22"/>
              </w:rPr>
            </w:pPr>
            <w:r w:rsidRPr="004907B0">
              <w:rPr>
                <w:rFonts w:cs="Arial"/>
                <w:sz w:val="22"/>
                <w:szCs w:val="22"/>
              </w:rPr>
              <w:t>- cena opremljanja glede na neto tlorisno površino stavbe (€/m</w:t>
            </w:r>
            <w:r w:rsidRPr="004907B0">
              <w:rPr>
                <w:rFonts w:cs="Arial"/>
                <w:sz w:val="22"/>
                <w:szCs w:val="22"/>
                <w:vertAlign w:val="superscript"/>
              </w:rPr>
              <w:t>2</w:t>
            </w:r>
            <w:r w:rsidRPr="004907B0">
              <w:rPr>
                <w:rFonts w:cs="Arial"/>
                <w:sz w:val="22"/>
                <w:szCs w:val="22"/>
              </w:rPr>
              <w:t>)</w:t>
            </w:r>
          </w:p>
        </w:tc>
      </w:tr>
      <w:tr w:rsidR="004907B0" w:rsidRPr="004907B0" w14:paraId="2F45513B" w14:textId="77777777" w:rsidTr="00C530B0">
        <w:trPr>
          <w:tblCellSpacing w:w="20" w:type="dxa"/>
        </w:trPr>
        <w:tc>
          <w:tcPr>
            <w:tcW w:w="1043" w:type="dxa"/>
          </w:tcPr>
          <w:p w14:paraId="1F0F3509" w14:textId="77777777" w:rsidR="004907B0" w:rsidRPr="004907B0" w:rsidRDefault="004907B0" w:rsidP="00C530B0">
            <w:pPr>
              <w:pStyle w:val="Telobesedila"/>
              <w:snapToGrid w:val="0"/>
              <w:rPr>
                <w:rFonts w:cs="Arial"/>
                <w:sz w:val="22"/>
                <w:szCs w:val="22"/>
                <w:vertAlign w:val="subscript"/>
              </w:rPr>
            </w:pPr>
            <w:r w:rsidRPr="004907B0">
              <w:rPr>
                <w:rFonts w:cs="Arial"/>
                <w:sz w:val="22"/>
                <w:szCs w:val="22"/>
              </w:rPr>
              <w:t>D</w:t>
            </w:r>
            <w:r w:rsidRPr="004907B0">
              <w:rPr>
                <w:rFonts w:cs="Arial"/>
                <w:sz w:val="22"/>
                <w:szCs w:val="22"/>
                <w:vertAlign w:val="subscript"/>
              </w:rPr>
              <w:t>P</w:t>
            </w:r>
          </w:p>
        </w:tc>
        <w:tc>
          <w:tcPr>
            <w:tcW w:w="8168" w:type="dxa"/>
          </w:tcPr>
          <w:p w14:paraId="25725C22" w14:textId="77777777" w:rsidR="004907B0" w:rsidRPr="004907B0" w:rsidRDefault="004907B0" w:rsidP="00C530B0">
            <w:pPr>
              <w:pStyle w:val="Telobesedila"/>
              <w:snapToGrid w:val="0"/>
              <w:rPr>
                <w:rFonts w:cs="Arial"/>
                <w:sz w:val="22"/>
                <w:szCs w:val="22"/>
              </w:rPr>
            </w:pPr>
            <w:r w:rsidRPr="004907B0">
              <w:rPr>
                <w:rFonts w:cs="Arial"/>
                <w:sz w:val="22"/>
                <w:szCs w:val="22"/>
              </w:rPr>
              <w:t>- delež površine parcele pri izračunu (0,6)</w:t>
            </w:r>
          </w:p>
        </w:tc>
      </w:tr>
      <w:tr w:rsidR="004907B0" w:rsidRPr="004907B0" w14:paraId="27EF277B" w14:textId="77777777" w:rsidTr="00C530B0">
        <w:trPr>
          <w:tblCellSpacing w:w="20" w:type="dxa"/>
        </w:trPr>
        <w:tc>
          <w:tcPr>
            <w:tcW w:w="1043" w:type="dxa"/>
          </w:tcPr>
          <w:p w14:paraId="114A05D9" w14:textId="77777777" w:rsidR="004907B0" w:rsidRPr="004907B0" w:rsidRDefault="004907B0" w:rsidP="00C530B0">
            <w:pPr>
              <w:pStyle w:val="Telobesedila"/>
              <w:snapToGrid w:val="0"/>
              <w:rPr>
                <w:rFonts w:cs="Arial"/>
                <w:sz w:val="22"/>
                <w:szCs w:val="22"/>
                <w:vertAlign w:val="subscript"/>
              </w:rPr>
            </w:pPr>
            <w:r w:rsidRPr="004907B0">
              <w:rPr>
                <w:rFonts w:cs="Arial"/>
                <w:sz w:val="22"/>
                <w:szCs w:val="22"/>
              </w:rPr>
              <w:t>D</w:t>
            </w:r>
            <w:r w:rsidRPr="004907B0">
              <w:rPr>
                <w:rFonts w:cs="Arial"/>
                <w:sz w:val="22"/>
                <w:szCs w:val="22"/>
                <w:vertAlign w:val="subscript"/>
              </w:rPr>
              <w:t>T</w:t>
            </w:r>
          </w:p>
        </w:tc>
        <w:tc>
          <w:tcPr>
            <w:tcW w:w="8168" w:type="dxa"/>
          </w:tcPr>
          <w:p w14:paraId="5FCF1F43" w14:textId="77777777" w:rsidR="004907B0" w:rsidRPr="004907B0" w:rsidRDefault="004907B0" w:rsidP="00C530B0">
            <w:pPr>
              <w:pStyle w:val="Telobesedila"/>
              <w:snapToGrid w:val="0"/>
              <w:rPr>
                <w:rFonts w:cs="Arial"/>
                <w:sz w:val="22"/>
                <w:szCs w:val="22"/>
              </w:rPr>
            </w:pPr>
            <w:r w:rsidRPr="004907B0">
              <w:rPr>
                <w:rFonts w:cs="Arial"/>
                <w:sz w:val="22"/>
                <w:szCs w:val="22"/>
              </w:rPr>
              <w:t>- delež neto tlorisne površine pri izračunu (0,4)</w:t>
            </w:r>
          </w:p>
        </w:tc>
      </w:tr>
      <w:tr w:rsidR="004907B0" w:rsidRPr="004907B0" w14:paraId="7490304F" w14:textId="77777777" w:rsidTr="00C530B0">
        <w:trPr>
          <w:tblCellSpacing w:w="20" w:type="dxa"/>
        </w:trPr>
        <w:tc>
          <w:tcPr>
            <w:tcW w:w="1043" w:type="dxa"/>
          </w:tcPr>
          <w:p w14:paraId="1CCA60DE" w14:textId="77777777" w:rsidR="004907B0" w:rsidRPr="004907B0" w:rsidRDefault="004907B0" w:rsidP="00C530B0">
            <w:pPr>
              <w:pStyle w:val="Telobesedila"/>
              <w:snapToGrid w:val="0"/>
              <w:rPr>
                <w:rFonts w:cs="Arial"/>
                <w:sz w:val="22"/>
                <w:szCs w:val="22"/>
              </w:rPr>
            </w:pPr>
            <w:r w:rsidRPr="004907B0">
              <w:rPr>
                <w:rFonts w:cs="Tahoma"/>
                <w:sz w:val="22"/>
                <w:szCs w:val="22"/>
              </w:rPr>
              <w:t>K</w:t>
            </w:r>
            <w:r w:rsidRPr="004907B0">
              <w:rPr>
                <w:rFonts w:cs="Tahoma"/>
                <w:sz w:val="22"/>
                <w:szCs w:val="22"/>
                <w:vertAlign w:val="subscript"/>
              </w:rPr>
              <w:t>dejavnost</w:t>
            </w:r>
          </w:p>
        </w:tc>
        <w:tc>
          <w:tcPr>
            <w:tcW w:w="8168" w:type="dxa"/>
          </w:tcPr>
          <w:p w14:paraId="1AF2ED8E" w14:textId="77777777" w:rsidR="004907B0" w:rsidRPr="004907B0" w:rsidRDefault="004907B0" w:rsidP="00C530B0">
            <w:pPr>
              <w:pStyle w:val="Telobesedila"/>
              <w:snapToGrid w:val="0"/>
              <w:rPr>
                <w:rFonts w:cs="Arial"/>
                <w:sz w:val="22"/>
                <w:szCs w:val="22"/>
              </w:rPr>
            </w:pPr>
            <w:r w:rsidRPr="004907B0">
              <w:rPr>
                <w:rFonts w:cs="Arial"/>
                <w:sz w:val="22"/>
                <w:szCs w:val="22"/>
              </w:rPr>
              <w:t>-</w:t>
            </w:r>
            <w:r w:rsidRPr="004907B0">
              <w:rPr>
                <w:sz w:val="22"/>
                <w:szCs w:val="22"/>
              </w:rPr>
              <w:t xml:space="preserve"> faktor dejavnosti se določi za posamezne vrste objektov glede na dejavnost (od 0,7 do 1,3)</w:t>
            </w:r>
          </w:p>
        </w:tc>
      </w:tr>
    </w:tbl>
    <w:p w14:paraId="5A9A2ABA" w14:textId="77777777" w:rsidR="004907B0" w:rsidRPr="004907B0" w:rsidRDefault="004907B0" w:rsidP="004907B0"/>
    <w:p w14:paraId="67660E4A" w14:textId="77777777" w:rsidR="004907B0" w:rsidRPr="004907B0" w:rsidRDefault="004907B0" w:rsidP="004907B0">
      <w:pPr>
        <w:jc w:val="both"/>
      </w:pPr>
      <w:r w:rsidRPr="004907B0">
        <w:t>Pri izračunu komunalnega prispevka se bodo podatki, o stavbišču objekta in neto tlorisne površine, zajemali iz uradnih evidenc Geodetske uprave Republike Slovenije.</w:t>
      </w:r>
    </w:p>
    <w:p w14:paraId="513F1C3A" w14:textId="77777777" w:rsidR="004907B0" w:rsidRPr="004907B0" w:rsidRDefault="004907B0" w:rsidP="004907B0">
      <w:pPr>
        <w:jc w:val="both"/>
      </w:pPr>
    </w:p>
    <w:p w14:paraId="7D2AB3C2" w14:textId="77777777" w:rsidR="004907B0" w:rsidRPr="004907B0" w:rsidRDefault="004907B0" w:rsidP="004907B0">
      <w:pPr>
        <w:jc w:val="both"/>
      </w:pPr>
    </w:p>
    <w:p w14:paraId="6A3F1FBF" w14:textId="77777777" w:rsidR="004907B0" w:rsidRPr="004907B0" w:rsidRDefault="004907B0" w:rsidP="004907B0">
      <w:pPr>
        <w:jc w:val="center"/>
      </w:pPr>
      <w:r w:rsidRPr="004907B0">
        <w:t>14. člen</w:t>
      </w:r>
    </w:p>
    <w:p w14:paraId="12B1CF69" w14:textId="77777777" w:rsidR="004907B0" w:rsidRPr="004907B0" w:rsidRDefault="004907B0" w:rsidP="004907B0"/>
    <w:p w14:paraId="4A6EADA2" w14:textId="77777777" w:rsidR="004907B0" w:rsidRPr="004907B0" w:rsidRDefault="004907B0" w:rsidP="004907B0">
      <w:pPr>
        <w:pStyle w:val="Odstavekseznama"/>
        <w:numPr>
          <w:ilvl w:val="0"/>
          <w:numId w:val="22"/>
        </w:numPr>
        <w:jc w:val="both"/>
      </w:pPr>
      <w:r w:rsidRPr="004907B0">
        <w:t>Obračunski stroški komunalne opreme na enoto mere iz 10. člena tega odloka se pri odmeri komunalnega prispevka indeksirajo ob uporabi povprečnega letnega indeksa cen za posamezno leto, ki ga objavlja Združenje za gradbeništvo v okviru Gospodarske zbornice Slovenije, pod »Gradbena dela – ostala nizka gradnja«.</w:t>
      </w:r>
    </w:p>
    <w:p w14:paraId="13080C6D" w14:textId="77777777" w:rsidR="004907B0" w:rsidRPr="004907B0" w:rsidRDefault="004907B0" w:rsidP="004907B0">
      <w:pPr>
        <w:pStyle w:val="Odstavekseznama"/>
        <w:numPr>
          <w:ilvl w:val="0"/>
          <w:numId w:val="22"/>
        </w:numPr>
        <w:jc w:val="both"/>
      </w:pPr>
      <w:r w:rsidRPr="004907B0">
        <w:t xml:space="preserve">Izhodiščni datum za indeksiranje je datum uveljavitve Programa opremljanja. </w:t>
      </w:r>
    </w:p>
    <w:p w14:paraId="36D16CA4" w14:textId="77777777" w:rsidR="004907B0" w:rsidRPr="004907B0" w:rsidRDefault="004907B0" w:rsidP="004907B0">
      <w:pPr>
        <w:jc w:val="both"/>
      </w:pPr>
    </w:p>
    <w:p w14:paraId="1B41AE84" w14:textId="77777777" w:rsidR="004907B0" w:rsidRPr="004907B0" w:rsidRDefault="004907B0" w:rsidP="004907B0">
      <w:pPr>
        <w:jc w:val="both"/>
      </w:pPr>
    </w:p>
    <w:p w14:paraId="41D0B6C0" w14:textId="77777777" w:rsidR="004907B0" w:rsidRPr="004907B0" w:rsidRDefault="004907B0" w:rsidP="004907B0">
      <w:pPr>
        <w:jc w:val="both"/>
      </w:pPr>
    </w:p>
    <w:p w14:paraId="7EFFB172" w14:textId="77777777" w:rsidR="004907B0" w:rsidRPr="004907B0" w:rsidRDefault="004907B0" w:rsidP="004907B0">
      <w:pPr>
        <w:jc w:val="center"/>
      </w:pPr>
      <w:r w:rsidRPr="004907B0">
        <w:t>15. člen</w:t>
      </w:r>
    </w:p>
    <w:p w14:paraId="3247707B" w14:textId="77777777" w:rsidR="004907B0" w:rsidRPr="004907B0" w:rsidRDefault="004907B0" w:rsidP="004907B0">
      <w:pPr>
        <w:jc w:val="both"/>
      </w:pPr>
    </w:p>
    <w:p w14:paraId="79B2E124" w14:textId="77777777" w:rsidR="004907B0" w:rsidRPr="004907B0" w:rsidRDefault="004907B0" w:rsidP="004907B0">
      <w:pPr>
        <w:pStyle w:val="Odstavekseznama"/>
        <w:numPr>
          <w:ilvl w:val="0"/>
          <w:numId w:val="23"/>
        </w:numPr>
        <w:jc w:val="both"/>
      </w:pPr>
      <w:r w:rsidRPr="004907B0">
        <w:t>Občina bo komunalni prispevek po tem odloku obračunala za primarno in sekundarno kanalizacijo, na območju naselij, ki so navedena v 4. členu tega odloka (Cerklje na Gorenjskem, Dvorje, Glinje, Grad, Lahovče, Poženik, Pšata, Spodnji Brnik, Šmartno, Vašca, Vopovlje, Zalog pri Cerkljah in Zgornji Brnik).</w:t>
      </w:r>
    </w:p>
    <w:p w14:paraId="5E7426B3" w14:textId="77777777" w:rsidR="004907B0" w:rsidRPr="004907B0" w:rsidRDefault="004907B0" w:rsidP="004907B0">
      <w:pPr>
        <w:pStyle w:val="Odstavekseznama"/>
        <w:numPr>
          <w:ilvl w:val="0"/>
          <w:numId w:val="23"/>
        </w:numPr>
        <w:jc w:val="both"/>
      </w:pPr>
      <w:r w:rsidRPr="004907B0">
        <w:t>Občina bo komunalni prispevek po tem odloku za obstoječe objekte območja poslovnih con Letališča obračunala za primarno kanalizacijsko omrežje.</w:t>
      </w:r>
    </w:p>
    <w:p w14:paraId="28FD8E59" w14:textId="77777777" w:rsidR="004907B0" w:rsidRPr="004907B0" w:rsidRDefault="004907B0" w:rsidP="004907B0">
      <w:pPr>
        <w:jc w:val="both"/>
      </w:pPr>
    </w:p>
    <w:p w14:paraId="224AC6B3" w14:textId="77777777" w:rsidR="004907B0" w:rsidRPr="004907B0" w:rsidRDefault="004907B0" w:rsidP="004907B0">
      <w:pPr>
        <w:jc w:val="both"/>
      </w:pPr>
    </w:p>
    <w:p w14:paraId="29B576C1" w14:textId="77777777" w:rsidR="004907B0" w:rsidRPr="004907B0" w:rsidRDefault="004907B0" w:rsidP="004907B0">
      <w:pPr>
        <w:jc w:val="center"/>
      </w:pPr>
      <w:r w:rsidRPr="004907B0">
        <w:t>3. Postopek odmere komunalnega prispevka</w:t>
      </w:r>
    </w:p>
    <w:p w14:paraId="319986A8" w14:textId="77777777" w:rsidR="004907B0" w:rsidRPr="004907B0" w:rsidRDefault="004907B0" w:rsidP="004907B0">
      <w:pPr>
        <w:jc w:val="center"/>
      </w:pPr>
    </w:p>
    <w:p w14:paraId="69CFABE0" w14:textId="77777777" w:rsidR="004907B0" w:rsidRPr="004907B0" w:rsidRDefault="004907B0" w:rsidP="004907B0">
      <w:pPr>
        <w:jc w:val="center"/>
      </w:pPr>
      <w:r w:rsidRPr="004907B0">
        <w:t>16. člen</w:t>
      </w:r>
    </w:p>
    <w:p w14:paraId="5F01B033" w14:textId="77777777" w:rsidR="004907B0" w:rsidRPr="004907B0" w:rsidRDefault="004907B0" w:rsidP="004907B0">
      <w:pPr>
        <w:spacing w:before="120"/>
        <w:jc w:val="both"/>
      </w:pPr>
      <w:r w:rsidRPr="004907B0">
        <w:t>(1) Za zavezance iz 11. člena tega odloka postopek za odmero komunalnega prispevka uvede občinska uprava po uradni dolžnosti, z izdajo odločbe o plačilu komunalnega prispevka.</w:t>
      </w:r>
    </w:p>
    <w:p w14:paraId="5ED19015" w14:textId="77777777" w:rsidR="004907B0" w:rsidRPr="004907B0" w:rsidRDefault="004907B0" w:rsidP="004907B0">
      <w:pPr>
        <w:spacing w:before="120"/>
        <w:jc w:val="both"/>
      </w:pPr>
      <w:r w:rsidRPr="004907B0">
        <w:t xml:space="preserve">(2) Odmera komunalnega prispevka se opravi na podlagi podatkov iz javnih evidenc o nepremičninah, o osebah, ki so v 11. členu tega odloka določene kot zavezanec. </w:t>
      </w:r>
    </w:p>
    <w:p w14:paraId="289163A0" w14:textId="77777777" w:rsidR="004907B0" w:rsidRPr="004907B0" w:rsidRDefault="004907B0" w:rsidP="004907B0">
      <w:pPr>
        <w:spacing w:before="120"/>
        <w:jc w:val="both"/>
      </w:pPr>
      <w:r w:rsidRPr="004907B0">
        <w:t>(3) Komunalni prispevek po tem odloku se lahko plača v enkratnem (celotnem) znesku ali v največ dvajsetih (20) zaporednih mesečnih obrokih, prvi obrok se plača v roku 30 dni od dokončnosti te odločbe, to je najkasneje 45. dan po prejemu (vročitvi) odločbe, nato vsak naslednji mesec sledijo še preostali obroki. Znesek posameznega obroka ne sme biti manjši od 50,00 EUR.</w:t>
      </w:r>
    </w:p>
    <w:p w14:paraId="6CA7BD79" w14:textId="77777777" w:rsidR="004907B0" w:rsidRPr="004907B0" w:rsidRDefault="004907B0" w:rsidP="004907B0">
      <w:pPr>
        <w:spacing w:before="120"/>
        <w:jc w:val="both"/>
      </w:pPr>
      <w:r w:rsidRPr="004907B0">
        <w:t>(4) V primeru, da se zavezanec odloči za obročno odplačevanje (največ 20 obrokov), občino o tem pisno obvesti (z vlogo), nato z občino sklene ustrezno pogodbo (Pogodba o obročnem plačilu komunalnega prispevka).</w:t>
      </w:r>
    </w:p>
    <w:p w14:paraId="7A1CCEAE" w14:textId="3611F916" w:rsidR="004907B0" w:rsidRPr="004907B0" w:rsidRDefault="004907B0" w:rsidP="004907B0">
      <w:pPr>
        <w:spacing w:before="120"/>
        <w:jc w:val="both"/>
      </w:pPr>
      <w:r w:rsidRPr="004907B0">
        <w:t>(5) Zavezanec po prejemu odločbe o plačilu komunalnega prispevka, najkasneje v 30 dneh po prejemu odločbe, občini posreduje kopijo gradbenega dovoljenja, razen za objekte, ki so bili zgrajeni pred 31. decembrom 1967 ali katerega koli drugega upravičenega razloga po veljavnem zakonu o graditvi objektov.</w:t>
      </w:r>
    </w:p>
    <w:p w14:paraId="3E31CFA3" w14:textId="77777777" w:rsidR="004907B0" w:rsidRPr="004907B0" w:rsidRDefault="004907B0" w:rsidP="004907B0">
      <w:pPr>
        <w:spacing w:before="120"/>
        <w:jc w:val="both"/>
      </w:pPr>
      <w:r w:rsidRPr="004907B0">
        <w:t>(6) Po plačilu komunalnega prispevka ali po sklenitvi pogodbe o obročnem plačilu komunalnega prispevka in plačilu 1. obroka ter izpolnitvi pogoja iz prejšnjega odstavka tega člena, občina izda izvajalcu javne gospodarske službe Komunala Kranj, javno podjetje, d.o.o., potrdilo, da zavezanec izpolnjuje pogoje glede plačila komunalnega prispevka do občine Cerklje na Gorenjskem.</w:t>
      </w:r>
    </w:p>
    <w:p w14:paraId="17F785BF" w14:textId="77777777" w:rsidR="004907B0" w:rsidRPr="004907B0" w:rsidRDefault="004907B0" w:rsidP="004907B0">
      <w:pPr>
        <w:widowControl w:val="0"/>
        <w:suppressAutoHyphens/>
        <w:ind w:left="420"/>
        <w:jc w:val="center"/>
        <w:rPr>
          <w:rFonts w:cs="Arial"/>
        </w:rPr>
      </w:pPr>
    </w:p>
    <w:p w14:paraId="0DD2A896" w14:textId="77777777" w:rsidR="004907B0" w:rsidRPr="004907B0" w:rsidRDefault="004907B0" w:rsidP="004907B0">
      <w:pPr>
        <w:widowControl w:val="0"/>
        <w:suppressAutoHyphens/>
        <w:ind w:left="420"/>
        <w:jc w:val="center"/>
        <w:rPr>
          <w:rFonts w:cs="Arial"/>
        </w:rPr>
      </w:pPr>
      <w:r w:rsidRPr="004907B0">
        <w:rPr>
          <w:rFonts w:cs="Arial"/>
        </w:rPr>
        <w:t>17. člen</w:t>
      </w:r>
    </w:p>
    <w:p w14:paraId="659A3ECF" w14:textId="77777777" w:rsidR="004907B0" w:rsidRPr="004907B0" w:rsidRDefault="004907B0" w:rsidP="004907B0">
      <w:pPr>
        <w:widowControl w:val="0"/>
        <w:suppressAutoHyphens/>
        <w:ind w:left="420"/>
        <w:jc w:val="both"/>
        <w:rPr>
          <w:rFonts w:cs="Arial"/>
        </w:rPr>
      </w:pPr>
    </w:p>
    <w:p w14:paraId="69686D81" w14:textId="77777777" w:rsidR="004907B0" w:rsidRPr="004907B0" w:rsidRDefault="004907B0" w:rsidP="004907B0">
      <w:pPr>
        <w:widowControl w:val="0"/>
        <w:suppressAutoHyphens/>
        <w:jc w:val="both"/>
        <w:rPr>
          <w:rFonts w:cs="Arial"/>
        </w:rPr>
      </w:pPr>
      <w:r w:rsidRPr="004907B0">
        <w:rPr>
          <w:rFonts w:cs="Arial"/>
        </w:rPr>
        <w:t>Stroški izgradnje zasebnega priključka so dodatni stroški zavezanca in ne vplivajo na višino odmerjenega komunalnega prispevka. Sam priključek na javno kanalizacijsko omrežje mora biti potrjen s strani upravljavca javnega kanalizacijskega omrežja.</w:t>
      </w:r>
    </w:p>
    <w:p w14:paraId="0589F516" w14:textId="77777777" w:rsidR="004907B0" w:rsidRDefault="004907B0" w:rsidP="00010A0D">
      <w:pPr>
        <w:widowControl w:val="0"/>
        <w:suppressAutoHyphens/>
        <w:rPr>
          <w:rFonts w:cs="Arial"/>
        </w:rPr>
      </w:pPr>
    </w:p>
    <w:p w14:paraId="1E7385F0" w14:textId="77777777" w:rsidR="00010A0D" w:rsidRPr="004907B0" w:rsidRDefault="00010A0D" w:rsidP="00010A0D">
      <w:pPr>
        <w:widowControl w:val="0"/>
        <w:suppressAutoHyphens/>
        <w:rPr>
          <w:rFonts w:cs="Arial"/>
        </w:rPr>
      </w:pPr>
    </w:p>
    <w:p w14:paraId="188C13A7" w14:textId="0207ED18" w:rsidR="004907B0" w:rsidRPr="004907B0" w:rsidRDefault="00010A0D" w:rsidP="004907B0">
      <w:pPr>
        <w:widowControl w:val="0"/>
        <w:suppressAutoHyphens/>
        <w:jc w:val="center"/>
        <w:rPr>
          <w:rFonts w:cs="Arial"/>
        </w:rPr>
      </w:pPr>
      <w:r>
        <w:rPr>
          <w:rFonts w:cs="Arial"/>
        </w:rPr>
        <w:t>VIII</w:t>
      </w:r>
      <w:r w:rsidR="004907B0" w:rsidRPr="004907B0">
        <w:rPr>
          <w:rFonts w:cs="Arial"/>
        </w:rPr>
        <w:t>. PRAVNA SREDSTVA</w:t>
      </w:r>
    </w:p>
    <w:p w14:paraId="50DAAC28" w14:textId="77777777" w:rsidR="004907B0" w:rsidRPr="004907B0" w:rsidRDefault="004907B0" w:rsidP="004907B0">
      <w:pPr>
        <w:widowControl w:val="0"/>
        <w:suppressAutoHyphens/>
        <w:rPr>
          <w:rFonts w:cs="Arial"/>
        </w:rPr>
      </w:pPr>
    </w:p>
    <w:p w14:paraId="700B671A" w14:textId="22DB656C" w:rsidR="004907B0" w:rsidRPr="004907B0" w:rsidRDefault="004907B0" w:rsidP="004907B0">
      <w:pPr>
        <w:widowControl w:val="0"/>
        <w:suppressAutoHyphens/>
        <w:jc w:val="center"/>
        <w:rPr>
          <w:rFonts w:cs="Arial"/>
        </w:rPr>
      </w:pPr>
      <w:r w:rsidRPr="004907B0">
        <w:rPr>
          <w:rFonts w:cs="Arial"/>
        </w:rPr>
        <w:t>1</w:t>
      </w:r>
      <w:r w:rsidR="00010A0D">
        <w:rPr>
          <w:rFonts w:cs="Arial"/>
        </w:rPr>
        <w:t>8</w:t>
      </w:r>
      <w:r w:rsidRPr="004907B0">
        <w:rPr>
          <w:rFonts w:cs="Arial"/>
        </w:rPr>
        <w:t xml:space="preserve">. člen </w:t>
      </w:r>
    </w:p>
    <w:p w14:paraId="007F31DB" w14:textId="77777777" w:rsidR="004907B0" w:rsidRPr="004907B0" w:rsidRDefault="004907B0" w:rsidP="004907B0">
      <w:pPr>
        <w:widowControl w:val="0"/>
        <w:suppressAutoHyphens/>
        <w:jc w:val="center"/>
        <w:rPr>
          <w:rFonts w:cs="Arial"/>
        </w:rPr>
      </w:pPr>
    </w:p>
    <w:p w14:paraId="2AA85722" w14:textId="77777777" w:rsidR="004907B0" w:rsidRPr="00017A33" w:rsidRDefault="00017A33" w:rsidP="005C329F">
      <w:pPr>
        <w:widowControl w:val="0"/>
        <w:suppressAutoHyphens/>
        <w:spacing w:before="120" w:after="120"/>
        <w:jc w:val="both"/>
        <w:rPr>
          <w:rFonts w:cs="Arial"/>
        </w:rPr>
      </w:pPr>
      <w:r>
        <w:rPr>
          <w:rFonts w:cs="Arial"/>
        </w:rPr>
        <w:t xml:space="preserve">(1) </w:t>
      </w:r>
      <w:r w:rsidR="004907B0" w:rsidRPr="00017A33">
        <w:rPr>
          <w:rFonts w:cs="Arial"/>
        </w:rPr>
        <w:t>Zoper odločbo o odmeri komunalnega prispevka je dovoljena pritožba v skladu z zakonodajo.</w:t>
      </w:r>
    </w:p>
    <w:p w14:paraId="17236C27" w14:textId="77777777" w:rsidR="004907B0" w:rsidRPr="004907B0" w:rsidRDefault="00017A33" w:rsidP="005C329F">
      <w:pPr>
        <w:widowControl w:val="0"/>
        <w:suppressAutoHyphens/>
        <w:spacing w:before="120" w:after="120"/>
        <w:jc w:val="both"/>
        <w:rPr>
          <w:rFonts w:cs="Arial"/>
        </w:rPr>
      </w:pPr>
      <w:r>
        <w:rPr>
          <w:rFonts w:cs="Arial"/>
        </w:rPr>
        <w:t>(2)</w:t>
      </w:r>
      <w:r w:rsidR="004907B0" w:rsidRPr="004907B0">
        <w:rPr>
          <w:rFonts w:cs="Arial"/>
        </w:rPr>
        <w:t xml:space="preserve"> Pritožba, ki se nanaša na podatke o nepremičninah, na podatke o osebah, ki so določeni kot zavezanci v 11. členu tega odloka, mora vsebovati listine, in druge dokaze, s katerimi zavezanec izpodbija izdano odločbo. O pritožbi odloča župan občine Cerklje na Gorenjskem.</w:t>
      </w:r>
    </w:p>
    <w:p w14:paraId="44F8C702" w14:textId="77777777" w:rsidR="004907B0" w:rsidRPr="004907B0" w:rsidRDefault="004907B0" w:rsidP="004907B0">
      <w:pPr>
        <w:jc w:val="both"/>
      </w:pPr>
    </w:p>
    <w:p w14:paraId="16F767B7" w14:textId="77777777" w:rsidR="004907B0" w:rsidRPr="004907B0" w:rsidRDefault="004907B0" w:rsidP="004907B0">
      <w:pPr>
        <w:jc w:val="both"/>
      </w:pPr>
    </w:p>
    <w:p w14:paraId="2C529A51" w14:textId="55CEB2F2" w:rsidR="004907B0" w:rsidRPr="004907B0" w:rsidRDefault="00010A0D" w:rsidP="004907B0">
      <w:pPr>
        <w:jc w:val="center"/>
      </w:pPr>
      <w:r>
        <w:t>I</w:t>
      </w:r>
      <w:r w:rsidR="004907B0" w:rsidRPr="004907B0">
        <w:t>X. PREHODNE IN KONČNE DOLOČBE</w:t>
      </w:r>
    </w:p>
    <w:p w14:paraId="77F6F029" w14:textId="77777777" w:rsidR="004907B0" w:rsidRPr="004907B0" w:rsidRDefault="004907B0" w:rsidP="004907B0"/>
    <w:p w14:paraId="7C7070C6" w14:textId="77777777" w:rsidR="004907B0" w:rsidRDefault="004907B0" w:rsidP="004907B0"/>
    <w:p w14:paraId="577CAC1E" w14:textId="4D620E4E" w:rsidR="00E1332A" w:rsidRDefault="00E1332A" w:rsidP="00E1332A">
      <w:pPr>
        <w:jc w:val="both"/>
        <w:rPr>
          <w:b/>
        </w:rPr>
      </w:pPr>
      <w:r w:rsidRPr="00E1332A">
        <w:rPr>
          <w:b/>
        </w:rPr>
        <w:t>Odlok o programu opremljanja stavbnih zemljišč in merilih za odmero komunalnega prispevka za kanalizacijo komunalnih odpadnih vod, ki je bila zgrajena v obdobju 2008-2013 in bo zgrajena v obdobju 2014-2015 v občini Cerklje na Gorenjskem (Uradni vestnik občine Cerklje na Gorenjskem št. 1/2014)</w:t>
      </w:r>
      <w:r w:rsidR="00120E21">
        <w:rPr>
          <w:b/>
        </w:rPr>
        <w:t xml:space="preserve"> vsebuje naslednje p</w:t>
      </w:r>
      <w:r w:rsidR="00BB034E">
        <w:rPr>
          <w:b/>
        </w:rPr>
        <w:t>rehodne in končne določbe:</w:t>
      </w:r>
    </w:p>
    <w:p w14:paraId="1544FCFB" w14:textId="185DDE43" w:rsidR="00E1332A" w:rsidRDefault="00E1332A" w:rsidP="00E1332A">
      <w:pPr>
        <w:jc w:val="center"/>
      </w:pPr>
      <w:r>
        <w:t>19. člen</w:t>
      </w:r>
    </w:p>
    <w:p w14:paraId="12A9D505" w14:textId="77777777" w:rsidR="00E1332A" w:rsidRDefault="00E1332A" w:rsidP="00E1332A">
      <w:pPr>
        <w:jc w:val="both"/>
      </w:pPr>
    </w:p>
    <w:p w14:paraId="703756A2" w14:textId="15955C1D" w:rsidR="00E1332A" w:rsidRDefault="00E1332A" w:rsidP="00E1332A">
      <w:pPr>
        <w:jc w:val="both"/>
      </w:pPr>
      <w:r w:rsidRPr="004907B0">
        <w:t>Program opremljanja s prilogami, je na vpogled na sedežu Občine Cerklje na Gorenjskem, Trg Davorina Jenka</w:t>
      </w:r>
      <w:r>
        <w:t xml:space="preserve"> 13, 4207 Cerklje na Gorenjskem.</w:t>
      </w:r>
    </w:p>
    <w:p w14:paraId="21FA2CCC" w14:textId="77777777" w:rsidR="00E1332A" w:rsidRDefault="00E1332A" w:rsidP="00E1332A">
      <w:pPr>
        <w:jc w:val="both"/>
      </w:pPr>
    </w:p>
    <w:p w14:paraId="1DFB7B63" w14:textId="037D9B50" w:rsidR="00E1332A" w:rsidRDefault="00E1332A" w:rsidP="00E1332A">
      <w:pPr>
        <w:jc w:val="center"/>
      </w:pPr>
      <w:r>
        <w:t>20. člen</w:t>
      </w:r>
    </w:p>
    <w:p w14:paraId="53B936F1" w14:textId="77777777" w:rsidR="00E1332A" w:rsidRDefault="00E1332A" w:rsidP="00E1332A">
      <w:pPr>
        <w:jc w:val="both"/>
      </w:pPr>
    </w:p>
    <w:p w14:paraId="04BC04CA" w14:textId="03D9623C" w:rsidR="00E1332A" w:rsidRDefault="00E1332A" w:rsidP="00E1332A">
      <w:pPr>
        <w:jc w:val="both"/>
      </w:pPr>
      <w:r w:rsidRPr="00E1332A">
        <w:t>Ta odlok začne veljati naslednji dan po objavi v Uradnem vestniku Občine Cerklje na Gorenjskem.</w:t>
      </w:r>
    </w:p>
    <w:p w14:paraId="459A3BC3" w14:textId="77777777" w:rsidR="00E1332A" w:rsidRPr="00E1332A" w:rsidRDefault="00E1332A" w:rsidP="00E1332A">
      <w:pPr>
        <w:jc w:val="both"/>
        <w:rPr>
          <w:b/>
        </w:rPr>
      </w:pPr>
    </w:p>
    <w:p w14:paraId="48F388DF" w14:textId="50534B19" w:rsidR="00E1332A" w:rsidRDefault="00E1332A" w:rsidP="00E1332A">
      <w:pPr>
        <w:jc w:val="both"/>
        <w:rPr>
          <w:b/>
        </w:rPr>
      </w:pPr>
      <w:r w:rsidRPr="00E1332A">
        <w:rPr>
          <w:b/>
        </w:rPr>
        <w:t>Odlok o spremembah in dopolnitvah Odloka o programu opremljanja stavbnih zemljišč in merilih za odmero komunalnega prispevka za kanalizacijo komunalnih odpadnih vod, ki je bila zgrajena v obdobju 2008-2013 in bo zgrajena v obdobju 2014-2015 v občini Cerklje na Gorenjskem (Uradni vestnik občine Cerklje na Gorenjskem št. 2/2015)</w:t>
      </w:r>
      <w:r w:rsidR="00BB034E" w:rsidRPr="00BB034E">
        <w:rPr>
          <w:b/>
        </w:rPr>
        <w:t xml:space="preserve"> </w:t>
      </w:r>
      <w:r w:rsidR="00120E21">
        <w:rPr>
          <w:b/>
        </w:rPr>
        <w:t>vsebuje naslednje prehodne in končne določbe:</w:t>
      </w:r>
    </w:p>
    <w:p w14:paraId="0A69FD46" w14:textId="77777777" w:rsidR="00120E21" w:rsidRPr="00E1332A" w:rsidRDefault="00120E21" w:rsidP="00E1332A">
      <w:pPr>
        <w:jc w:val="both"/>
        <w:rPr>
          <w:b/>
        </w:rPr>
      </w:pPr>
    </w:p>
    <w:p w14:paraId="32A3E21C" w14:textId="55CF66CC" w:rsidR="00E1332A" w:rsidRDefault="00E1332A" w:rsidP="00E1332A">
      <w:pPr>
        <w:jc w:val="center"/>
      </w:pPr>
      <w:r>
        <w:t>2. člen</w:t>
      </w:r>
    </w:p>
    <w:p w14:paraId="126A1A82" w14:textId="77777777" w:rsidR="00E1332A" w:rsidRDefault="00E1332A" w:rsidP="00E1332A">
      <w:pPr>
        <w:jc w:val="both"/>
      </w:pPr>
    </w:p>
    <w:p w14:paraId="54262111" w14:textId="331A48DD" w:rsidR="00E1332A" w:rsidRDefault="00E1332A" w:rsidP="00E1332A">
      <w:pPr>
        <w:jc w:val="both"/>
      </w:pPr>
      <w:r w:rsidRPr="00E1332A">
        <w:t>Ta odlok začne veljati naslednji dan po objavi v Uradnem vestniku Občine Cerklje na Gorenjskem.</w:t>
      </w:r>
    </w:p>
    <w:p w14:paraId="02C2A05A" w14:textId="77777777" w:rsidR="00BB034E" w:rsidRDefault="00BB034E" w:rsidP="00E1332A">
      <w:pPr>
        <w:jc w:val="both"/>
      </w:pPr>
    </w:p>
    <w:p w14:paraId="10A78BA2" w14:textId="1937BD68" w:rsidR="00E1332A" w:rsidRDefault="00E1332A" w:rsidP="00E1332A">
      <w:pPr>
        <w:jc w:val="both"/>
        <w:rPr>
          <w:b/>
        </w:rPr>
      </w:pPr>
      <w:r w:rsidRPr="00E1332A">
        <w:rPr>
          <w:b/>
        </w:rPr>
        <w:t>Odlok o spremembah in dopolnitvah programa opremljanja stavbnih zemljišč in merilih za odmero komunalnega prispevka za kanalizacijo komunalnih odpadnih vod, ki je bila zgrajena v obdobju 2008-2013 in bo zgrajena v obdobju 2014-2015 v občini Cerklje na Gorenjskem (Uradni vestnik občine Cerklje na Gorenjskem št. 3/2015)</w:t>
      </w:r>
      <w:r w:rsidR="00BB034E">
        <w:rPr>
          <w:b/>
        </w:rPr>
        <w:t xml:space="preserve"> </w:t>
      </w:r>
      <w:r w:rsidR="00120E21">
        <w:rPr>
          <w:b/>
        </w:rPr>
        <w:t>vsebuje naslednje prehodne in končne določbe:</w:t>
      </w:r>
    </w:p>
    <w:p w14:paraId="421C49AD" w14:textId="77777777" w:rsidR="00E1332A" w:rsidRDefault="00E1332A" w:rsidP="00E1332A">
      <w:pPr>
        <w:jc w:val="both"/>
        <w:rPr>
          <w:b/>
        </w:rPr>
      </w:pPr>
    </w:p>
    <w:p w14:paraId="52435700" w14:textId="472FBDD1" w:rsidR="00E1332A" w:rsidRDefault="00E1332A" w:rsidP="00E1332A">
      <w:pPr>
        <w:jc w:val="center"/>
      </w:pPr>
      <w:r>
        <w:t>8. člen</w:t>
      </w:r>
    </w:p>
    <w:p w14:paraId="0D91C3C2" w14:textId="77777777" w:rsidR="00E1332A" w:rsidRDefault="00E1332A" w:rsidP="00E1332A">
      <w:pPr>
        <w:jc w:val="center"/>
      </w:pPr>
    </w:p>
    <w:p w14:paraId="2C0FB23C" w14:textId="10D7C2F4" w:rsidR="00E1332A" w:rsidRDefault="00E1332A" w:rsidP="00E1332A">
      <w:pPr>
        <w:jc w:val="both"/>
      </w:pPr>
      <w:r w:rsidRPr="00E1332A">
        <w:t>Ta odlok začne veljati naslednji dan po objavi v Uradnem vestniku Občine Cerklje na Gorenjskem.</w:t>
      </w:r>
    </w:p>
    <w:p w14:paraId="559B017B" w14:textId="77777777" w:rsidR="00EC140C" w:rsidRDefault="00EC140C" w:rsidP="00E1332A">
      <w:pPr>
        <w:jc w:val="both"/>
      </w:pPr>
    </w:p>
    <w:p w14:paraId="3694A6CC" w14:textId="77777777" w:rsidR="00EC140C" w:rsidRDefault="00EC140C" w:rsidP="00E1332A">
      <w:pPr>
        <w:jc w:val="both"/>
      </w:pPr>
    </w:p>
    <w:p w14:paraId="708A25D9" w14:textId="0DC7EFE4" w:rsidR="00120E21" w:rsidRDefault="00120E21" w:rsidP="00E1332A">
      <w:pPr>
        <w:jc w:val="both"/>
        <w:rPr>
          <w:b/>
        </w:rPr>
      </w:pPr>
      <w:r w:rsidRPr="00120E21">
        <w:rPr>
          <w:b/>
        </w:rPr>
        <w:t xml:space="preserve">Odlok o spremembah in dopolnitvah programa opremljanja stavbnih zemljišč in merilih za odmero komunalnega prispevka za kanalizacijo komunalnih odpadnih vod, ki je bila zgrajena v obdobju 2008-2013 in bo zgrajena v obdobju 2014-2015 v občini Cerklje na Gorenjskem (Uradni vestnik občine Cerklje na Gorenjskem št. 4 /2015) </w:t>
      </w:r>
      <w:r>
        <w:rPr>
          <w:b/>
        </w:rPr>
        <w:t>vsebuje naslednje prehodne in končne določbe:</w:t>
      </w:r>
    </w:p>
    <w:p w14:paraId="7EDAEE03" w14:textId="77777777" w:rsidR="00120E21" w:rsidRDefault="00120E21" w:rsidP="00E1332A">
      <w:pPr>
        <w:jc w:val="both"/>
        <w:rPr>
          <w:b/>
        </w:rPr>
      </w:pPr>
    </w:p>
    <w:p w14:paraId="4CE045EA" w14:textId="77777777" w:rsidR="00010A0D" w:rsidRDefault="00010A0D" w:rsidP="00010A0D">
      <w:pPr>
        <w:jc w:val="center"/>
      </w:pPr>
      <w:r>
        <w:t>6. člen</w:t>
      </w:r>
    </w:p>
    <w:p w14:paraId="52E6F960" w14:textId="77777777" w:rsidR="00010A0D" w:rsidRDefault="00010A0D" w:rsidP="00010A0D">
      <w:pPr>
        <w:jc w:val="both"/>
      </w:pPr>
    </w:p>
    <w:p w14:paraId="01F9A9C7" w14:textId="77777777" w:rsidR="00010A0D" w:rsidRDefault="00010A0D" w:rsidP="00010A0D">
      <w:pPr>
        <w:jc w:val="both"/>
      </w:pPr>
      <w:r>
        <w:t>V poglavje IX. PREHODNE IN KONČNE DOLOČBE, se doda nov 19. člen:</w:t>
      </w:r>
    </w:p>
    <w:p w14:paraId="61F2D8DC" w14:textId="77777777" w:rsidR="00010A0D" w:rsidRDefault="00010A0D" w:rsidP="00010A0D">
      <w:pPr>
        <w:jc w:val="both"/>
      </w:pPr>
    </w:p>
    <w:p w14:paraId="3C765826" w14:textId="77777777" w:rsidR="00010A0D" w:rsidRDefault="00010A0D" w:rsidP="00010A0D">
      <w:pPr>
        <w:jc w:val="both"/>
      </w:pPr>
      <w:r>
        <w:t>»(1) Z izdajo odločb o odmeri komunalnega prispevka na podlagi tega Odloka o spremembah in dopolnitvah programa opremljanja stavbnih zemljišč in merilih za odmero komunalnega prispevka za kanalizacijo komunalnih odpadnih vod, ki je bila zgrajena v obdobju 2008-2013 in bo zgrajena v obdobju 2014-2015 v občini Cerklje na Gorenjskem, prenehajo veljati odločbe o odmeri komunalnega prispevka, izdane na prejšnji pravni podlagi, to je na podlagi doslej veljavnega Odloka o programu opremljanja stavbnih zemljišč in merilih za odmero komunalnega prispevka za kanalizacijo komunalnih odpadnih vod, ki je bila zgrajena v obdobju 2008-2013 in bo zgrajena v obdobju 2014-2015 v občini Cerklje na Gorenjskem (Uradni vestnik občine Cerklje na  Gorenjskem št. 1/14, 2/15 in 3/15) kar se v odločbi izrecno navede.«</w:t>
      </w:r>
    </w:p>
    <w:p w14:paraId="23208DB0" w14:textId="77777777" w:rsidR="00010A0D" w:rsidRDefault="00010A0D" w:rsidP="00010A0D">
      <w:pPr>
        <w:jc w:val="both"/>
      </w:pPr>
    </w:p>
    <w:p w14:paraId="32E85149" w14:textId="77777777" w:rsidR="00010A0D" w:rsidRDefault="00010A0D" w:rsidP="00010A0D">
      <w:pPr>
        <w:jc w:val="both"/>
      </w:pPr>
      <w:r>
        <w:t xml:space="preserve">(2) Zavezancem, ki so na podlagi odločb izdanih na prejšnji pravni podlagi, to je na podlagi doslej veljavnega odloka, že prejeli soglasje o priključitvi na kanalizacijski sistem s strani izvajalca gospodarske javne službe Komunale Kranj, javno podjetje, d.o.o., se razlika v odmeri komunalnega prispevka iz izdanih odločb na podlagi tega Odloka vrne po izpolnitvi obveznosti iz 5 odstavka 16. člena odloka.  </w:t>
      </w:r>
    </w:p>
    <w:p w14:paraId="158327C7" w14:textId="77777777" w:rsidR="00010A0D" w:rsidRDefault="00010A0D" w:rsidP="00010A0D">
      <w:pPr>
        <w:jc w:val="both"/>
      </w:pPr>
      <w:r>
        <w:t xml:space="preserve"> </w:t>
      </w:r>
    </w:p>
    <w:p w14:paraId="6399B0FE" w14:textId="77777777" w:rsidR="00010A0D" w:rsidRDefault="00010A0D" w:rsidP="00010A0D">
      <w:pPr>
        <w:jc w:val="both"/>
      </w:pPr>
      <w:r>
        <w:t>Vsi členi v Odloku o spremembah in dopolnitvah programa opremljanja stavbnih zemljišč in merilih za odmero komunalnega prispevka za kanalizacijo komunalnih odpadnih vod, ki je bila zgrajena v obdobju 2008-2013 in bo zgrajena v obdobju 2014-2015 v občini Cerklje na Gorenjskem se smiselno preštevilčijo.</w:t>
      </w:r>
    </w:p>
    <w:p w14:paraId="280060E2" w14:textId="77777777" w:rsidR="00112E1D" w:rsidRDefault="00112E1D" w:rsidP="00112E1D">
      <w:pPr>
        <w:jc w:val="both"/>
      </w:pPr>
    </w:p>
    <w:p w14:paraId="3191952B" w14:textId="77777777" w:rsidR="00112E1D" w:rsidRDefault="00112E1D" w:rsidP="00112E1D">
      <w:pPr>
        <w:jc w:val="center"/>
      </w:pPr>
      <w:r>
        <w:t>7. člen</w:t>
      </w:r>
    </w:p>
    <w:p w14:paraId="39146F02" w14:textId="77777777" w:rsidR="00112E1D" w:rsidRDefault="00112E1D" w:rsidP="00112E1D">
      <w:pPr>
        <w:jc w:val="both"/>
      </w:pPr>
    </w:p>
    <w:p w14:paraId="5FF37824" w14:textId="77777777" w:rsidR="00112E1D" w:rsidRDefault="00112E1D" w:rsidP="00112E1D">
      <w:pPr>
        <w:jc w:val="both"/>
      </w:pPr>
      <w:r>
        <w:t>Program opremljanja s prilogami, je na vpogled na sedežu Občine Cerklje na Gorenjskem, Trg Davorina Jenka 13, 4207 Cerklje na Gorenjskem.</w:t>
      </w:r>
    </w:p>
    <w:p w14:paraId="1A54E3CF" w14:textId="77777777" w:rsidR="00112E1D" w:rsidRDefault="00112E1D" w:rsidP="00112E1D">
      <w:pPr>
        <w:jc w:val="both"/>
      </w:pPr>
    </w:p>
    <w:p w14:paraId="45B430CD" w14:textId="77777777" w:rsidR="00112E1D" w:rsidRDefault="00112E1D" w:rsidP="00112E1D">
      <w:pPr>
        <w:jc w:val="center"/>
      </w:pPr>
      <w:r>
        <w:t>8. člen</w:t>
      </w:r>
    </w:p>
    <w:p w14:paraId="1D5EAE0E" w14:textId="2CC0EF95" w:rsidR="00112E1D" w:rsidRDefault="00112E1D" w:rsidP="00112E1D">
      <w:pPr>
        <w:jc w:val="both"/>
      </w:pPr>
      <w:r>
        <w:t>Ta odlok začne veljati naslednji dan po objavi v Uradnem vestniku Občine Cerklje na Gorenjskem.</w:t>
      </w:r>
    </w:p>
    <w:p w14:paraId="5E657939" w14:textId="77777777" w:rsidR="00EC140C" w:rsidRDefault="00EC140C" w:rsidP="00E1332A">
      <w:pPr>
        <w:jc w:val="both"/>
      </w:pPr>
    </w:p>
    <w:p w14:paraId="75E87AA9" w14:textId="77777777" w:rsidR="00EC140C" w:rsidRDefault="00EC140C" w:rsidP="00E1332A">
      <w:pPr>
        <w:jc w:val="both"/>
      </w:pPr>
    </w:p>
    <w:p w14:paraId="72B6A85E" w14:textId="77777777" w:rsidR="00EC140C" w:rsidRDefault="00EC140C" w:rsidP="00E1332A">
      <w:pPr>
        <w:jc w:val="both"/>
      </w:pPr>
    </w:p>
    <w:p w14:paraId="64660B78" w14:textId="77777777" w:rsidR="00EC140C" w:rsidRDefault="00EC140C" w:rsidP="00E1332A">
      <w:pPr>
        <w:jc w:val="both"/>
      </w:pPr>
    </w:p>
    <w:p w14:paraId="39D2D508" w14:textId="77777777" w:rsidR="00EC140C" w:rsidRPr="00E1332A" w:rsidRDefault="00EC140C" w:rsidP="00E1332A">
      <w:pPr>
        <w:jc w:val="both"/>
      </w:pPr>
    </w:p>
    <w:p w14:paraId="00A366A0" w14:textId="77777777" w:rsidR="004907B0" w:rsidRPr="004907B0" w:rsidRDefault="004907B0" w:rsidP="004907B0"/>
    <w:p w14:paraId="17A4C3FF" w14:textId="457A75D8" w:rsidR="004907B0" w:rsidRPr="004907B0" w:rsidRDefault="004907B0" w:rsidP="004907B0">
      <w:r w:rsidRPr="004907B0">
        <w:t xml:space="preserve">Številka: </w:t>
      </w:r>
      <w:r w:rsidR="00CA3D85">
        <w:t>032-05/2014-53</w:t>
      </w:r>
      <w:r w:rsidRPr="004907B0">
        <w:t xml:space="preserve">                                                  Občina Cerklje na Gorenjskem</w:t>
      </w:r>
    </w:p>
    <w:p w14:paraId="26FFC623" w14:textId="6346A9AE" w:rsidR="004907B0" w:rsidRPr="004907B0" w:rsidRDefault="004907B0" w:rsidP="004907B0">
      <w:r w:rsidRPr="004907B0">
        <w:t>Datum:</w:t>
      </w:r>
      <w:r w:rsidR="0012349D">
        <w:t xml:space="preserve"> 11</w:t>
      </w:r>
      <w:r w:rsidR="00CA3D85">
        <w:t>.09.2015</w:t>
      </w:r>
      <w:r w:rsidRPr="004907B0">
        <w:t xml:space="preserve">                                                                  </w:t>
      </w:r>
      <w:r w:rsidR="00CA3D85">
        <w:t xml:space="preserve">              </w:t>
      </w:r>
      <w:r w:rsidRPr="004907B0">
        <w:t>Župan</w:t>
      </w:r>
    </w:p>
    <w:p w14:paraId="3D60EA0B" w14:textId="471E37AF" w:rsidR="004907B0" w:rsidRPr="004907B0" w:rsidRDefault="004907B0" w:rsidP="004907B0">
      <w:pPr>
        <w:ind w:left="5664"/>
      </w:pPr>
      <w:r w:rsidRPr="004907B0">
        <w:t xml:space="preserve">         </w:t>
      </w:r>
      <w:r w:rsidR="00BB034E">
        <w:t xml:space="preserve">  Franc Čebul</w:t>
      </w:r>
      <w:r w:rsidR="006031EC">
        <w:t>j</w:t>
      </w:r>
      <w:r w:rsidR="00593D5C">
        <w:t xml:space="preserve"> l.r.</w:t>
      </w:r>
    </w:p>
    <w:p w14:paraId="49FF8877" w14:textId="77777777" w:rsidR="004907B0" w:rsidRPr="004907B0" w:rsidRDefault="004907B0" w:rsidP="004907B0">
      <w:r w:rsidRPr="004907B0">
        <w:br w:type="page"/>
      </w:r>
    </w:p>
    <w:p w14:paraId="6B2324EE" w14:textId="77777777" w:rsidR="004907B0" w:rsidRPr="004907B0" w:rsidRDefault="004907B0" w:rsidP="004907B0">
      <w:pPr>
        <w:widowControl w:val="0"/>
        <w:suppressAutoHyphens/>
        <w:jc w:val="both"/>
        <w:rPr>
          <w:rFonts w:eastAsia="Tahoma"/>
          <w:b/>
          <w:u w:val="single"/>
          <w:lang w:eastAsia="ar-SA"/>
        </w:rPr>
      </w:pPr>
      <w:r w:rsidRPr="004907B0">
        <w:rPr>
          <w:rFonts w:eastAsia="Tahoma"/>
          <w:b/>
          <w:u w:val="single"/>
          <w:lang w:eastAsia="ar-SA"/>
        </w:rPr>
        <w:t>PRILOGA 1:</w:t>
      </w:r>
    </w:p>
    <w:p w14:paraId="3E4CA749" w14:textId="77777777" w:rsidR="004907B0" w:rsidRPr="004907B0" w:rsidRDefault="004907B0" w:rsidP="004907B0">
      <w:pPr>
        <w:widowControl w:val="0"/>
        <w:suppressAutoHyphens/>
        <w:jc w:val="both"/>
        <w:rPr>
          <w:rFonts w:eastAsia="Tahoma"/>
          <w:b/>
          <w:lang w:eastAsia="ar-SA"/>
        </w:rPr>
      </w:pPr>
    </w:p>
    <w:p w14:paraId="1DBA79DB" w14:textId="77777777" w:rsidR="004907B0" w:rsidRPr="004907B0" w:rsidRDefault="004907B0" w:rsidP="004907B0">
      <w:pPr>
        <w:widowControl w:val="0"/>
        <w:suppressAutoHyphens/>
        <w:jc w:val="both"/>
        <w:rPr>
          <w:rFonts w:eastAsia="Tahoma"/>
          <w:lang w:eastAsia="ar-SA"/>
        </w:rPr>
      </w:pPr>
      <w:r w:rsidRPr="004907B0">
        <w:rPr>
          <w:rFonts w:eastAsia="Tahoma"/>
          <w:b/>
          <w:lang w:eastAsia="ar-SA"/>
        </w:rPr>
        <w:t xml:space="preserve">Tabela 1: </w:t>
      </w:r>
      <w:r w:rsidRPr="004907B0">
        <w:rPr>
          <w:rFonts w:eastAsia="Tahoma"/>
          <w:lang w:eastAsia="ar-SA"/>
        </w:rPr>
        <w:t>Faktor dejavnosti (Kdej) za izračun komunalnega prispevka za posamezne vrste objektov glede na pretežno dejavnost.</w:t>
      </w:r>
    </w:p>
    <w:p w14:paraId="15E19456" w14:textId="77777777" w:rsidR="004907B0" w:rsidRPr="004907B0" w:rsidRDefault="004907B0" w:rsidP="004907B0"/>
    <w:tbl>
      <w:tblPr>
        <w:tblW w:w="981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7"/>
        <w:gridCol w:w="7624"/>
        <w:gridCol w:w="850"/>
      </w:tblGrid>
      <w:tr w:rsidR="004907B0" w:rsidRPr="004907B0" w14:paraId="69A9D990" w14:textId="77777777" w:rsidTr="00C530B0">
        <w:trPr>
          <w:trHeight w:val="290"/>
        </w:trPr>
        <w:tc>
          <w:tcPr>
            <w:tcW w:w="1337" w:type="dxa"/>
          </w:tcPr>
          <w:p w14:paraId="0A046F8D" w14:textId="77777777" w:rsidR="004907B0" w:rsidRPr="004907B0" w:rsidRDefault="004907B0" w:rsidP="00C530B0">
            <w:pPr>
              <w:autoSpaceDE w:val="0"/>
              <w:autoSpaceDN w:val="0"/>
              <w:adjustRightInd w:val="0"/>
              <w:jc w:val="center"/>
              <w:rPr>
                <w:b/>
                <w:bCs/>
                <w:sz w:val="20"/>
                <w:szCs w:val="20"/>
              </w:rPr>
            </w:pPr>
            <w:r w:rsidRPr="004907B0">
              <w:rPr>
                <w:b/>
                <w:bCs/>
                <w:sz w:val="20"/>
                <w:szCs w:val="20"/>
              </w:rPr>
              <w:t>Klasifik. št.</w:t>
            </w:r>
          </w:p>
        </w:tc>
        <w:tc>
          <w:tcPr>
            <w:tcW w:w="7624" w:type="dxa"/>
          </w:tcPr>
          <w:p w14:paraId="67383290" w14:textId="77777777" w:rsidR="004907B0" w:rsidRPr="004907B0" w:rsidRDefault="004907B0" w:rsidP="00C530B0">
            <w:pPr>
              <w:autoSpaceDE w:val="0"/>
              <w:autoSpaceDN w:val="0"/>
              <w:adjustRightInd w:val="0"/>
              <w:rPr>
                <w:b/>
                <w:bCs/>
                <w:sz w:val="20"/>
                <w:szCs w:val="20"/>
              </w:rPr>
            </w:pPr>
            <w:r w:rsidRPr="004907B0">
              <w:rPr>
                <w:b/>
                <w:bCs/>
                <w:sz w:val="20"/>
                <w:szCs w:val="20"/>
              </w:rPr>
              <w:t>Klasifikacija</w:t>
            </w:r>
          </w:p>
        </w:tc>
        <w:tc>
          <w:tcPr>
            <w:tcW w:w="850" w:type="dxa"/>
          </w:tcPr>
          <w:p w14:paraId="71F89CF2" w14:textId="77777777" w:rsidR="004907B0" w:rsidRPr="004907B0" w:rsidRDefault="004907B0" w:rsidP="00C530B0">
            <w:pPr>
              <w:autoSpaceDE w:val="0"/>
              <w:autoSpaceDN w:val="0"/>
              <w:adjustRightInd w:val="0"/>
              <w:jc w:val="right"/>
              <w:rPr>
                <w:b/>
                <w:bCs/>
                <w:sz w:val="20"/>
                <w:szCs w:val="20"/>
              </w:rPr>
            </w:pPr>
            <w:r w:rsidRPr="004907B0">
              <w:rPr>
                <w:b/>
                <w:bCs/>
                <w:sz w:val="20"/>
                <w:szCs w:val="20"/>
              </w:rPr>
              <w:t>K</w:t>
            </w:r>
            <w:r w:rsidRPr="004907B0">
              <w:rPr>
                <w:b/>
                <w:bCs/>
                <w:sz w:val="20"/>
                <w:szCs w:val="20"/>
                <w:vertAlign w:val="subscript"/>
              </w:rPr>
              <w:t>dejavnost</w:t>
            </w:r>
          </w:p>
        </w:tc>
      </w:tr>
      <w:tr w:rsidR="004907B0" w:rsidRPr="004907B0" w14:paraId="61E8CF87" w14:textId="77777777" w:rsidTr="00C530B0">
        <w:trPr>
          <w:trHeight w:val="290"/>
        </w:trPr>
        <w:tc>
          <w:tcPr>
            <w:tcW w:w="1337" w:type="dxa"/>
          </w:tcPr>
          <w:p w14:paraId="340C47A6" w14:textId="77777777" w:rsidR="004907B0" w:rsidRPr="004907B0" w:rsidRDefault="004907B0" w:rsidP="00C530B0">
            <w:pPr>
              <w:autoSpaceDE w:val="0"/>
              <w:autoSpaceDN w:val="0"/>
              <w:adjustRightInd w:val="0"/>
              <w:rPr>
                <w:b/>
                <w:bCs/>
                <w:sz w:val="20"/>
                <w:szCs w:val="20"/>
              </w:rPr>
            </w:pPr>
            <w:r w:rsidRPr="004907B0">
              <w:rPr>
                <w:b/>
                <w:bCs/>
                <w:sz w:val="20"/>
                <w:szCs w:val="20"/>
              </w:rPr>
              <w:t>1</w:t>
            </w:r>
          </w:p>
        </w:tc>
        <w:tc>
          <w:tcPr>
            <w:tcW w:w="7624" w:type="dxa"/>
          </w:tcPr>
          <w:p w14:paraId="56257914" w14:textId="77777777" w:rsidR="004907B0" w:rsidRPr="004907B0" w:rsidRDefault="004907B0" w:rsidP="00C530B0">
            <w:pPr>
              <w:autoSpaceDE w:val="0"/>
              <w:autoSpaceDN w:val="0"/>
              <w:adjustRightInd w:val="0"/>
              <w:rPr>
                <w:b/>
                <w:bCs/>
                <w:sz w:val="20"/>
                <w:szCs w:val="20"/>
              </w:rPr>
            </w:pPr>
            <w:r w:rsidRPr="004907B0">
              <w:rPr>
                <w:b/>
                <w:bCs/>
                <w:sz w:val="20"/>
                <w:szCs w:val="20"/>
              </w:rPr>
              <w:t>STAVBE</w:t>
            </w:r>
          </w:p>
        </w:tc>
        <w:tc>
          <w:tcPr>
            <w:tcW w:w="850" w:type="dxa"/>
          </w:tcPr>
          <w:p w14:paraId="76A2E2EF" w14:textId="77777777" w:rsidR="004907B0" w:rsidRPr="004907B0" w:rsidRDefault="004907B0" w:rsidP="00C530B0">
            <w:pPr>
              <w:autoSpaceDE w:val="0"/>
              <w:autoSpaceDN w:val="0"/>
              <w:adjustRightInd w:val="0"/>
              <w:jc w:val="right"/>
              <w:rPr>
                <w:rFonts w:ascii="Calibri" w:hAnsi="Calibri" w:cs="Calibri"/>
                <w:sz w:val="22"/>
                <w:szCs w:val="22"/>
              </w:rPr>
            </w:pPr>
          </w:p>
        </w:tc>
      </w:tr>
      <w:tr w:rsidR="004907B0" w:rsidRPr="004907B0" w14:paraId="51D73FFE" w14:textId="77777777" w:rsidTr="00C530B0">
        <w:trPr>
          <w:trHeight w:val="290"/>
        </w:trPr>
        <w:tc>
          <w:tcPr>
            <w:tcW w:w="1337" w:type="dxa"/>
          </w:tcPr>
          <w:p w14:paraId="3B6E4CAE" w14:textId="77777777" w:rsidR="004907B0" w:rsidRPr="004907B0" w:rsidRDefault="004907B0" w:rsidP="00C530B0">
            <w:pPr>
              <w:autoSpaceDE w:val="0"/>
              <w:autoSpaceDN w:val="0"/>
              <w:adjustRightInd w:val="0"/>
              <w:rPr>
                <w:b/>
                <w:bCs/>
                <w:sz w:val="20"/>
                <w:szCs w:val="20"/>
              </w:rPr>
            </w:pPr>
            <w:r w:rsidRPr="004907B0">
              <w:rPr>
                <w:b/>
                <w:bCs/>
                <w:sz w:val="20"/>
                <w:szCs w:val="20"/>
              </w:rPr>
              <w:t>11</w:t>
            </w:r>
          </w:p>
        </w:tc>
        <w:tc>
          <w:tcPr>
            <w:tcW w:w="7624" w:type="dxa"/>
          </w:tcPr>
          <w:p w14:paraId="11807280" w14:textId="77777777" w:rsidR="004907B0" w:rsidRPr="004907B0" w:rsidRDefault="004907B0" w:rsidP="00C530B0">
            <w:pPr>
              <w:autoSpaceDE w:val="0"/>
              <w:autoSpaceDN w:val="0"/>
              <w:adjustRightInd w:val="0"/>
              <w:rPr>
                <w:b/>
                <w:bCs/>
                <w:sz w:val="20"/>
                <w:szCs w:val="20"/>
              </w:rPr>
            </w:pPr>
            <w:r w:rsidRPr="004907B0">
              <w:rPr>
                <w:b/>
                <w:bCs/>
                <w:sz w:val="20"/>
                <w:szCs w:val="20"/>
              </w:rPr>
              <w:t>Stanovanjske stavbe</w:t>
            </w:r>
          </w:p>
        </w:tc>
        <w:tc>
          <w:tcPr>
            <w:tcW w:w="850" w:type="dxa"/>
          </w:tcPr>
          <w:p w14:paraId="07B55053" w14:textId="77777777" w:rsidR="004907B0" w:rsidRPr="004907B0" w:rsidRDefault="004907B0" w:rsidP="00C530B0">
            <w:pPr>
              <w:autoSpaceDE w:val="0"/>
              <w:autoSpaceDN w:val="0"/>
              <w:adjustRightInd w:val="0"/>
              <w:jc w:val="right"/>
              <w:rPr>
                <w:rFonts w:ascii="Calibri" w:hAnsi="Calibri" w:cs="Calibri"/>
                <w:sz w:val="22"/>
                <w:szCs w:val="22"/>
              </w:rPr>
            </w:pPr>
          </w:p>
        </w:tc>
      </w:tr>
      <w:tr w:rsidR="004907B0" w:rsidRPr="004907B0" w14:paraId="29160C06" w14:textId="77777777" w:rsidTr="00C530B0">
        <w:trPr>
          <w:trHeight w:val="290"/>
        </w:trPr>
        <w:tc>
          <w:tcPr>
            <w:tcW w:w="1337" w:type="dxa"/>
          </w:tcPr>
          <w:p w14:paraId="49BEC3D2" w14:textId="77777777" w:rsidR="004907B0" w:rsidRPr="004907B0" w:rsidRDefault="004907B0" w:rsidP="00C530B0">
            <w:pPr>
              <w:autoSpaceDE w:val="0"/>
              <w:autoSpaceDN w:val="0"/>
              <w:adjustRightInd w:val="0"/>
              <w:rPr>
                <w:sz w:val="20"/>
                <w:szCs w:val="20"/>
              </w:rPr>
            </w:pPr>
            <w:r w:rsidRPr="004907B0">
              <w:rPr>
                <w:sz w:val="20"/>
                <w:szCs w:val="20"/>
              </w:rPr>
              <w:t>11100</w:t>
            </w:r>
          </w:p>
        </w:tc>
        <w:tc>
          <w:tcPr>
            <w:tcW w:w="7624" w:type="dxa"/>
          </w:tcPr>
          <w:p w14:paraId="366B333F" w14:textId="77777777" w:rsidR="004907B0" w:rsidRPr="004907B0" w:rsidRDefault="004907B0" w:rsidP="00C530B0">
            <w:pPr>
              <w:autoSpaceDE w:val="0"/>
              <w:autoSpaceDN w:val="0"/>
              <w:adjustRightInd w:val="0"/>
              <w:rPr>
                <w:sz w:val="20"/>
                <w:szCs w:val="20"/>
              </w:rPr>
            </w:pPr>
            <w:r w:rsidRPr="004907B0">
              <w:rPr>
                <w:sz w:val="20"/>
                <w:szCs w:val="20"/>
              </w:rPr>
              <w:t>Enostanovanjske stavbe</w:t>
            </w:r>
          </w:p>
        </w:tc>
        <w:tc>
          <w:tcPr>
            <w:tcW w:w="850" w:type="dxa"/>
          </w:tcPr>
          <w:p w14:paraId="4999B733" w14:textId="77777777" w:rsidR="004907B0" w:rsidRPr="004907B0" w:rsidRDefault="004907B0" w:rsidP="00C530B0">
            <w:pPr>
              <w:autoSpaceDE w:val="0"/>
              <w:autoSpaceDN w:val="0"/>
              <w:adjustRightInd w:val="0"/>
              <w:jc w:val="right"/>
              <w:rPr>
                <w:sz w:val="20"/>
                <w:szCs w:val="20"/>
              </w:rPr>
            </w:pPr>
            <w:r w:rsidRPr="004907B0">
              <w:rPr>
                <w:sz w:val="20"/>
                <w:szCs w:val="20"/>
              </w:rPr>
              <w:t>0,7</w:t>
            </w:r>
          </w:p>
        </w:tc>
      </w:tr>
      <w:tr w:rsidR="004907B0" w:rsidRPr="004907B0" w14:paraId="1FCB3166" w14:textId="77777777" w:rsidTr="00C530B0">
        <w:trPr>
          <w:trHeight w:val="290"/>
        </w:trPr>
        <w:tc>
          <w:tcPr>
            <w:tcW w:w="1337" w:type="dxa"/>
          </w:tcPr>
          <w:p w14:paraId="4DD81C9E" w14:textId="77777777" w:rsidR="004907B0" w:rsidRPr="004907B0" w:rsidRDefault="004907B0" w:rsidP="00C530B0">
            <w:pPr>
              <w:autoSpaceDE w:val="0"/>
              <w:autoSpaceDN w:val="0"/>
              <w:adjustRightInd w:val="0"/>
              <w:rPr>
                <w:sz w:val="20"/>
                <w:szCs w:val="20"/>
              </w:rPr>
            </w:pPr>
            <w:r w:rsidRPr="004907B0">
              <w:rPr>
                <w:sz w:val="20"/>
                <w:szCs w:val="20"/>
              </w:rPr>
              <w:t>11210</w:t>
            </w:r>
          </w:p>
        </w:tc>
        <w:tc>
          <w:tcPr>
            <w:tcW w:w="7624" w:type="dxa"/>
          </w:tcPr>
          <w:p w14:paraId="76CEBC73" w14:textId="77777777" w:rsidR="004907B0" w:rsidRPr="004907B0" w:rsidRDefault="004907B0" w:rsidP="00C530B0">
            <w:pPr>
              <w:autoSpaceDE w:val="0"/>
              <w:autoSpaceDN w:val="0"/>
              <w:adjustRightInd w:val="0"/>
              <w:rPr>
                <w:sz w:val="20"/>
                <w:szCs w:val="20"/>
              </w:rPr>
            </w:pPr>
            <w:r w:rsidRPr="004907B0">
              <w:rPr>
                <w:sz w:val="20"/>
                <w:szCs w:val="20"/>
              </w:rPr>
              <w:t>Dvostanovanjske stavbe</w:t>
            </w:r>
          </w:p>
        </w:tc>
        <w:tc>
          <w:tcPr>
            <w:tcW w:w="850" w:type="dxa"/>
          </w:tcPr>
          <w:p w14:paraId="74208CEC" w14:textId="77777777" w:rsidR="004907B0" w:rsidRPr="004907B0" w:rsidRDefault="004907B0" w:rsidP="00C530B0">
            <w:pPr>
              <w:autoSpaceDE w:val="0"/>
              <w:autoSpaceDN w:val="0"/>
              <w:adjustRightInd w:val="0"/>
              <w:jc w:val="right"/>
              <w:rPr>
                <w:sz w:val="20"/>
                <w:szCs w:val="20"/>
              </w:rPr>
            </w:pPr>
            <w:r w:rsidRPr="004907B0">
              <w:rPr>
                <w:sz w:val="20"/>
                <w:szCs w:val="20"/>
              </w:rPr>
              <w:t>0,7</w:t>
            </w:r>
          </w:p>
        </w:tc>
      </w:tr>
      <w:tr w:rsidR="004907B0" w:rsidRPr="004907B0" w14:paraId="1F3A93C6" w14:textId="77777777" w:rsidTr="00C530B0">
        <w:trPr>
          <w:trHeight w:val="290"/>
        </w:trPr>
        <w:tc>
          <w:tcPr>
            <w:tcW w:w="1337" w:type="dxa"/>
          </w:tcPr>
          <w:p w14:paraId="5132CCAD" w14:textId="77777777" w:rsidR="004907B0" w:rsidRPr="004907B0" w:rsidRDefault="004907B0" w:rsidP="00C530B0">
            <w:pPr>
              <w:autoSpaceDE w:val="0"/>
              <w:autoSpaceDN w:val="0"/>
              <w:adjustRightInd w:val="0"/>
              <w:rPr>
                <w:sz w:val="20"/>
                <w:szCs w:val="20"/>
              </w:rPr>
            </w:pPr>
            <w:r w:rsidRPr="004907B0">
              <w:rPr>
                <w:sz w:val="20"/>
                <w:szCs w:val="20"/>
              </w:rPr>
              <w:t>11221</w:t>
            </w:r>
          </w:p>
        </w:tc>
        <w:tc>
          <w:tcPr>
            <w:tcW w:w="7624" w:type="dxa"/>
          </w:tcPr>
          <w:p w14:paraId="24E2F2A6" w14:textId="77777777" w:rsidR="004907B0" w:rsidRPr="004907B0" w:rsidRDefault="004907B0" w:rsidP="00C530B0">
            <w:pPr>
              <w:autoSpaceDE w:val="0"/>
              <w:autoSpaceDN w:val="0"/>
              <w:adjustRightInd w:val="0"/>
              <w:rPr>
                <w:sz w:val="20"/>
                <w:szCs w:val="20"/>
              </w:rPr>
            </w:pPr>
            <w:r w:rsidRPr="004907B0">
              <w:rPr>
                <w:sz w:val="20"/>
                <w:szCs w:val="20"/>
              </w:rPr>
              <w:t>Tri- in večstanovanjske stavbe</w:t>
            </w:r>
          </w:p>
        </w:tc>
        <w:tc>
          <w:tcPr>
            <w:tcW w:w="850" w:type="dxa"/>
          </w:tcPr>
          <w:p w14:paraId="31839010" w14:textId="77777777" w:rsidR="004907B0" w:rsidRPr="004907B0" w:rsidRDefault="004907B0" w:rsidP="00C530B0">
            <w:pPr>
              <w:autoSpaceDE w:val="0"/>
              <w:autoSpaceDN w:val="0"/>
              <w:adjustRightInd w:val="0"/>
              <w:jc w:val="right"/>
              <w:rPr>
                <w:sz w:val="20"/>
                <w:szCs w:val="20"/>
              </w:rPr>
            </w:pPr>
            <w:r w:rsidRPr="004907B0">
              <w:rPr>
                <w:sz w:val="20"/>
                <w:szCs w:val="20"/>
              </w:rPr>
              <w:t>0,7</w:t>
            </w:r>
          </w:p>
        </w:tc>
      </w:tr>
      <w:tr w:rsidR="004907B0" w:rsidRPr="004907B0" w14:paraId="0BDE0C56" w14:textId="77777777" w:rsidTr="00C530B0">
        <w:trPr>
          <w:trHeight w:val="290"/>
        </w:trPr>
        <w:tc>
          <w:tcPr>
            <w:tcW w:w="1337" w:type="dxa"/>
          </w:tcPr>
          <w:p w14:paraId="2543E43B" w14:textId="77777777" w:rsidR="004907B0" w:rsidRPr="004907B0" w:rsidRDefault="004907B0" w:rsidP="00C530B0">
            <w:pPr>
              <w:autoSpaceDE w:val="0"/>
              <w:autoSpaceDN w:val="0"/>
              <w:adjustRightInd w:val="0"/>
              <w:rPr>
                <w:sz w:val="20"/>
                <w:szCs w:val="20"/>
              </w:rPr>
            </w:pPr>
            <w:r w:rsidRPr="004907B0">
              <w:rPr>
                <w:sz w:val="20"/>
                <w:szCs w:val="20"/>
              </w:rPr>
              <w:t>11222</w:t>
            </w:r>
          </w:p>
        </w:tc>
        <w:tc>
          <w:tcPr>
            <w:tcW w:w="7624" w:type="dxa"/>
          </w:tcPr>
          <w:p w14:paraId="389761FB" w14:textId="77777777" w:rsidR="004907B0" w:rsidRPr="004907B0" w:rsidRDefault="004907B0" w:rsidP="00C530B0">
            <w:pPr>
              <w:autoSpaceDE w:val="0"/>
              <w:autoSpaceDN w:val="0"/>
              <w:adjustRightInd w:val="0"/>
              <w:rPr>
                <w:sz w:val="20"/>
                <w:szCs w:val="20"/>
              </w:rPr>
            </w:pPr>
            <w:r w:rsidRPr="004907B0">
              <w:rPr>
                <w:sz w:val="20"/>
                <w:szCs w:val="20"/>
              </w:rPr>
              <w:t>Stanovanjske stavbe z oskrbovanimi stanovanji</w:t>
            </w:r>
          </w:p>
        </w:tc>
        <w:tc>
          <w:tcPr>
            <w:tcW w:w="850" w:type="dxa"/>
          </w:tcPr>
          <w:p w14:paraId="2296BD04" w14:textId="77777777" w:rsidR="004907B0" w:rsidRPr="004907B0" w:rsidRDefault="004907B0" w:rsidP="00C530B0">
            <w:pPr>
              <w:autoSpaceDE w:val="0"/>
              <w:autoSpaceDN w:val="0"/>
              <w:adjustRightInd w:val="0"/>
              <w:jc w:val="right"/>
              <w:rPr>
                <w:sz w:val="20"/>
                <w:szCs w:val="20"/>
              </w:rPr>
            </w:pPr>
            <w:r w:rsidRPr="004907B0">
              <w:rPr>
                <w:sz w:val="20"/>
                <w:szCs w:val="20"/>
              </w:rPr>
              <w:t>0,7</w:t>
            </w:r>
          </w:p>
        </w:tc>
      </w:tr>
      <w:tr w:rsidR="004907B0" w:rsidRPr="004907B0" w14:paraId="61186368" w14:textId="77777777" w:rsidTr="00C530B0">
        <w:trPr>
          <w:trHeight w:val="290"/>
        </w:trPr>
        <w:tc>
          <w:tcPr>
            <w:tcW w:w="1337" w:type="dxa"/>
          </w:tcPr>
          <w:p w14:paraId="608BF676" w14:textId="77777777" w:rsidR="004907B0" w:rsidRPr="004907B0" w:rsidRDefault="004907B0" w:rsidP="00C530B0">
            <w:pPr>
              <w:autoSpaceDE w:val="0"/>
              <w:autoSpaceDN w:val="0"/>
              <w:adjustRightInd w:val="0"/>
              <w:rPr>
                <w:sz w:val="20"/>
                <w:szCs w:val="20"/>
              </w:rPr>
            </w:pPr>
            <w:r w:rsidRPr="004907B0">
              <w:rPr>
                <w:sz w:val="20"/>
                <w:szCs w:val="20"/>
              </w:rPr>
              <w:t>11300</w:t>
            </w:r>
          </w:p>
        </w:tc>
        <w:tc>
          <w:tcPr>
            <w:tcW w:w="7624" w:type="dxa"/>
          </w:tcPr>
          <w:p w14:paraId="747B080C" w14:textId="77777777" w:rsidR="004907B0" w:rsidRPr="004907B0" w:rsidRDefault="004907B0" w:rsidP="00C530B0">
            <w:pPr>
              <w:autoSpaceDE w:val="0"/>
              <w:autoSpaceDN w:val="0"/>
              <w:adjustRightInd w:val="0"/>
              <w:rPr>
                <w:sz w:val="20"/>
                <w:szCs w:val="20"/>
              </w:rPr>
            </w:pPr>
            <w:r w:rsidRPr="004907B0">
              <w:rPr>
                <w:sz w:val="20"/>
                <w:szCs w:val="20"/>
              </w:rPr>
              <w:t>Stanovanjske stavbe za posebne namene</w:t>
            </w:r>
          </w:p>
        </w:tc>
        <w:tc>
          <w:tcPr>
            <w:tcW w:w="850" w:type="dxa"/>
          </w:tcPr>
          <w:p w14:paraId="2EF0A5E1" w14:textId="77777777" w:rsidR="004907B0" w:rsidRPr="004907B0" w:rsidRDefault="004907B0" w:rsidP="00C530B0">
            <w:pPr>
              <w:autoSpaceDE w:val="0"/>
              <w:autoSpaceDN w:val="0"/>
              <w:adjustRightInd w:val="0"/>
              <w:jc w:val="right"/>
              <w:rPr>
                <w:sz w:val="20"/>
                <w:szCs w:val="20"/>
              </w:rPr>
            </w:pPr>
            <w:r w:rsidRPr="004907B0">
              <w:rPr>
                <w:sz w:val="20"/>
                <w:szCs w:val="20"/>
              </w:rPr>
              <w:t>0,7</w:t>
            </w:r>
          </w:p>
        </w:tc>
      </w:tr>
      <w:tr w:rsidR="004907B0" w:rsidRPr="004907B0" w14:paraId="79055BE4" w14:textId="77777777" w:rsidTr="00C530B0">
        <w:trPr>
          <w:trHeight w:val="290"/>
        </w:trPr>
        <w:tc>
          <w:tcPr>
            <w:tcW w:w="1337" w:type="dxa"/>
          </w:tcPr>
          <w:p w14:paraId="7FAA6F3C" w14:textId="77777777" w:rsidR="004907B0" w:rsidRPr="004907B0" w:rsidRDefault="004907B0" w:rsidP="00C530B0">
            <w:pPr>
              <w:autoSpaceDE w:val="0"/>
              <w:autoSpaceDN w:val="0"/>
              <w:adjustRightInd w:val="0"/>
              <w:rPr>
                <w:b/>
                <w:bCs/>
                <w:sz w:val="20"/>
                <w:szCs w:val="20"/>
              </w:rPr>
            </w:pPr>
            <w:r w:rsidRPr="004907B0">
              <w:rPr>
                <w:b/>
                <w:bCs/>
                <w:sz w:val="20"/>
                <w:szCs w:val="20"/>
              </w:rPr>
              <w:t>12</w:t>
            </w:r>
          </w:p>
        </w:tc>
        <w:tc>
          <w:tcPr>
            <w:tcW w:w="7624" w:type="dxa"/>
          </w:tcPr>
          <w:p w14:paraId="487A4490" w14:textId="77777777" w:rsidR="004907B0" w:rsidRPr="004907B0" w:rsidRDefault="004907B0" w:rsidP="00C530B0">
            <w:pPr>
              <w:autoSpaceDE w:val="0"/>
              <w:autoSpaceDN w:val="0"/>
              <w:adjustRightInd w:val="0"/>
              <w:rPr>
                <w:b/>
                <w:bCs/>
                <w:sz w:val="20"/>
                <w:szCs w:val="20"/>
              </w:rPr>
            </w:pPr>
            <w:r w:rsidRPr="004907B0">
              <w:rPr>
                <w:b/>
                <w:bCs/>
                <w:sz w:val="20"/>
                <w:szCs w:val="20"/>
              </w:rPr>
              <w:t>Ne stanovanjske stavbe</w:t>
            </w:r>
          </w:p>
        </w:tc>
        <w:tc>
          <w:tcPr>
            <w:tcW w:w="850" w:type="dxa"/>
          </w:tcPr>
          <w:p w14:paraId="15A51438" w14:textId="77777777" w:rsidR="004907B0" w:rsidRPr="004907B0" w:rsidRDefault="004907B0" w:rsidP="00C530B0">
            <w:pPr>
              <w:autoSpaceDE w:val="0"/>
              <w:autoSpaceDN w:val="0"/>
              <w:adjustRightInd w:val="0"/>
              <w:jc w:val="right"/>
              <w:rPr>
                <w:rFonts w:ascii="Calibri" w:hAnsi="Calibri" w:cs="Calibri"/>
                <w:sz w:val="22"/>
                <w:szCs w:val="22"/>
              </w:rPr>
            </w:pPr>
          </w:p>
        </w:tc>
      </w:tr>
      <w:tr w:rsidR="004907B0" w:rsidRPr="004907B0" w14:paraId="1DCD0468" w14:textId="77777777" w:rsidTr="00C530B0">
        <w:trPr>
          <w:trHeight w:val="290"/>
        </w:trPr>
        <w:tc>
          <w:tcPr>
            <w:tcW w:w="1337" w:type="dxa"/>
          </w:tcPr>
          <w:p w14:paraId="5DA338D5" w14:textId="77777777" w:rsidR="004907B0" w:rsidRPr="004907B0" w:rsidRDefault="004907B0" w:rsidP="00C530B0">
            <w:pPr>
              <w:autoSpaceDE w:val="0"/>
              <w:autoSpaceDN w:val="0"/>
              <w:adjustRightInd w:val="0"/>
              <w:rPr>
                <w:b/>
                <w:bCs/>
                <w:sz w:val="20"/>
                <w:szCs w:val="20"/>
              </w:rPr>
            </w:pPr>
            <w:r w:rsidRPr="004907B0">
              <w:rPr>
                <w:b/>
                <w:bCs/>
                <w:sz w:val="20"/>
                <w:szCs w:val="20"/>
              </w:rPr>
              <w:t>121</w:t>
            </w:r>
          </w:p>
        </w:tc>
        <w:tc>
          <w:tcPr>
            <w:tcW w:w="7624" w:type="dxa"/>
          </w:tcPr>
          <w:p w14:paraId="59C818B9" w14:textId="77777777" w:rsidR="004907B0" w:rsidRPr="004907B0" w:rsidRDefault="004907B0" w:rsidP="00C530B0">
            <w:pPr>
              <w:autoSpaceDE w:val="0"/>
              <w:autoSpaceDN w:val="0"/>
              <w:adjustRightInd w:val="0"/>
              <w:rPr>
                <w:b/>
                <w:bCs/>
                <w:sz w:val="20"/>
                <w:szCs w:val="20"/>
              </w:rPr>
            </w:pPr>
            <w:r w:rsidRPr="004907B0">
              <w:rPr>
                <w:b/>
                <w:bCs/>
                <w:sz w:val="20"/>
                <w:szCs w:val="20"/>
              </w:rPr>
              <w:t>Gostinske stavbe</w:t>
            </w:r>
          </w:p>
        </w:tc>
        <w:tc>
          <w:tcPr>
            <w:tcW w:w="850" w:type="dxa"/>
          </w:tcPr>
          <w:p w14:paraId="6C6946C6" w14:textId="77777777" w:rsidR="004907B0" w:rsidRPr="004907B0" w:rsidRDefault="004907B0" w:rsidP="00C530B0">
            <w:pPr>
              <w:autoSpaceDE w:val="0"/>
              <w:autoSpaceDN w:val="0"/>
              <w:adjustRightInd w:val="0"/>
              <w:jc w:val="right"/>
              <w:rPr>
                <w:rFonts w:ascii="Calibri" w:hAnsi="Calibri" w:cs="Calibri"/>
                <w:sz w:val="22"/>
                <w:szCs w:val="22"/>
              </w:rPr>
            </w:pPr>
          </w:p>
        </w:tc>
      </w:tr>
      <w:tr w:rsidR="004907B0" w:rsidRPr="004907B0" w14:paraId="00A2A9A7" w14:textId="77777777" w:rsidTr="00C530B0">
        <w:trPr>
          <w:trHeight w:val="290"/>
        </w:trPr>
        <w:tc>
          <w:tcPr>
            <w:tcW w:w="1337" w:type="dxa"/>
          </w:tcPr>
          <w:p w14:paraId="5D2EC19A" w14:textId="77777777" w:rsidR="004907B0" w:rsidRPr="004907B0" w:rsidRDefault="004907B0" w:rsidP="00C530B0">
            <w:pPr>
              <w:autoSpaceDE w:val="0"/>
              <w:autoSpaceDN w:val="0"/>
              <w:adjustRightInd w:val="0"/>
              <w:rPr>
                <w:sz w:val="20"/>
                <w:szCs w:val="20"/>
              </w:rPr>
            </w:pPr>
            <w:r w:rsidRPr="004907B0">
              <w:rPr>
                <w:sz w:val="20"/>
                <w:szCs w:val="20"/>
              </w:rPr>
              <w:t>12111</w:t>
            </w:r>
          </w:p>
        </w:tc>
        <w:tc>
          <w:tcPr>
            <w:tcW w:w="7624" w:type="dxa"/>
          </w:tcPr>
          <w:p w14:paraId="65C61725" w14:textId="77777777" w:rsidR="004907B0" w:rsidRPr="004907B0" w:rsidRDefault="004907B0" w:rsidP="00C530B0">
            <w:pPr>
              <w:autoSpaceDE w:val="0"/>
              <w:autoSpaceDN w:val="0"/>
              <w:adjustRightInd w:val="0"/>
              <w:rPr>
                <w:sz w:val="20"/>
                <w:szCs w:val="20"/>
              </w:rPr>
            </w:pPr>
            <w:r w:rsidRPr="004907B0">
              <w:rPr>
                <w:sz w:val="20"/>
                <w:szCs w:val="20"/>
              </w:rPr>
              <w:t>Hotelske in podobne stavbe za kratkotrajno nastanitev</w:t>
            </w:r>
          </w:p>
        </w:tc>
        <w:tc>
          <w:tcPr>
            <w:tcW w:w="850" w:type="dxa"/>
          </w:tcPr>
          <w:p w14:paraId="7B72DD59" w14:textId="77777777" w:rsidR="004907B0" w:rsidRPr="004907B0" w:rsidRDefault="004907B0" w:rsidP="00C530B0">
            <w:pPr>
              <w:autoSpaceDE w:val="0"/>
              <w:autoSpaceDN w:val="0"/>
              <w:adjustRightInd w:val="0"/>
              <w:jc w:val="right"/>
              <w:rPr>
                <w:sz w:val="20"/>
                <w:szCs w:val="20"/>
              </w:rPr>
            </w:pPr>
            <w:r w:rsidRPr="004907B0">
              <w:rPr>
                <w:sz w:val="20"/>
                <w:szCs w:val="20"/>
              </w:rPr>
              <w:t>0,7</w:t>
            </w:r>
          </w:p>
        </w:tc>
      </w:tr>
      <w:tr w:rsidR="004907B0" w:rsidRPr="004907B0" w14:paraId="280D8BDA" w14:textId="77777777" w:rsidTr="00C530B0">
        <w:trPr>
          <w:trHeight w:val="290"/>
        </w:trPr>
        <w:tc>
          <w:tcPr>
            <w:tcW w:w="1337" w:type="dxa"/>
          </w:tcPr>
          <w:p w14:paraId="7B532B21" w14:textId="77777777" w:rsidR="004907B0" w:rsidRPr="004907B0" w:rsidRDefault="004907B0" w:rsidP="00C530B0">
            <w:pPr>
              <w:autoSpaceDE w:val="0"/>
              <w:autoSpaceDN w:val="0"/>
              <w:adjustRightInd w:val="0"/>
              <w:rPr>
                <w:sz w:val="20"/>
                <w:szCs w:val="20"/>
              </w:rPr>
            </w:pPr>
            <w:r w:rsidRPr="004907B0">
              <w:rPr>
                <w:sz w:val="20"/>
                <w:szCs w:val="20"/>
              </w:rPr>
              <w:t>12112</w:t>
            </w:r>
          </w:p>
        </w:tc>
        <w:tc>
          <w:tcPr>
            <w:tcW w:w="7624" w:type="dxa"/>
          </w:tcPr>
          <w:p w14:paraId="40AA8B6C" w14:textId="77777777" w:rsidR="004907B0" w:rsidRPr="004907B0" w:rsidRDefault="004907B0" w:rsidP="00C530B0">
            <w:pPr>
              <w:autoSpaceDE w:val="0"/>
              <w:autoSpaceDN w:val="0"/>
              <w:adjustRightInd w:val="0"/>
              <w:rPr>
                <w:sz w:val="20"/>
                <w:szCs w:val="20"/>
              </w:rPr>
            </w:pPr>
            <w:r w:rsidRPr="004907B0">
              <w:rPr>
                <w:sz w:val="20"/>
                <w:szCs w:val="20"/>
              </w:rPr>
              <w:t>Gostilne, restavracije in točilnice</w:t>
            </w:r>
          </w:p>
        </w:tc>
        <w:tc>
          <w:tcPr>
            <w:tcW w:w="850" w:type="dxa"/>
          </w:tcPr>
          <w:p w14:paraId="69B38BF8" w14:textId="77777777" w:rsidR="004907B0" w:rsidRPr="004907B0" w:rsidRDefault="004907B0" w:rsidP="00C530B0">
            <w:pPr>
              <w:autoSpaceDE w:val="0"/>
              <w:autoSpaceDN w:val="0"/>
              <w:adjustRightInd w:val="0"/>
              <w:jc w:val="right"/>
              <w:rPr>
                <w:sz w:val="20"/>
                <w:szCs w:val="20"/>
              </w:rPr>
            </w:pPr>
            <w:r w:rsidRPr="004907B0">
              <w:rPr>
                <w:sz w:val="20"/>
                <w:szCs w:val="20"/>
              </w:rPr>
              <w:t>0,7</w:t>
            </w:r>
          </w:p>
        </w:tc>
      </w:tr>
      <w:tr w:rsidR="004907B0" w:rsidRPr="004907B0" w14:paraId="152E79BB" w14:textId="77777777" w:rsidTr="00C530B0">
        <w:trPr>
          <w:trHeight w:val="290"/>
        </w:trPr>
        <w:tc>
          <w:tcPr>
            <w:tcW w:w="1337" w:type="dxa"/>
          </w:tcPr>
          <w:p w14:paraId="2ABAED1C" w14:textId="77777777" w:rsidR="004907B0" w:rsidRPr="004907B0" w:rsidRDefault="004907B0" w:rsidP="00C530B0">
            <w:pPr>
              <w:autoSpaceDE w:val="0"/>
              <w:autoSpaceDN w:val="0"/>
              <w:adjustRightInd w:val="0"/>
              <w:rPr>
                <w:sz w:val="20"/>
                <w:szCs w:val="20"/>
              </w:rPr>
            </w:pPr>
            <w:r w:rsidRPr="004907B0">
              <w:rPr>
                <w:sz w:val="20"/>
                <w:szCs w:val="20"/>
              </w:rPr>
              <w:t>12120</w:t>
            </w:r>
          </w:p>
        </w:tc>
        <w:tc>
          <w:tcPr>
            <w:tcW w:w="7624" w:type="dxa"/>
          </w:tcPr>
          <w:p w14:paraId="60270683" w14:textId="77777777" w:rsidR="004907B0" w:rsidRPr="004907B0" w:rsidRDefault="004907B0" w:rsidP="00C530B0">
            <w:pPr>
              <w:autoSpaceDE w:val="0"/>
              <w:autoSpaceDN w:val="0"/>
              <w:adjustRightInd w:val="0"/>
              <w:rPr>
                <w:sz w:val="20"/>
                <w:szCs w:val="20"/>
              </w:rPr>
            </w:pPr>
            <w:r w:rsidRPr="004907B0">
              <w:rPr>
                <w:sz w:val="20"/>
                <w:szCs w:val="20"/>
              </w:rPr>
              <w:t>Druge gostinske stavbe za kratkotrajno nastanitev</w:t>
            </w:r>
          </w:p>
        </w:tc>
        <w:tc>
          <w:tcPr>
            <w:tcW w:w="850" w:type="dxa"/>
          </w:tcPr>
          <w:p w14:paraId="5431CA65" w14:textId="77777777" w:rsidR="004907B0" w:rsidRPr="004907B0" w:rsidRDefault="004907B0" w:rsidP="00C530B0">
            <w:pPr>
              <w:autoSpaceDE w:val="0"/>
              <w:autoSpaceDN w:val="0"/>
              <w:adjustRightInd w:val="0"/>
              <w:jc w:val="right"/>
              <w:rPr>
                <w:sz w:val="20"/>
                <w:szCs w:val="20"/>
              </w:rPr>
            </w:pPr>
            <w:r w:rsidRPr="004907B0">
              <w:rPr>
                <w:sz w:val="20"/>
                <w:szCs w:val="20"/>
              </w:rPr>
              <w:t>0,7</w:t>
            </w:r>
          </w:p>
        </w:tc>
      </w:tr>
      <w:tr w:rsidR="004907B0" w:rsidRPr="004907B0" w14:paraId="4E4996AD" w14:textId="77777777" w:rsidTr="00C530B0">
        <w:trPr>
          <w:trHeight w:val="290"/>
        </w:trPr>
        <w:tc>
          <w:tcPr>
            <w:tcW w:w="1337" w:type="dxa"/>
          </w:tcPr>
          <w:p w14:paraId="3300CA22" w14:textId="77777777" w:rsidR="004907B0" w:rsidRPr="004907B0" w:rsidRDefault="004907B0" w:rsidP="00C530B0">
            <w:pPr>
              <w:autoSpaceDE w:val="0"/>
              <w:autoSpaceDN w:val="0"/>
              <w:adjustRightInd w:val="0"/>
              <w:rPr>
                <w:sz w:val="20"/>
                <w:szCs w:val="20"/>
              </w:rPr>
            </w:pPr>
            <w:r w:rsidRPr="004907B0">
              <w:rPr>
                <w:sz w:val="20"/>
                <w:szCs w:val="20"/>
              </w:rPr>
              <w:t>12120</w:t>
            </w:r>
          </w:p>
        </w:tc>
        <w:tc>
          <w:tcPr>
            <w:tcW w:w="7624" w:type="dxa"/>
          </w:tcPr>
          <w:p w14:paraId="405753F7" w14:textId="77777777" w:rsidR="004907B0" w:rsidRPr="004907B0" w:rsidRDefault="004907B0" w:rsidP="00C530B0">
            <w:pPr>
              <w:autoSpaceDE w:val="0"/>
              <w:autoSpaceDN w:val="0"/>
              <w:adjustRightInd w:val="0"/>
              <w:rPr>
                <w:sz w:val="20"/>
                <w:szCs w:val="20"/>
              </w:rPr>
            </w:pPr>
            <w:r w:rsidRPr="004907B0">
              <w:rPr>
                <w:sz w:val="20"/>
                <w:szCs w:val="20"/>
              </w:rPr>
              <w:t>Druge gostinske stavbe za kratkotrajno nastanitev (kmečki turizem)</w:t>
            </w:r>
          </w:p>
        </w:tc>
        <w:tc>
          <w:tcPr>
            <w:tcW w:w="850" w:type="dxa"/>
          </w:tcPr>
          <w:p w14:paraId="713D0DDC" w14:textId="77777777" w:rsidR="004907B0" w:rsidRPr="004907B0" w:rsidRDefault="004907B0" w:rsidP="00C530B0">
            <w:pPr>
              <w:autoSpaceDE w:val="0"/>
              <w:autoSpaceDN w:val="0"/>
              <w:adjustRightInd w:val="0"/>
              <w:jc w:val="right"/>
              <w:rPr>
                <w:sz w:val="20"/>
                <w:szCs w:val="20"/>
              </w:rPr>
            </w:pPr>
            <w:r w:rsidRPr="004907B0">
              <w:rPr>
                <w:sz w:val="20"/>
                <w:szCs w:val="20"/>
              </w:rPr>
              <w:t>0,7</w:t>
            </w:r>
          </w:p>
        </w:tc>
      </w:tr>
      <w:tr w:rsidR="004907B0" w:rsidRPr="004907B0" w14:paraId="479730CA" w14:textId="77777777" w:rsidTr="00C530B0">
        <w:trPr>
          <w:trHeight w:val="290"/>
        </w:trPr>
        <w:tc>
          <w:tcPr>
            <w:tcW w:w="1337" w:type="dxa"/>
          </w:tcPr>
          <w:p w14:paraId="78263818" w14:textId="77777777" w:rsidR="004907B0" w:rsidRPr="004907B0" w:rsidRDefault="004907B0" w:rsidP="00C530B0">
            <w:pPr>
              <w:autoSpaceDE w:val="0"/>
              <w:autoSpaceDN w:val="0"/>
              <w:adjustRightInd w:val="0"/>
              <w:rPr>
                <w:b/>
                <w:bCs/>
                <w:sz w:val="20"/>
                <w:szCs w:val="20"/>
              </w:rPr>
            </w:pPr>
            <w:r w:rsidRPr="004907B0">
              <w:rPr>
                <w:b/>
                <w:bCs/>
                <w:sz w:val="20"/>
                <w:szCs w:val="20"/>
              </w:rPr>
              <w:t>122</w:t>
            </w:r>
          </w:p>
        </w:tc>
        <w:tc>
          <w:tcPr>
            <w:tcW w:w="7624" w:type="dxa"/>
          </w:tcPr>
          <w:p w14:paraId="6D42FB55" w14:textId="77777777" w:rsidR="004907B0" w:rsidRPr="004907B0" w:rsidRDefault="004907B0" w:rsidP="00C530B0">
            <w:pPr>
              <w:autoSpaceDE w:val="0"/>
              <w:autoSpaceDN w:val="0"/>
              <w:adjustRightInd w:val="0"/>
              <w:rPr>
                <w:b/>
                <w:bCs/>
                <w:sz w:val="20"/>
                <w:szCs w:val="20"/>
              </w:rPr>
            </w:pPr>
            <w:r w:rsidRPr="004907B0">
              <w:rPr>
                <w:b/>
                <w:bCs/>
                <w:sz w:val="20"/>
                <w:szCs w:val="20"/>
              </w:rPr>
              <w:t>Upravne in pisarniške stavbe</w:t>
            </w:r>
          </w:p>
        </w:tc>
        <w:tc>
          <w:tcPr>
            <w:tcW w:w="850" w:type="dxa"/>
          </w:tcPr>
          <w:p w14:paraId="3DB0ED95" w14:textId="77777777" w:rsidR="004907B0" w:rsidRPr="004907B0" w:rsidRDefault="004907B0" w:rsidP="00C530B0">
            <w:pPr>
              <w:autoSpaceDE w:val="0"/>
              <w:autoSpaceDN w:val="0"/>
              <w:adjustRightInd w:val="0"/>
              <w:jc w:val="right"/>
              <w:rPr>
                <w:rFonts w:ascii="Calibri" w:hAnsi="Calibri" w:cs="Calibri"/>
                <w:sz w:val="22"/>
                <w:szCs w:val="22"/>
              </w:rPr>
            </w:pPr>
          </w:p>
        </w:tc>
      </w:tr>
      <w:tr w:rsidR="004907B0" w:rsidRPr="004907B0" w14:paraId="616A01F1" w14:textId="77777777" w:rsidTr="00C530B0">
        <w:trPr>
          <w:trHeight w:val="290"/>
        </w:trPr>
        <w:tc>
          <w:tcPr>
            <w:tcW w:w="1337" w:type="dxa"/>
          </w:tcPr>
          <w:p w14:paraId="0E37900D" w14:textId="77777777" w:rsidR="004907B0" w:rsidRPr="004907B0" w:rsidRDefault="004907B0" w:rsidP="00C530B0">
            <w:pPr>
              <w:autoSpaceDE w:val="0"/>
              <w:autoSpaceDN w:val="0"/>
              <w:adjustRightInd w:val="0"/>
              <w:rPr>
                <w:sz w:val="20"/>
                <w:szCs w:val="20"/>
              </w:rPr>
            </w:pPr>
            <w:r w:rsidRPr="004907B0">
              <w:rPr>
                <w:sz w:val="20"/>
                <w:szCs w:val="20"/>
              </w:rPr>
              <w:t>12201</w:t>
            </w:r>
          </w:p>
        </w:tc>
        <w:tc>
          <w:tcPr>
            <w:tcW w:w="7624" w:type="dxa"/>
          </w:tcPr>
          <w:p w14:paraId="049DEDF6" w14:textId="77777777" w:rsidR="004907B0" w:rsidRPr="004907B0" w:rsidRDefault="004907B0" w:rsidP="00C530B0">
            <w:pPr>
              <w:autoSpaceDE w:val="0"/>
              <w:autoSpaceDN w:val="0"/>
              <w:adjustRightInd w:val="0"/>
              <w:rPr>
                <w:sz w:val="20"/>
                <w:szCs w:val="20"/>
              </w:rPr>
            </w:pPr>
            <w:r w:rsidRPr="004907B0">
              <w:rPr>
                <w:sz w:val="20"/>
                <w:szCs w:val="20"/>
              </w:rPr>
              <w:t>Stavbe javne uprave</w:t>
            </w:r>
          </w:p>
        </w:tc>
        <w:tc>
          <w:tcPr>
            <w:tcW w:w="850" w:type="dxa"/>
          </w:tcPr>
          <w:p w14:paraId="39BEA26D" w14:textId="77777777" w:rsidR="004907B0" w:rsidRPr="004907B0" w:rsidRDefault="004907B0" w:rsidP="00C530B0">
            <w:pPr>
              <w:autoSpaceDE w:val="0"/>
              <w:autoSpaceDN w:val="0"/>
              <w:adjustRightInd w:val="0"/>
              <w:jc w:val="right"/>
              <w:rPr>
                <w:sz w:val="20"/>
                <w:szCs w:val="20"/>
              </w:rPr>
            </w:pPr>
            <w:r w:rsidRPr="004907B0">
              <w:rPr>
                <w:sz w:val="20"/>
                <w:szCs w:val="20"/>
              </w:rPr>
              <w:t>1</w:t>
            </w:r>
          </w:p>
        </w:tc>
      </w:tr>
      <w:tr w:rsidR="004907B0" w:rsidRPr="004907B0" w14:paraId="20DDF23D" w14:textId="77777777" w:rsidTr="00C530B0">
        <w:trPr>
          <w:trHeight w:val="290"/>
        </w:trPr>
        <w:tc>
          <w:tcPr>
            <w:tcW w:w="1337" w:type="dxa"/>
          </w:tcPr>
          <w:p w14:paraId="3AD96C4B" w14:textId="77777777" w:rsidR="004907B0" w:rsidRPr="004907B0" w:rsidRDefault="004907B0" w:rsidP="00C530B0">
            <w:pPr>
              <w:autoSpaceDE w:val="0"/>
              <w:autoSpaceDN w:val="0"/>
              <w:adjustRightInd w:val="0"/>
              <w:rPr>
                <w:sz w:val="20"/>
                <w:szCs w:val="20"/>
              </w:rPr>
            </w:pPr>
            <w:r w:rsidRPr="004907B0">
              <w:rPr>
                <w:sz w:val="20"/>
                <w:szCs w:val="20"/>
              </w:rPr>
              <w:t>12202</w:t>
            </w:r>
          </w:p>
        </w:tc>
        <w:tc>
          <w:tcPr>
            <w:tcW w:w="7624" w:type="dxa"/>
          </w:tcPr>
          <w:p w14:paraId="421C48BF" w14:textId="77777777" w:rsidR="004907B0" w:rsidRPr="004907B0" w:rsidRDefault="004907B0" w:rsidP="00C530B0">
            <w:pPr>
              <w:autoSpaceDE w:val="0"/>
              <w:autoSpaceDN w:val="0"/>
              <w:adjustRightInd w:val="0"/>
              <w:rPr>
                <w:sz w:val="20"/>
                <w:szCs w:val="20"/>
              </w:rPr>
            </w:pPr>
            <w:r w:rsidRPr="004907B0">
              <w:rPr>
                <w:sz w:val="20"/>
                <w:szCs w:val="20"/>
              </w:rPr>
              <w:t>Stavbe bank, pošt, zavarovalnic</w:t>
            </w:r>
          </w:p>
        </w:tc>
        <w:tc>
          <w:tcPr>
            <w:tcW w:w="850" w:type="dxa"/>
          </w:tcPr>
          <w:p w14:paraId="521F9683" w14:textId="77777777" w:rsidR="004907B0" w:rsidRPr="004907B0" w:rsidRDefault="004907B0" w:rsidP="00C530B0">
            <w:pPr>
              <w:autoSpaceDE w:val="0"/>
              <w:autoSpaceDN w:val="0"/>
              <w:adjustRightInd w:val="0"/>
              <w:jc w:val="right"/>
              <w:rPr>
                <w:sz w:val="20"/>
                <w:szCs w:val="20"/>
              </w:rPr>
            </w:pPr>
            <w:r w:rsidRPr="004907B0">
              <w:rPr>
                <w:sz w:val="20"/>
                <w:szCs w:val="20"/>
              </w:rPr>
              <w:t>1</w:t>
            </w:r>
          </w:p>
        </w:tc>
      </w:tr>
      <w:tr w:rsidR="004907B0" w:rsidRPr="004907B0" w14:paraId="7D5A4FF2" w14:textId="77777777" w:rsidTr="00C530B0">
        <w:trPr>
          <w:trHeight w:val="290"/>
        </w:trPr>
        <w:tc>
          <w:tcPr>
            <w:tcW w:w="1337" w:type="dxa"/>
          </w:tcPr>
          <w:p w14:paraId="7DA2CF0B" w14:textId="77777777" w:rsidR="004907B0" w:rsidRPr="004907B0" w:rsidRDefault="004907B0" w:rsidP="00C530B0">
            <w:pPr>
              <w:autoSpaceDE w:val="0"/>
              <w:autoSpaceDN w:val="0"/>
              <w:adjustRightInd w:val="0"/>
              <w:rPr>
                <w:sz w:val="20"/>
                <w:szCs w:val="20"/>
              </w:rPr>
            </w:pPr>
            <w:r w:rsidRPr="004907B0">
              <w:rPr>
                <w:sz w:val="20"/>
                <w:szCs w:val="20"/>
              </w:rPr>
              <w:t>12203</w:t>
            </w:r>
          </w:p>
        </w:tc>
        <w:tc>
          <w:tcPr>
            <w:tcW w:w="7624" w:type="dxa"/>
          </w:tcPr>
          <w:p w14:paraId="69EDE4BC" w14:textId="77777777" w:rsidR="004907B0" w:rsidRPr="004907B0" w:rsidRDefault="004907B0" w:rsidP="00C530B0">
            <w:pPr>
              <w:autoSpaceDE w:val="0"/>
              <w:autoSpaceDN w:val="0"/>
              <w:adjustRightInd w:val="0"/>
              <w:rPr>
                <w:sz w:val="20"/>
                <w:szCs w:val="20"/>
              </w:rPr>
            </w:pPr>
            <w:r w:rsidRPr="004907B0">
              <w:rPr>
                <w:sz w:val="20"/>
                <w:szCs w:val="20"/>
              </w:rPr>
              <w:t>Druge upravne in pisarniške stavbe</w:t>
            </w:r>
          </w:p>
        </w:tc>
        <w:tc>
          <w:tcPr>
            <w:tcW w:w="850" w:type="dxa"/>
          </w:tcPr>
          <w:p w14:paraId="666CF75B" w14:textId="77777777" w:rsidR="004907B0" w:rsidRPr="004907B0" w:rsidRDefault="004907B0" w:rsidP="00C530B0">
            <w:pPr>
              <w:autoSpaceDE w:val="0"/>
              <w:autoSpaceDN w:val="0"/>
              <w:adjustRightInd w:val="0"/>
              <w:jc w:val="right"/>
              <w:rPr>
                <w:sz w:val="20"/>
                <w:szCs w:val="20"/>
              </w:rPr>
            </w:pPr>
            <w:r w:rsidRPr="004907B0">
              <w:rPr>
                <w:sz w:val="20"/>
                <w:szCs w:val="20"/>
              </w:rPr>
              <w:t>1</w:t>
            </w:r>
          </w:p>
        </w:tc>
      </w:tr>
      <w:tr w:rsidR="004907B0" w:rsidRPr="004907B0" w14:paraId="012DF2D0" w14:textId="77777777" w:rsidTr="00C530B0">
        <w:trPr>
          <w:trHeight w:val="290"/>
        </w:trPr>
        <w:tc>
          <w:tcPr>
            <w:tcW w:w="1337" w:type="dxa"/>
          </w:tcPr>
          <w:p w14:paraId="0CB9FAB7" w14:textId="77777777" w:rsidR="004907B0" w:rsidRPr="004907B0" w:rsidRDefault="004907B0" w:rsidP="00C530B0">
            <w:pPr>
              <w:autoSpaceDE w:val="0"/>
              <w:autoSpaceDN w:val="0"/>
              <w:adjustRightInd w:val="0"/>
              <w:rPr>
                <w:b/>
                <w:bCs/>
                <w:sz w:val="20"/>
                <w:szCs w:val="20"/>
              </w:rPr>
            </w:pPr>
            <w:r w:rsidRPr="004907B0">
              <w:rPr>
                <w:b/>
                <w:bCs/>
                <w:sz w:val="20"/>
                <w:szCs w:val="20"/>
              </w:rPr>
              <w:t>123</w:t>
            </w:r>
          </w:p>
        </w:tc>
        <w:tc>
          <w:tcPr>
            <w:tcW w:w="7624" w:type="dxa"/>
          </w:tcPr>
          <w:p w14:paraId="55D40570" w14:textId="77777777" w:rsidR="004907B0" w:rsidRPr="004907B0" w:rsidRDefault="004907B0" w:rsidP="00C530B0">
            <w:pPr>
              <w:autoSpaceDE w:val="0"/>
              <w:autoSpaceDN w:val="0"/>
              <w:adjustRightInd w:val="0"/>
              <w:rPr>
                <w:b/>
                <w:bCs/>
                <w:sz w:val="20"/>
                <w:szCs w:val="20"/>
              </w:rPr>
            </w:pPr>
            <w:r w:rsidRPr="004907B0">
              <w:rPr>
                <w:b/>
                <w:bCs/>
                <w:sz w:val="20"/>
                <w:szCs w:val="20"/>
              </w:rPr>
              <w:t>Trgovske in druge stavbe za storitvene dejavnosti</w:t>
            </w:r>
          </w:p>
        </w:tc>
        <w:tc>
          <w:tcPr>
            <w:tcW w:w="850" w:type="dxa"/>
          </w:tcPr>
          <w:p w14:paraId="41E1740D" w14:textId="77777777" w:rsidR="004907B0" w:rsidRPr="004907B0" w:rsidRDefault="004907B0" w:rsidP="00C530B0">
            <w:pPr>
              <w:autoSpaceDE w:val="0"/>
              <w:autoSpaceDN w:val="0"/>
              <w:adjustRightInd w:val="0"/>
              <w:jc w:val="right"/>
              <w:rPr>
                <w:rFonts w:ascii="Calibri" w:hAnsi="Calibri" w:cs="Calibri"/>
                <w:sz w:val="22"/>
                <w:szCs w:val="22"/>
              </w:rPr>
            </w:pPr>
          </w:p>
        </w:tc>
      </w:tr>
      <w:tr w:rsidR="004907B0" w:rsidRPr="004907B0" w14:paraId="3530AD8B" w14:textId="77777777" w:rsidTr="00C530B0">
        <w:trPr>
          <w:trHeight w:val="290"/>
        </w:trPr>
        <w:tc>
          <w:tcPr>
            <w:tcW w:w="1337" w:type="dxa"/>
          </w:tcPr>
          <w:p w14:paraId="5AC8D21A" w14:textId="77777777" w:rsidR="004907B0" w:rsidRPr="004907B0" w:rsidRDefault="004907B0" w:rsidP="00C530B0">
            <w:pPr>
              <w:autoSpaceDE w:val="0"/>
              <w:autoSpaceDN w:val="0"/>
              <w:adjustRightInd w:val="0"/>
              <w:rPr>
                <w:sz w:val="20"/>
                <w:szCs w:val="20"/>
              </w:rPr>
            </w:pPr>
            <w:r w:rsidRPr="004907B0">
              <w:rPr>
                <w:sz w:val="20"/>
                <w:szCs w:val="20"/>
              </w:rPr>
              <w:t>12301</w:t>
            </w:r>
          </w:p>
        </w:tc>
        <w:tc>
          <w:tcPr>
            <w:tcW w:w="7624" w:type="dxa"/>
          </w:tcPr>
          <w:p w14:paraId="653126A8" w14:textId="77777777" w:rsidR="004907B0" w:rsidRPr="004907B0" w:rsidRDefault="004907B0" w:rsidP="00C530B0">
            <w:pPr>
              <w:autoSpaceDE w:val="0"/>
              <w:autoSpaceDN w:val="0"/>
              <w:adjustRightInd w:val="0"/>
              <w:rPr>
                <w:sz w:val="20"/>
                <w:szCs w:val="20"/>
              </w:rPr>
            </w:pPr>
            <w:r w:rsidRPr="004907B0">
              <w:rPr>
                <w:sz w:val="20"/>
                <w:szCs w:val="20"/>
              </w:rPr>
              <w:t>Trgovske stavbe</w:t>
            </w:r>
          </w:p>
        </w:tc>
        <w:tc>
          <w:tcPr>
            <w:tcW w:w="850" w:type="dxa"/>
          </w:tcPr>
          <w:p w14:paraId="29A4DFF6" w14:textId="77777777" w:rsidR="004907B0" w:rsidRPr="004907B0" w:rsidRDefault="004907B0" w:rsidP="00C530B0">
            <w:pPr>
              <w:autoSpaceDE w:val="0"/>
              <w:autoSpaceDN w:val="0"/>
              <w:adjustRightInd w:val="0"/>
              <w:jc w:val="right"/>
              <w:rPr>
                <w:sz w:val="20"/>
                <w:szCs w:val="20"/>
              </w:rPr>
            </w:pPr>
            <w:r w:rsidRPr="004907B0">
              <w:rPr>
                <w:sz w:val="20"/>
                <w:szCs w:val="20"/>
              </w:rPr>
              <w:t>1</w:t>
            </w:r>
          </w:p>
        </w:tc>
      </w:tr>
      <w:tr w:rsidR="004907B0" w:rsidRPr="004907B0" w14:paraId="20F9799C" w14:textId="77777777" w:rsidTr="00C530B0">
        <w:trPr>
          <w:trHeight w:val="290"/>
        </w:trPr>
        <w:tc>
          <w:tcPr>
            <w:tcW w:w="1337" w:type="dxa"/>
          </w:tcPr>
          <w:p w14:paraId="277E8AC9" w14:textId="77777777" w:rsidR="004907B0" w:rsidRPr="004907B0" w:rsidRDefault="004907B0" w:rsidP="00C530B0">
            <w:pPr>
              <w:autoSpaceDE w:val="0"/>
              <w:autoSpaceDN w:val="0"/>
              <w:adjustRightInd w:val="0"/>
              <w:rPr>
                <w:sz w:val="20"/>
                <w:szCs w:val="20"/>
              </w:rPr>
            </w:pPr>
            <w:r w:rsidRPr="004907B0">
              <w:rPr>
                <w:sz w:val="20"/>
                <w:szCs w:val="20"/>
              </w:rPr>
              <w:t>12302</w:t>
            </w:r>
          </w:p>
        </w:tc>
        <w:tc>
          <w:tcPr>
            <w:tcW w:w="7624" w:type="dxa"/>
          </w:tcPr>
          <w:p w14:paraId="3C9EF9F7" w14:textId="77777777" w:rsidR="004907B0" w:rsidRPr="004907B0" w:rsidRDefault="004907B0" w:rsidP="00C530B0">
            <w:pPr>
              <w:autoSpaceDE w:val="0"/>
              <w:autoSpaceDN w:val="0"/>
              <w:adjustRightInd w:val="0"/>
              <w:rPr>
                <w:sz w:val="20"/>
                <w:szCs w:val="20"/>
              </w:rPr>
            </w:pPr>
            <w:r w:rsidRPr="004907B0">
              <w:rPr>
                <w:sz w:val="20"/>
                <w:szCs w:val="20"/>
              </w:rPr>
              <w:t>Sejemske dvorane, razstavišča</w:t>
            </w:r>
          </w:p>
        </w:tc>
        <w:tc>
          <w:tcPr>
            <w:tcW w:w="850" w:type="dxa"/>
          </w:tcPr>
          <w:p w14:paraId="39E8545E" w14:textId="77777777" w:rsidR="004907B0" w:rsidRPr="004907B0" w:rsidRDefault="004907B0" w:rsidP="00C530B0">
            <w:pPr>
              <w:autoSpaceDE w:val="0"/>
              <w:autoSpaceDN w:val="0"/>
              <w:adjustRightInd w:val="0"/>
              <w:jc w:val="right"/>
              <w:rPr>
                <w:sz w:val="20"/>
                <w:szCs w:val="20"/>
              </w:rPr>
            </w:pPr>
            <w:r w:rsidRPr="004907B0">
              <w:rPr>
                <w:sz w:val="20"/>
                <w:szCs w:val="20"/>
              </w:rPr>
              <w:t>1</w:t>
            </w:r>
          </w:p>
        </w:tc>
      </w:tr>
      <w:tr w:rsidR="004907B0" w:rsidRPr="004907B0" w14:paraId="10E5E3ED" w14:textId="77777777" w:rsidTr="00C530B0">
        <w:trPr>
          <w:trHeight w:val="290"/>
        </w:trPr>
        <w:tc>
          <w:tcPr>
            <w:tcW w:w="1337" w:type="dxa"/>
          </w:tcPr>
          <w:p w14:paraId="1DBB18E3" w14:textId="77777777" w:rsidR="004907B0" w:rsidRPr="004907B0" w:rsidRDefault="004907B0" w:rsidP="00C530B0">
            <w:pPr>
              <w:autoSpaceDE w:val="0"/>
              <w:autoSpaceDN w:val="0"/>
              <w:adjustRightInd w:val="0"/>
              <w:rPr>
                <w:sz w:val="20"/>
                <w:szCs w:val="20"/>
              </w:rPr>
            </w:pPr>
            <w:r w:rsidRPr="004907B0">
              <w:rPr>
                <w:sz w:val="20"/>
                <w:szCs w:val="20"/>
              </w:rPr>
              <w:t>12303</w:t>
            </w:r>
          </w:p>
        </w:tc>
        <w:tc>
          <w:tcPr>
            <w:tcW w:w="7624" w:type="dxa"/>
          </w:tcPr>
          <w:p w14:paraId="2DB66D52" w14:textId="77777777" w:rsidR="004907B0" w:rsidRPr="004907B0" w:rsidRDefault="004907B0" w:rsidP="00C530B0">
            <w:pPr>
              <w:autoSpaceDE w:val="0"/>
              <w:autoSpaceDN w:val="0"/>
              <w:adjustRightInd w:val="0"/>
              <w:rPr>
                <w:sz w:val="20"/>
                <w:szCs w:val="20"/>
              </w:rPr>
            </w:pPr>
            <w:r w:rsidRPr="004907B0">
              <w:rPr>
                <w:sz w:val="20"/>
                <w:szCs w:val="20"/>
              </w:rPr>
              <w:t>Bencinski servisi</w:t>
            </w:r>
          </w:p>
        </w:tc>
        <w:tc>
          <w:tcPr>
            <w:tcW w:w="850" w:type="dxa"/>
          </w:tcPr>
          <w:p w14:paraId="4A8CA6C0" w14:textId="77777777" w:rsidR="004907B0" w:rsidRPr="004907B0" w:rsidRDefault="004907B0" w:rsidP="00C530B0">
            <w:pPr>
              <w:autoSpaceDE w:val="0"/>
              <w:autoSpaceDN w:val="0"/>
              <w:adjustRightInd w:val="0"/>
              <w:jc w:val="right"/>
              <w:rPr>
                <w:sz w:val="20"/>
                <w:szCs w:val="20"/>
              </w:rPr>
            </w:pPr>
            <w:r w:rsidRPr="004907B0">
              <w:rPr>
                <w:sz w:val="20"/>
                <w:szCs w:val="20"/>
              </w:rPr>
              <w:t>1,3</w:t>
            </w:r>
          </w:p>
        </w:tc>
      </w:tr>
      <w:tr w:rsidR="004907B0" w:rsidRPr="004907B0" w14:paraId="3DF68173" w14:textId="77777777" w:rsidTr="00C530B0">
        <w:trPr>
          <w:trHeight w:val="290"/>
        </w:trPr>
        <w:tc>
          <w:tcPr>
            <w:tcW w:w="1337" w:type="dxa"/>
          </w:tcPr>
          <w:p w14:paraId="5E65BC35" w14:textId="77777777" w:rsidR="004907B0" w:rsidRPr="004907B0" w:rsidRDefault="004907B0" w:rsidP="00C530B0">
            <w:pPr>
              <w:autoSpaceDE w:val="0"/>
              <w:autoSpaceDN w:val="0"/>
              <w:adjustRightInd w:val="0"/>
              <w:rPr>
                <w:sz w:val="20"/>
                <w:szCs w:val="20"/>
              </w:rPr>
            </w:pPr>
            <w:r w:rsidRPr="004907B0">
              <w:rPr>
                <w:sz w:val="20"/>
                <w:szCs w:val="20"/>
              </w:rPr>
              <w:t>12304</w:t>
            </w:r>
          </w:p>
        </w:tc>
        <w:tc>
          <w:tcPr>
            <w:tcW w:w="7624" w:type="dxa"/>
          </w:tcPr>
          <w:p w14:paraId="7FF23789" w14:textId="77777777" w:rsidR="004907B0" w:rsidRPr="004907B0" w:rsidRDefault="004907B0" w:rsidP="00C530B0">
            <w:pPr>
              <w:autoSpaceDE w:val="0"/>
              <w:autoSpaceDN w:val="0"/>
              <w:adjustRightInd w:val="0"/>
              <w:rPr>
                <w:sz w:val="20"/>
                <w:szCs w:val="20"/>
              </w:rPr>
            </w:pPr>
            <w:r w:rsidRPr="004907B0">
              <w:rPr>
                <w:sz w:val="20"/>
                <w:szCs w:val="20"/>
              </w:rPr>
              <w:t>Stavbe za druge storitvene dejavnosti</w:t>
            </w:r>
          </w:p>
        </w:tc>
        <w:tc>
          <w:tcPr>
            <w:tcW w:w="850" w:type="dxa"/>
          </w:tcPr>
          <w:p w14:paraId="0A496D65" w14:textId="77777777" w:rsidR="004907B0" w:rsidRPr="004907B0" w:rsidRDefault="004907B0" w:rsidP="00C530B0">
            <w:pPr>
              <w:autoSpaceDE w:val="0"/>
              <w:autoSpaceDN w:val="0"/>
              <w:adjustRightInd w:val="0"/>
              <w:jc w:val="right"/>
              <w:rPr>
                <w:sz w:val="20"/>
                <w:szCs w:val="20"/>
              </w:rPr>
            </w:pPr>
            <w:r w:rsidRPr="004907B0">
              <w:rPr>
                <w:sz w:val="20"/>
                <w:szCs w:val="20"/>
              </w:rPr>
              <w:t>0,8</w:t>
            </w:r>
          </w:p>
        </w:tc>
      </w:tr>
      <w:tr w:rsidR="004907B0" w:rsidRPr="004907B0" w14:paraId="316CA3D7" w14:textId="77777777" w:rsidTr="00C530B0">
        <w:trPr>
          <w:trHeight w:val="290"/>
        </w:trPr>
        <w:tc>
          <w:tcPr>
            <w:tcW w:w="1337" w:type="dxa"/>
          </w:tcPr>
          <w:p w14:paraId="34D0F6BD" w14:textId="77777777" w:rsidR="004907B0" w:rsidRPr="004907B0" w:rsidRDefault="004907B0" w:rsidP="00C530B0">
            <w:pPr>
              <w:autoSpaceDE w:val="0"/>
              <w:autoSpaceDN w:val="0"/>
              <w:adjustRightInd w:val="0"/>
              <w:rPr>
                <w:b/>
                <w:bCs/>
                <w:sz w:val="20"/>
                <w:szCs w:val="20"/>
              </w:rPr>
            </w:pPr>
            <w:r w:rsidRPr="004907B0">
              <w:rPr>
                <w:b/>
                <w:bCs/>
                <w:sz w:val="20"/>
                <w:szCs w:val="20"/>
              </w:rPr>
              <w:t>124</w:t>
            </w:r>
          </w:p>
        </w:tc>
        <w:tc>
          <w:tcPr>
            <w:tcW w:w="7624" w:type="dxa"/>
          </w:tcPr>
          <w:p w14:paraId="4F9681F5" w14:textId="77777777" w:rsidR="004907B0" w:rsidRPr="004907B0" w:rsidRDefault="004907B0" w:rsidP="00C530B0">
            <w:pPr>
              <w:autoSpaceDE w:val="0"/>
              <w:autoSpaceDN w:val="0"/>
              <w:adjustRightInd w:val="0"/>
              <w:rPr>
                <w:b/>
                <w:bCs/>
                <w:sz w:val="20"/>
                <w:szCs w:val="20"/>
              </w:rPr>
            </w:pPr>
            <w:r w:rsidRPr="004907B0">
              <w:rPr>
                <w:b/>
                <w:bCs/>
                <w:sz w:val="20"/>
                <w:szCs w:val="20"/>
              </w:rPr>
              <w:t>Stavbe za promet in stavbe za izvajanje elektronskih komunikacij</w:t>
            </w:r>
          </w:p>
        </w:tc>
        <w:tc>
          <w:tcPr>
            <w:tcW w:w="850" w:type="dxa"/>
          </w:tcPr>
          <w:p w14:paraId="5C0470EA" w14:textId="77777777" w:rsidR="004907B0" w:rsidRPr="004907B0" w:rsidRDefault="004907B0" w:rsidP="00C530B0">
            <w:pPr>
              <w:autoSpaceDE w:val="0"/>
              <w:autoSpaceDN w:val="0"/>
              <w:adjustRightInd w:val="0"/>
              <w:jc w:val="right"/>
              <w:rPr>
                <w:rFonts w:ascii="Calibri" w:hAnsi="Calibri" w:cs="Calibri"/>
                <w:sz w:val="22"/>
                <w:szCs w:val="22"/>
              </w:rPr>
            </w:pPr>
          </w:p>
        </w:tc>
      </w:tr>
      <w:tr w:rsidR="004907B0" w:rsidRPr="004907B0" w14:paraId="6750FD23" w14:textId="77777777" w:rsidTr="00C530B0">
        <w:trPr>
          <w:trHeight w:val="290"/>
        </w:trPr>
        <w:tc>
          <w:tcPr>
            <w:tcW w:w="1337" w:type="dxa"/>
          </w:tcPr>
          <w:p w14:paraId="2FD638FC" w14:textId="77777777" w:rsidR="004907B0" w:rsidRPr="004907B0" w:rsidRDefault="004907B0" w:rsidP="00C530B0">
            <w:pPr>
              <w:autoSpaceDE w:val="0"/>
              <w:autoSpaceDN w:val="0"/>
              <w:adjustRightInd w:val="0"/>
              <w:rPr>
                <w:sz w:val="20"/>
                <w:szCs w:val="20"/>
              </w:rPr>
            </w:pPr>
            <w:r w:rsidRPr="004907B0">
              <w:rPr>
                <w:sz w:val="20"/>
                <w:szCs w:val="20"/>
              </w:rPr>
              <w:t>12410</w:t>
            </w:r>
          </w:p>
        </w:tc>
        <w:tc>
          <w:tcPr>
            <w:tcW w:w="7624" w:type="dxa"/>
          </w:tcPr>
          <w:p w14:paraId="4854F922" w14:textId="77777777" w:rsidR="004907B0" w:rsidRPr="004907B0" w:rsidRDefault="004907B0" w:rsidP="00C530B0">
            <w:pPr>
              <w:autoSpaceDE w:val="0"/>
              <w:autoSpaceDN w:val="0"/>
              <w:adjustRightInd w:val="0"/>
              <w:rPr>
                <w:sz w:val="20"/>
                <w:szCs w:val="20"/>
              </w:rPr>
            </w:pPr>
            <w:r w:rsidRPr="004907B0">
              <w:rPr>
                <w:sz w:val="20"/>
                <w:szCs w:val="20"/>
              </w:rPr>
              <w:t>Postaje, terminali, stavbe za izvajanje elektronskih komunikacij ter z njimi povezane stavbe</w:t>
            </w:r>
          </w:p>
        </w:tc>
        <w:tc>
          <w:tcPr>
            <w:tcW w:w="850" w:type="dxa"/>
          </w:tcPr>
          <w:p w14:paraId="7EE6622B" w14:textId="77777777" w:rsidR="004907B0" w:rsidRPr="004907B0" w:rsidRDefault="004907B0" w:rsidP="00C530B0">
            <w:pPr>
              <w:autoSpaceDE w:val="0"/>
              <w:autoSpaceDN w:val="0"/>
              <w:adjustRightInd w:val="0"/>
              <w:jc w:val="right"/>
              <w:rPr>
                <w:sz w:val="20"/>
                <w:szCs w:val="20"/>
              </w:rPr>
            </w:pPr>
            <w:r w:rsidRPr="004907B0">
              <w:rPr>
                <w:sz w:val="20"/>
                <w:szCs w:val="20"/>
              </w:rPr>
              <w:t>1</w:t>
            </w:r>
          </w:p>
        </w:tc>
      </w:tr>
      <w:tr w:rsidR="004907B0" w:rsidRPr="004907B0" w14:paraId="314846D7" w14:textId="77777777" w:rsidTr="00C530B0">
        <w:trPr>
          <w:trHeight w:val="290"/>
        </w:trPr>
        <w:tc>
          <w:tcPr>
            <w:tcW w:w="1337" w:type="dxa"/>
          </w:tcPr>
          <w:p w14:paraId="290C08C0" w14:textId="77777777" w:rsidR="004907B0" w:rsidRPr="004907B0" w:rsidRDefault="004907B0" w:rsidP="00C530B0">
            <w:pPr>
              <w:autoSpaceDE w:val="0"/>
              <w:autoSpaceDN w:val="0"/>
              <w:adjustRightInd w:val="0"/>
              <w:rPr>
                <w:sz w:val="20"/>
                <w:szCs w:val="20"/>
              </w:rPr>
            </w:pPr>
            <w:r w:rsidRPr="004907B0">
              <w:rPr>
                <w:sz w:val="20"/>
                <w:szCs w:val="20"/>
              </w:rPr>
              <w:t>12420</w:t>
            </w:r>
          </w:p>
        </w:tc>
        <w:tc>
          <w:tcPr>
            <w:tcW w:w="7624" w:type="dxa"/>
          </w:tcPr>
          <w:p w14:paraId="4DB869D8" w14:textId="77777777" w:rsidR="004907B0" w:rsidRPr="004907B0" w:rsidRDefault="004907B0" w:rsidP="00C530B0">
            <w:pPr>
              <w:autoSpaceDE w:val="0"/>
              <w:autoSpaceDN w:val="0"/>
              <w:adjustRightInd w:val="0"/>
              <w:rPr>
                <w:sz w:val="20"/>
                <w:szCs w:val="20"/>
              </w:rPr>
            </w:pPr>
            <w:r w:rsidRPr="004907B0">
              <w:rPr>
                <w:sz w:val="20"/>
                <w:szCs w:val="20"/>
              </w:rPr>
              <w:t>Garažne stavbe</w:t>
            </w:r>
          </w:p>
        </w:tc>
        <w:tc>
          <w:tcPr>
            <w:tcW w:w="850" w:type="dxa"/>
          </w:tcPr>
          <w:p w14:paraId="36C150DF" w14:textId="77777777" w:rsidR="004907B0" w:rsidRPr="004907B0" w:rsidRDefault="004907B0" w:rsidP="00C530B0">
            <w:pPr>
              <w:autoSpaceDE w:val="0"/>
              <w:autoSpaceDN w:val="0"/>
              <w:adjustRightInd w:val="0"/>
              <w:jc w:val="right"/>
              <w:rPr>
                <w:sz w:val="20"/>
                <w:szCs w:val="20"/>
              </w:rPr>
            </w:pPr>
            <w:r w:rsidRPr="004907B0">
              <w:rPr>
                <w:sz w:val="20"/>
                <w:szCs w:val="20"/>
              </w:rPr>
              <w:t>0,7</w:t>
            </w:r>
          </w:p>
        </w:tc>
      </w:tr>
      <w:tr w:rsidR="004907B0" w:rsidRPr="004907B0" w14:paraId="1747F8C0" w14:textId="77777777" w:rsidTr="00C530B0">
        <w:trPr>
          <w:trHeight w:val="290"/>
        </w:trPr>
        <w:tc>
          <w:tcPr>
            <w:tcW w:w="1337" w:type="dxa"/>
          </w:tcPr>
          <w:p w14:paraId="3CD2790D" w14:textId="77777777" w:rsidR="004907B0" w:rsidRPr="004907B0" w:rsidRDefault="004907B0" w:rsidP="00C530B0">
            <w:pPr>
              <w:autoSpaceDE w:val="0"/>
              <w:autoSpaceDN w:val="0"/>
              <w:adjustRightInd w:val="0"/>
              <w:rPr>
                <w:b/>
                <w:bCs/>
                <w:sz w:val="20"/>
                <w:szCs w:val="20"/>
              </w:rPr>
            </w:pPr>
            <w:r w:rsidRPr="004907B0">
              <w:rPr>
                <w:b/>
                <w:bCs/>
                <w:sz w:val="20"/>
                <w:szCs w:val="20"/>
              </w:rPr>
              <w:t>125</w:t>
            </w:r>
          </w:p>
        </w:tc>
        <w:tc>
          <w:tcPr>
            <w:tcW w:w="7624" w:type="dxa"/>
          </w:tcPr>
          <w:p w14:paraId="717AC47B" w14:textId="77777777" w:rsidR="004907B0" w:rsidRPr="004907B0" w:rsidRDefault="004907B0" w:rsidP="00C530B0">
            <w:pPr>
              <w:autoSpaceDE w:val="0"/>
              <w:autoSpaceDN w:val="0"/>
              <w:adjustRightInd w:val="0"/>
              <w:rPr>
                <w:b/>
                <w:bCs/>
                <w:sz w:val="20"/>
                <w:szCs w:val="20"/>
              </w:rPr>
            </w:pPr>
            <w:r w:rsidRPr="004907B0">
              <w:rPr>
                <w:b/>
                <w:bCs/>
                <w:sz w:val="20"/>
                <w:szCs w:val="20"/>
              </w:rPr>
              <w:t>Industrijske stavbe in skladišča</w:t>
            </w:r>
          </w:p>
        </w:tc>
        <w:tc>
          <w:tcPr>
            <w:tcW w:w="850" w:type="dxa"/>
          </w:tcPr>
          <w:p w14:paraId="0DD09DF2" w14:textId="77777777" w:rsidR="004907B0" w:rsidRPr="004907B0" w:rsidRDefault="004907B0" w:rsidP="00C530B0">
            <w:pPr>
              <w:autoSpaceDE w:val="0"/>
              <w:autoSpaceDN w:val="0"/>
              <w:adjustRightInd w:val="0"/>
              <w:jc w:val="right"/>
              <w:rPr>
                <w:rFonts w:ascii="Calibri" w:hAnsi="Calibri" w:cs="Calibri"/>
                <w:sz w:val="22"/>
                <w:szCs w:val="22"/>
              </w:rPr>
            </w:pPr>
          </w:p>
        </w:tc>
      </w:tr>
      <w:tr w:rsidR="004907B0" w:rsidRPr="004907B0" w14:paraId="14AF0CB4" w14:textId="77777777" w:rsidTr="00C530B0">
        <w:trPr>
          <w:trHeight w:val="290"/>
        </w:trPr>
        <w:tc>
          <w:tcPr>
            <w:tcW w:w="1337" w:type="dxa"/>
          </w:tcPr>
          <w:p w14:paraId="3F1E9B31" w14:textId="77777777" w:rsidR="004907B0" w:rsidRPr="004907B0" w:rsidRDefault="004907B0" w:rsidP="00C530B0">
            <w:pPr>
              <w:autoSpaceDE w:val="0"/>
              <w:autoSpaceDN w:val="0"/>
              <w:adjustRightInd w:val="0"/>
              <w:rPr>
                <w:sz w:val="20"/>
                <w:szCs w:val="20"/>
              </w:rPr>
            </w:pPr>
            <w:r w:rsidRPr="004907B0">
              <w:rPr>
                <w:sz w:val="20"/>
                <w:szCs w:val="20"/>
              </w:rPr>
              <w:t>12510</w:t>
            </w:r>
          </w:p>
        </w:tc>
        <w:tc>
          <w:tcPr>
            <w:tcW w:w="7624" w:type="dxa"/>
          </w:tcPr>
          <w:p w14:paraId="14347E8B" w14:textId="77777777" w:rsidR="004907B0" w:rsidRPr="004907B0" w:rsidRDefault="004907B0" w:rsidP="00C530B0">
            <w:pPr>
              <w:autoSpaceDE w:val="0"/>
              <w:autoSpaceDN w:val="0"/>
              <w:adjustRightInd w:val="0"/>
              <w:rPr>
                <w:sz w:val="20"/>
                <w:szCs w:val="20"/>
              </w:rPr>
            </w:pPr>
            <w:r w:rsidRPr="004907B0">
              <w:rPr>
                <w:sz w:val="20"/>
                <w:szCs w:val="20"/>
              </w:rPr>
              <w:t>Industrijske stavbe (proizvodnja dejavnost, industrija)</w:t>
            </w:r>
          </w:p>
        </w:tc>
        <w:tc>
          <w:tcPr>
            <w:tcW w:w="850" w:type="dxa"/>
          </w:tcPr>
          <w:p w14:paraId="3CE768DF" w14:textId="45CC200F" w:rsidR="004907B0" w:rsidRPr="004907B0" w:rsidRDefault="004907B0" w:rsidP="00CA3D85">
            <w:pPr>
              <w:autoSpaceDE w:val="0"/>
              <w:autoSpaceDN w:val="0"/>
              <w:adjustRightInd w:val="0"/>
              <w:jc w:val="right"/>
              <w:rPr>
                <w:sz w:val="20"/>
                <w:szCs w:val="20"/>
              </w:rPr>
            </w:pPr>
            <w:r w:rsidRPr="004907B0">
              <w:rPr>
                <w:sz w:val="20"/>
                <w:szCs w:val="20"/>
              </w:rPr>
              <w:t>0,</w:t>
            </w:r>
            <w:r w:rsidR="00CA3D85">
              <w:rPr>
                <w:sz w:val="20"/>
                <w:szCs w:val="20"/>
              </w:rPr>
              <w:t>7</w:t>
            </w:r>
          </w:p>
        </w:tc>
      </w:tr>
      <w:tr w:rsidR="004907B0" w:rsidRPr="004907B0" w14:paraId="5C67D3EF" w14:textId="77777777" w:rsidTr="00C530B0">
        <w:trPr>
          <w:trHeight w:val="305"/>
        </w:trPr>
        <w:tc>
          <w:tcPr>
            <w:tcW w:w="1337" w:type="dxa"/>
          </w:tcPr>
          <w:p w14:paraId="1A871921" w14:textId="77777777" w:rsidR="004907B0" w:rsidRPr="004907B0" w:rsidRDefault="004907B0" w:rsidP="00C530B0">
            <w:pPr>
              <w:autoSpaceDE w:val="0"/>
              <w:autoSpaceDN w:val="0"/>
              <w:adjustRightInd w:val="0"/>
              <w:rPr>
                <w:sz w:val="20"/>
                <w:szCs w:val="20"/>
              </w:rPr>
            </w:pPr>
            <w:r w:rsidRPr="004907B0">
              <w:rPr>
                <w:sz w:val="20"/>
                <w:szCs w:val="20"/>
              </w:rPr>
              <w:t>12510</w:t>
            </w:r>
          </w:p>
        </w:tc>
        <w:tc>
          <w:tcPr>
            <w:tcW w:w="7624" w:type="dxa"/>
          </w:tcPr>
          <w:p w14:paraId="4BDBC242" w14:textId="77777777" w:rsidR="004907B0" w:rsidRPr="004907B0" w:rsidRDefault="004907B0" w:rsidP="00C530B0">
            <w:pPr>
              <w:autoSpaceDE w:val="0"/>
              <w:autoSpaceDN w:val="0"/>
              <w:adjustRightInd w:val="0"/>
              <w:rPr>
                <w:sz w:val="20"/>
                <w:szCs w:val="20"/>
              </w:rPr>
            </w:pPr>
            <w:r w:rsidRPr="004907B0">
              <w:rPr>
                <w:sz w:val="20"/>
                <w:szCs w:val="20"/>
              </w:rPr>
              <w:t>Industrijske stavbe (obrtna dejavnost, če je skupaj največ 500 m</w:t>
            </w:r>
            <w:r w:rsidRPr="004907B0">
              <w:rPr>
                <w:sz w:val="20"/>
                <w:szCs w:val="20"/>
                <w:vertAlign w:val="superscript"/>
              </w:rPr>
              <w:t>2</w:t>
            </w:r>
            <w:r w:rsidRPr="004907B0">
              <w:rPr>
                <w:sz w:val="20"/>
                <w:szCs w:val="20"/>
              </w:rPr>
              <w:t xml:space="preserve"> pokritih površin)</w:t>
            </w:r>
          </w:p>
        </w:tc>
        <w:tc>
          <w:tcPr>
            <w:tcW w:w="850" w:type="dxa"/>
          </w:tcPr>
          <w:p w14:paraId="48B82B74" w14:textId="77777777" w:rsidR="004907B0" w:rsidRPr="004907B0" w:rsidRDefault="004907B0" w:rsidP="00C530B0">
            <w:pPr>
              <w:autoSpaceDE w:val="0"/>
              <w:autoSpaceDN w:val="0"/>
              <w:adjustRightInd w:val="0"/>
              <w:jc w:val="right"/>
              <w:rPr>
                <w:sz w:val="20"/>
                <w:szCs w:val="20"/>
              </w:rPr>
            </w:pPr>
            <w:r w:rsidRPr="004907B0">
              <w:rPr>
                <w:sz w:val="20"/>
                <w:szCs w:val="20"/>
              </w:rPr>
              <w:t>0,7</w:t>
            </w:r>
          </w:p>
        </w:tc>
      </w:tr>
      <w:tr w:rsidR="004907B0" w:rsidRPr="004907B0" w14:paraId="5009FDEE" w14:textId="77777777" w:rsidTr="00C530B0">
        <w:trPr>
          <w:trHeight w:val="492"/>
        </w:trPr>
        <w:tc>
          <w:tcPr>
            <w:tcW w:w="1337" w:type="dxa"/>
          </w:tcPr>
          <w:p w14:paraId="163A6D04" w14:textId="77777777" w:rsidR="004907B0" w:rsidRPr="004907B0" w:rsidRDefault="004907B0" w:rsidP="00C530B0">
            <w:pPr>
              <w:autoSpaceDE w:val="0"/>
              <w:autoSpaceDN w:val="0"/>
              <w:adjustRightInd w:val="0"/>
              <w:rPr>
                <w:sz w:val="20"/>
                <w:szCs w:val="20"/>
              </w:rPr>
            </w:pPr>
            <w:r w:rsidRPr="004907B0">
              <w:rPr>
                <w:sz w:val="20"/>
                <w:szCs w:val="20"/>
              </w:rPr>
              <w:t>12510</w:t>
            </w:r>
          </w:p>
        </w:tc>
        <w:tc>
          <w:tcPr>
            <w:tcW w:w="7624" w:type="dxa"/>
          </w:tcPr>
          <w:p w14:paraId="5A74E939" w14:textId="77777777" w:rsidR="004907B0" w:rsidRPr="004907B0" w:rsidRDefault="004907B0" w:rsidP="00C530B0">
            <w:pPr>
              <w:autoSpaceDE w:val="0"/>
              <w:autoSpaceDN w:val="0"/>
              <w:adjustRightInd w:val="0"/>
              <w:rPr>
                <w:sz w:val="20"/>
                <w:szCs w:val="20"/>
              </w:rPr>
            </w:pPr>
            <w:r w:rsidRPr="004907B0">
              <w:rPr>
                <w:sz w:val="20"/>
                <w:szCs w:val="20"/>
              </w:rPr>
              <w:t>Industrijske stavbe (dejavnosti, ki nadpovprečno obremenjujejo komunalno infrastrukturo: klavnice, mlekarne, itd.)</w:t>
            </w:r>
          </w:p>
        </w:tc>
        <w:tc>
          <w:tcPr>
            <w:tcW w:w="850" w:type="dxa"/>
          </w:tcPr>
          <w:p w14:paraId="52242771" w14:textId="77777777" w:rsidR="004907B0" w:rsidRPr="004907B0" w:rsidRDefault="004907B0" w:rsidP="00C530B0">
            <w:pPr>
              <w:autoSpaceDE w:val="0"/>
              <w:autoSpaceDN w:val="0"/>
              <w:adjustRightInd w:val="0"/>
              <w:jc w:val="right"/>
              <w:rPr>
                <w:sz w:val="20"/>
                <w:szCs w:val="20"/>
              </w:rPr>
            </w:pPr>
            <w:r w:rsidRPr="004907B0">
              <w:rPr>
                <w:sz w:val="20"/>
                <w:szCs w:val="20"/>
              </w:rPr>
              <w:t>1</w:t>
            </w:r>
          </w:p>
        </w:tc>
      </w:tr>
      <w:tr w:rsidR="004907B0" w:rsidRPr="004907B0" w14:paraId="4045E349" w14:textId="77777777" w:rsidTr="00C530B0">
        <w:trPr>
          <w:trHeight w:val="290"/>
        </w:trPr>
        <w:tc>
          <w:tcPr>
            <w:tcW w:w="1337" w:type="dxa"/>
          </w:tcPr>
          <w:p w14:paraId="2A5F722C" w14:textId="77777777" w:rsidR="004907B0" w:rsidRPr="004907B0" w:rsidRDefault="004907B0" w:rsidP="00C530B0">
            <w:pPr>
              <w:autoSpaceDE w:val="0"/>
              <w:autoSpaceDN w:val="0"/>
              <w:adjustRightInd w:val="0"/>
              <w:rPr>
                <w:sz w:val="20"/>
                <w:szCs w:val="20"/>
              </w:rPr>
            </w:pPr>
            <w:r w:rsidRPr="004907B0">
              <w:rPr>
                <w:sz w:val="20"/>
                <w:szCs w:val="20"/>
              </w:rPr>
              <w:t>12520</w:t>
            </w:r>
          </w:p>
        </w:tc>
        <w:tc>
          <w:tcPr>
            <w:tcW w:w="7624" w:type="dxa"/>
          </w:tcPr>
          <w:p w14:paraId="2AABCC3D" w14:textId="77777777" w:rsidR="004907B0" w:rsidRPr="004907B0" w:rsidRDefault="004907B0" w:rsidP="00C530B0">
            <w:pPr>
              <w:autoSpaceDE w:val="0"/>
              <w:autoSpaceDN w:val="0"/>
              <w:adjustRightInd w:val="0"/>
              <w:rPr>
                <w:sz w:val="20"/>
                <w:szCs w:val="20"/>
              </w:rPr>
            </w:pPr>
            <w:r w:rsidRPr="004907B0">
              <w:rPr>
                <w:sz w:val="20"/>
                <w:szCs w:val="20"/>
              </w:rPr>
              <w:t>Rezervoarji, silosi in skladišča</w:t>
            </w:r>
          </w:p>
        </w:tc>
        <w:tc>
          <w:tcPr>
            <w:tcW w:w="850" w:type="dxa"/>
          </w:tcPr>
          <w:p w14:paraId="1BC71A3A" w14:textId="0DEA20A9" w:rsidR="004907B0" w:rsidRPr="004907B0" w:rsidRDefault="00CA3D85" w:rsidP="00C530B0">
            <w:pPr>
              <w:autoSpaceDE w:val="0"/>
              <w:autoSpaceDN w:val="0"/>
              <w:adjustRightInd w:val="0"/>
              <w:jc w:val="right"/>
              <w:rPr>
                <w:sz w:val="20"/>
                <w:szCs w:val="20"/>
              </w:rPr>
            </w:pPr>
            <w:r>
              <w:rPr>
                <w:sz w:val="20"/>
                <w:szCs w:val="20"/>
              </w:rPr>
              <w:t>0,7</w:t>
            </w:r>
          </w:p>
        </w:tc>
      </w:tr>
      <w:tr w:rsidR="004907B0" w:rsidRPr="004907B0" w14:paraId="50F9CFB9" w14:textId="77777777" w:rsidTr="00C530B0">
        <w:trPr>
          <w:trHeight w:val="492"/>
        </w:trPr>
        <w:tc>
          <w:tcPr>
            <w:tcW w:w="1337" w:type="dxa"/>
          </w:tcPr>
          <w:p w14:paraId="542D348B" w14:textId="77777777" w:rsidR="004907B0" w:rsidRPr="004907B0" w:rsidRDefault="004907B0" w:rsidP="00C530B0">
            <w:pPr>
              <w:autoSpaceDE w:val="0"/>
              <w:autoSpaceDN w:val="0"/>
              <w:adjustRightInd w:val="0"/>
              <w:rPr>
                <w:sz w:val="20"/>
                <w:szCs w:val="20"/>
              </w:rPr>
            </w:pPr>
            <w:r w:rsidRPr="004907B0">
              <w:rPr>
                <w:sz w:val="20"/>
                <w:szCs w:val="20"/>
              </w:rPr>
              <w:t>12520</w:t>
            </w:r>
          </w:p>
        </w:tc>
        <w:tc>
          <w:tcPr>
            <w:tcW w:w="7624" w:type="dxa"/>
          </w:tcPr>
          <w:p w14:paraId="6545AE35" w14:textId="0A1DF8AD" w:rsidR="004907B0" w:rsidRPr="004907B0" w:rsidRDefault="004907B0" w:rsidP="006F0888">
            <w:pPr>
              <w:autoSpaceDE w:val="0"/>
              <w:autoSpaceDN w:val="0"/>
              <w:adjustRightInd w:val="0"/>
              <w:rPr>
                <w:sz w:val="20"/>
                <w:szCs w:val="20"/>
              </w:rPr>
            </w:pPr>
            <w:r w:rsidRPr="004907B0">
              <w:rPr>
                <w:sz w:val="20"/>
                <w:szCs w:val="20"/>
              </w:rPr>
              <w:t>Rezervoarji, silosi in skladišča (nevarne snovi in r</w:t>
            </w:r>
            <w:r w:rsidR="006F0888">
              <w:rPr>
                <w:sz w:val="20"/>
                <w:szCs w:val="20"/>
              </w:rPr>
              <w:t>az</w:t>
            </w:r>
            <w:r w:rsidRPr="004907B0">
              <w:rPr>
                <w:sz w:val="20"/>
                <w:szCs w:val="20"/>
              </w:rPr>
              <w:t>streliva, vključno s fitofarmacevtskimi pripravki)</w:t>
            </w:r>
          </w:p>
        </w:tc>
        <w:tc>
          <w:tcPr>
            <w:tcW w:w="850" w:type="dxa"/>
          </w:tcPr>
          <w:p w14:paraId="3D390ECE" w14:textId="59B2637B" w:rsidR="004907B0" w:rsidRPr="004907B0" w:rsidRDefault="00FB41C1" w:rsidP="00C530B0">
            <w:pPr>
              <w:autoSpaceDE w:val="0"/>
              <w:autoSpaceDN w:val="0"/>
              <w:adjustRightInd w:val="0"/>
              <w:jc w:val="right"/>
              <w:rPr>
                <w:sz w:val="20"/>
                <w:szCs w:val="20"/>
              </w:rPr>
            </w:pPr>
            <w:r>
              <w:rPr>
                <w:sz w:val="20"/>
                <w:szCs w:val="20"/>
              </w:rPr>
              <w:t>1,3</w:t>
            </w:r>
          </w:p>
        </w:tc>
      </w:tr>
      <w:tr w:rsidR="004907B0" w:rsidRPr="004907B0" w14:paraId="7F596C40" w14:textId="77777777" w:rsidTr="00C530B0">
        <w:trPr>
          <w:trHeight w:val="290"/>
        </w:trPr>
        <w:tc>
          <w:tcPr>
            <w:tcW w:w="1337" w:type="dxa"/>
          </w:tcPr>
          <w:p w14:paraId="1AA2D2B6" w14:textId="77777777" w:rsidR="004907B0" w:rsidRPr="004907B0" w:rsidRDefault="004907B0" w:rsidP="00C530B0">
            <w:pPr>
              <w:autoSpaceDE w:val="0"/>
              <w:autoSpaceDN w:val="0"/>
              <w:adjustRightInd w:val="0"/>
              <w:rPr>
                <w:b/>
                <w:bCs/>
                <w:sz w:val="20"/>
                <w:szCs w:val="20"/>
              </w:rPr>
            </w:pPr>
            <w:r w:rsidRPr="004907B0">
              <w:rPr>
                <w:b/>
                <w:bCs/>
                <w:sz w:val="20"/>
                <w:szCs w:val="20"/>
              </w:rPr>
              <w:t>126</w:t>
            </w:r>
          </w:p>
        </w:tc>
        <w:tc>
          <w:tcPr>
            <w:tcW w:w="7624" w:type="dxa"/>
          </w:tcPr>
          <w:p w14:paraId="737A562C" w14:textId="77777777" w:rsidR="004907B0" w:rsidRPr="004907B0" w:rsidRDefault="004907B0" w:rsidP="00C530B0">
            <w:pPr>
              <w:autoSpaceDE w:val="0"/>
              <w:autoSpaceDN w:val="0"/>
              <w:adjustRightInd w:val="0"/>
              <w:rPr>
                <w:b/>
                <w:bCs/>
                <w:sz w:val="20"/>
                <w:szCs w:val="20"/>
              </w:rPr>
            </w:pPr>
            <w:r w:rsidRPr="004907B0">
              <w:rPr>
                <w:b/>
                <w:bCs/>
                <w:sz w:val="20"/>
                <w:szCs w:val="20"/>
              </w:rPr>
              <w:t>Stavbe splošnega družbenega pomena</w:t>
            </w:r>
          </w:p>
        </w:tc>
        <w:tc>
          <w:tcPr>
            <w:tcW w:w="850" w:type="dxa"/>
          </w:tcPr>
          <w:p w14:paraId="3748CFD2" w14:textId="77777777" w:rsidR="004907B0" w:rsidRPr="004907B0" w:rsidRDefault="004907B0" w:rsidP="00C530B0">
            <w:pPr>
              <w:autoSpaceDE w:val="0"/>
              <w:autoSpaceDN w:val="0"/>
              <w:adjustRightInd w:val="0"/>
              <w:jc w:val="right"/>
              <w:rPr>
                <w:rFonts w:ascii="Calibri" w:hAnsi="Calibri" w:cs="Calibri"/>
                <w:sz w:val="22"/>
                <w:szCs w:val="22"/>
              </w:rPr>
            </w:pPr>
          </w:p>
        </w:tc>
      </w:tr>
      <w:tr w:rsidR="004907B0" w:rsidRPr="004907B0" w14:paraId="2D8FCAEA" w14:textId="77777777" w:rsidTr="00C530B0">
        <w:trPr>
          <w:trHeight w:val="290"/>
        </w:trPr>
        <w:tc>
          <w:tcPr>
            <w:tcW w:w="1337" w:type="dxa"/>
          </w:tcPr>
          <w:p w14:paraId="249ABF99" w14:textId="77777777" w:rsidR="004907B0" w:rsidRPr="004907B0" w:rsidRDefault="004907B0" w:rsidP="00C530B0">
            <w:pPr>
              <w:autoSpaceDE w:val="0"/>
              <w:autoSpaceDN w:val="0"/>
              <w:adjustRightInd w:val="0"/>
              <w:rPr>
                <w:sz w:val="20"/>
                <w:szCs w:val="20"/>
              </w:rPr>
            </w:pPr>
            <w:r w:rsidRPr="004907B0">
              <w:rPr>
                <w:sz w:val="20"/>
                <w:szCs w:val="20"/>
              </w:rPr>
              <w:t>12610</w:t>
            </w:r>
          </w:p>
        </w:tc>
        <w:tc>
          <w:tcPr>
            <w:tcW w:w="7624" w:type="dxa"/>
          </w:tcPr>
          <w:p w14:paraId="5FB51D3B" w14:textId="77777777" w:rsidR="004907B0" w:rsidRPr="004907B0" w:rsidRDefault="004907B0" w:rsidP="00C530B0">
            <w:pPr>
              <w:autoSpaceDE w:val="0"/>
              <w:autoSpaceDN w:val="0"/>
              <w:adjustRightInd w:val="0"/>
              <w:rPr>
                <w:sz w:val="20"/>
                <w:szCs w:val="20"/>
              </w:rPr>
            </w:pPr>
            <w:r w:rsidRPr="004907B0">
              <w:rPr>
                <w:sz w:val="20"/>
                <w:szCs w:val="20"/>
              </w:rPr>
              <w:t>Stavbe za kulturo in razvedrilo</w:t>
            </w:r>
          </w:p>
        </w:tc>
        <w:tc>
          <w:tcPr>
            <w:tcW w:w="850" w:type="dxa"/>
          </w:tcPr>
          <w:p w14:paraId="422F59AB" w14:textId="4697252E" w:rsidR="004907B0" w:rsidRPr="004907B0" w:rsidRDefault="00CA3D85" w:rsidP="00C530B0">
            <w:pPr>
              <w:autoSpaceDE w:val="0"/>
              <w:autoSpaceDN w:val="0"/>
              <w:adjustRightInd w:val="0"/>
              <w:jc w:val="right"/>
              <w:rPr>
                <w:sz w:val="20"/>
                <w:szCs w:val="20"/>
              </w:rPr>
            </w:pPr>
            <w:r>
              <w:rPr>
                <w:sz w:val="20"/>
                <w:szCs w:val="20"/>
              </w:rPr>
              <w:t>0,7</w:t>
            </w:r>
          </w:p>
        </w:tc>
      </w:tr>
      <w:tr w:rsidR="004907B0" w:rsidRPr="004907B0" w14:paraId="32D3DFFF" w14:textId="77777777" w:rsidTr="00C530B0">
        <w:trPr>
          <w:trHeight w:val="290"/>
        </w:trPr>
        <w:tc>
          <w:tcPr>
            <w:tcW w:w="1337" w:type="dxa"/>
          </w:tcPr>
          <w:p w14:paraId="00684C07" w14:textId="77777777" w:rsidR="004907B0" w:rsidRPr="004907B0" w:rsidRDefault="004907B0" w:rsidP="00C530B0">
            <w:pPr>
              <w:autoSpaceDE w:val="0"/>
              <w:autoSpaceDN w:val="0"/>
              <w:adjustRightInd w:val="0"/>
              <w:rPr>
                <w:sz w:val="20"/>
                <w:szCs w:val="20"/>
              </w:rPr>
            </w:pPr>
            <w:r w:rsidRPr="004907B0">
              <w:rPr>
                <w:sz w:val="20"/>
                <w:szCs w:val="20"/>
              </w:rPr>
              <w:t>12620</w:t>
            </w:r>
          </w:p>
        </w:tc>
        <w:tc>
          <w:tcPr>
            <w:tcW w:w="7624" w:type="dxa"/>
          </w:tcPr>
          <w:p w14:paraId="3C3953ED" w14:textId="77777777" w:rsidR="004907B0" w:rsidRPr="004907B0" w:rsidRDefault="004907B0" w:rsidP="00C530B0">
            <w:pPr>
              <w:autoSpaceDE w:val="0"/>
              <w:autoSpaceDN w:val="0"/>
              <w:adjustRightInd w:val="0"/>
              <w:rPr>
                <w:sz w:val="20"/>
                <w:szCs w:val="20"/>
              </w:rPr>
            </w:pPr>
            <w:r w:rsidRPr="004907B0">
              <w:rPr>
                <w:sz w:val="20"/>
                <w:szCs w:val="20"/>
              </w:rPr>
              <w:t>Muzeji in knjižnice</w:t>
            </w:r>
          </w:p>
        </w:tc>
        <w:tc>
          <w:tcPr>
            <w:tcW w:w="850" w:type="dxa"/>
          </w:tcPr>
          <w:p w14:paraId="7E558B74" w14:textId="7C8D90C1" w:rsidR="004907B0" w:rsidRPr="004907B0" w:rsidRDefault="00CA3D85" w:rsidP="00C530B0">
            <w:pPr>
              <w:autoSpaceDE w:val="0"/>
              <w:autoSpaceDN w:val="0"/>
              <w:adjustRightInd w:val="0"/>
              <w:jc w:val="right"/>
              <w:rPr>
                <w:sz w:val="20"/>
                <w:szCs w:val="20"/>
              </w:rPr>
            </w:pPr>
            <w:r>
              <w:rPr>
                <w:sz w:val="20"/>
                <w:szCs w:val="20"/>
              </w:rPr>
              <w:t>0,7</w:t>
            </w:r>
          </w:p>
        </w:tc>
      </w:tr>
      <w:tr w:rsidR="004907B0" w:rsidRPr="004907B0" w14:paraId="01F6DB1B" w14:textId="77777777" w:rsidTr="00C530B0">
        <w:trPr>
          <w:trHeight w:val="290"/>
        </w:trPr>
        <w:tc>
          <w:tcPr>
            <w:tcW w:w="1337" w:type="dxa"/>
          </w:tcPr>
          <w:p w14:paraId="0545010C" w14:textId="77777777" w:rsidR="004907B0" w:rsidRPr="004907B0" w:rsidRDefault="004907B0" w:rsidP="00C530B0">
            <w:pPr>
              <w:autoSpaceDE w:val="0"/>
              <w:autoSpaceDN w:val="0"/>
              <w:adjustRightInd w:val="0"/>
              <w:rPr>
                <w:sz w:val="20"/>
                <w:szCs w:val="20"/>
              </w:rPr>
            </w:pPr>
            <w:r w:rsidRPr="004907B0">
              <w:rPr>
                <w:sz w:val="20"/>
                <w:szCs w:val="20"/>
              </w:rPr>
              <w:t>12630</w:t>
            </w:r>
          </w:p>
        </w:tc>
        <w:tc>
          <w:tcPr>
            <w:tcW w:w="7624" w:type="dxa"/>
          </w:tcPr>
          <w:p w14:paraId="4345E0CE" w14:textId="77777777" w:rsidR="004907B0" w:rsidRPr="004907B0" w:rsidRDefault="004907B0" w:rsidP="00C530B0">
            <w:pPr>
              <w:autoSpaceDE w:val="0"/>
              <w:autoSpaceDN w:val="0"/>
              <w:adjustRightInd w:val="0"/>
              <w:rPr>
                <w:sz w:val="20"/>
                <w:szCs w:val="20"/>
              </w:rPr>
            </w:pPr>
            <w:r w:rsidRPr="004907B0">
              <w:rPr>
                <w:sz w:val="20"/>
                <w:szCs w:val="20"/>
              </w:rPr>
              <w:t>Stavbe za izobraževanje in znanstvenoraziskovalno delo</w:t>
            </w:r>
          </w:p>
        </w:tc>
        <w:tc>
          <w:tcPr>
            <w:tcW w:w="850" w:type="dxa"/>
          </w:tcPr>
          <w:p w14:paraId="6ACE288F" w14:textId="70E30065" w:rsidR="004907B0" w:rsidRPr="004907B0" w:rsidRDefault="00CA3D85" w:rsidP="00C530B0">
            <w:pPr>
              <w:autoSpaceDE w:val="0"/>
              <w:autoSpaceDN w:val="0"/>
              <w:adjustRightInd w:val="0"/>
              <w:jc w:val="right"/>
              <w:rPr>
                <w:sz w:val="20"/>
                <w:szCs w:val="20"/>
              </w:rPr>
            </w:pPr>
            <w:r>
              <w:rPr>
                <w:sz w:val="20"/>
                <w:szCs w:val="20"/>
              </w:rPr>
              <w:t>0,7</w:t>
            </w:r>
          </w:p>
        </w:tc>
      </w:tr>
      <w:tr w:rsidR="004907B0" w:rsidRPr="004907B0" w14:paraId="499B39E7" w14:textId="77777777" w:rsidTr="00C530B0">
        <w:trPr>
          <w:trHeight w:val="290"/>
        </w:trPr>
        <w:tc>
          <w:tcPr>
            <w:tcW w:w="1337" w:type="dxa"/>
          </w:tcPr>
          <w:p w14:paraId="764056AC" w14:textId="77777777" w:rsidR="004907B0" w:rsidRPr="004907B0" w:rsidRDefault="004907B0" w:rsidP="00C530B0">
            <w:pPr>
              <w:autoSpaceDE w:val="0"/>
              <w:autoSpaceDN w:val="0"/>
              <w:adjustRightInd w:val="0"/>
              <w:rPr>
                <w:sz w:val="20"/>
                <w:szCs w:val="20"/>
              </w:rPr>
            </w:pPr>
            <w:r w:rsidRPr="004907B0">
              <w:rPr>
                <w:sz w:val="20"/>
                <w:szCs w:val="20"/>
              </w:rPr>
              <w:t>12640</w:t>
            </w:r>
          </w:p>
        </w:tc>
        <w:tc>
          <w:tcPr>
            <w:tcW w:w="7624" w:type="dxa"/>
          </w:tcPr>
          <w:p w14:paraId="1D4A09B6" w14:textId="77777777" w:rsidR="004907B0" w:rsidRPr="004907B0" w:rsidRDefault="004907B0" w:rsidP="00C530B0">
            <w:pPr>
              <w:autoSpaceDE w:val="0"/>
              <w:autoSpaceDN w:val="0"/>
              <w:adjustRightInd w:val="0"/>
              <w:rPr>
                <w:sz w:val="20"/>
                <w:szCs w:val="20"/>
              </w:rPr>
            </w:pPr>
            <w:r w:rsidRPr="004907B0">
              <w:rPr>
                <w:sz w:val="20"/>
                <w:szCs w:val="20"/>
              </w:rPr>
              <w:t>Stavbe za zdravstvo</w:t>
            </w:r>
          </w:p>
        </w:tc>
        <w:tc>
          <w:tcPr>
            <w:tcW w:w="850" w:type="dxa"/>
          </w:tcPr>
          <w:p w14:paraId="3C635406" w14:textId="57F3FC4A" w:rsidR="004907B0" w:rsidRPr="004907B0" w:rsidRDefault="00CA3D85" w:rsidP="00C530B0">
            <w:pPr>
              <w:autoSpaceDE w:val="0"/>
              <w:autoSpaceDN w:val="0"/>
              <w:adjustRightInd w:val="0"/>
              <w:jc w:val="right"/>
              <w:rPr>
                <w:sz w:val="20"/>
                <w:szCs w:val="20"/>
              </w:rPr>
            </w:pPr>
            <w:r>
              <w:rPr>
                <w:sz w:val="20"/>
                <w:szCs w:val="20"/>
              </w:rPr>
              <w:t>0,7</w:t>
            </w:r>
          </w:p>
        </w:tc>
      </w:tr>
      <w:tr w:rsidR="004907B0" w:rsidRPr="004907B0" w14:paraId="2CC3470B" w14:textId="77777777" w:rsidTr="00C530B0">
        <w:trPr>
          <w:trHeight w:val="290"/>
        </w:trPr>
        <w:tc>
          <w:tcPr>
            <w:tcW w:w="1337" w:type="dxa"/>
          </w:tcPr>
          <w:p w14:paraId="630936F2" w14:textId="77777777" w:rsidR="004907B0" w:rsidRPr="004907B0" w:rsidRDefault="004907B0" w:rsidP="00C530B0">
            <w:pPr>
              <w:autoSpaceDE w:val="0"/>
              <w:autoSpaceDN w:val="0"/>
              <w:adjustRightInd w:val="0"/>
              <w:rPr>
                <w:sz w:val="20"/>
                <w:szCs w:val="20"/>
              </w:rPr>
            </w:pPr>
            <w:r w:rsidRPr="004907B0">
              <w:rPr>
                <w:sz w:val="20"/>
                <w:szCs w:val="20"/>
              </w:rPr>
              <w:t>12650</w:t>
            </w:r>
          </w:p>
        </w:tc>
        <w:tc>
          <w:tcPr>
            <w:tcW w:w="7624" w:type="dxa"/>
          </w:tcPr>
          <w:p w14:paraId="738DCE8F" w14:textId="77777777" w:rsidR="004907B0" w:rsidRPr="004907B0" w:rsidRDefault="004907B0" w:rsidP="00C530B0">
            <w:pPr>
              <w:autoSpaceDE w:val="0"/>
              <w:autoSpaceDN w:val="0"/>
              <w:adjustRightInd w:val="0"/>
              <w:rPr>
                <w:sz w:val="20"/>
                <w:szCs w:val="20"/>
              </w:rPr>
            </w:pPr>
            <w:r w:rsidRPr="004907B0">
              <w:rPr>
                <w:sz w:val="20"/>
                <w:szCs w:val="20"/>
              </w:rPr>
              <w:t>Športne dvorane</w:t>
            </w:r>
          </w:p>
        </w:tc>
        <w:tc>
          <w:tcPr>
            <w:tcW w:w="850" w:type="dxa"/>
          </w:tcPr>
          <w:p w14:paraId="223A2C54" w14:textId="349EB0CD" w:rsidR="004907B0" w:rsidRPr="004907B0" w:rsidRDefault="00CA3D85" w:rsidP="00C530B0">
            <w:pPr>
              <w:autoSpaceDE w:val="0"/>
              <w:autoSpaceDN w:val="0"/>
              <w:adjustRightInd w:val="0"/>
              <w:jc w:val="right"/>
              <w:rPr>
                <w:sz w:val="20"/>
                <w:szCs w:val="20"/>
              </w:rPr>
            </w:pPr>
            <w:r>
              <w:rPr>
                <w:sz w:val="20"/>
                <w:szCs w:val="20"/>
              </w:rPr>
              <w:t>0,7</w:t>
            </w:r>
          </w:p>
        </w:tc>
      </w:tr>
      <w:tr w:rsidR="004907B0" w:rsidRPr="004907B0" w14:paraId="28756C3C" w14:textId="77777777" w:rsidTr="00C530B0">
        <w:trPr>
          <w:trHeight w:val="290"/>
        </w:trPr>
        <w:tc>
          <w:tcPr>
            <w:tcW w:w="1337" w:type="dxa"/>
          </w:tcPr>
          <w:p w14:paraId="5A893122" w14:textId="77777777" w:rsidR="004907B0" w:rsidRPr="004907B0" w:rsidRDefault="004907B0" w:rsidP="00C530B0">
            <w:pPr>
              <w:autoSpaceDE w:val="0"/>
              <w:autoSpaceDN w:val="0"/>
              <w:adjustRightInd w:val="0"/>
              <w:rPr>
                <w:b/>
                <w:bCs/>
                <w:sz w:val="20"/>
                <w:szCs w:val="20"/>
              </w:rPr>
            </w:pPr>
            <w:r w:rsidRPr="004907B0">
              <w:rPr>
                <w:b/>
                <w:bCs/>
                <w:sz w:val="20"/>
                <w:szCs w:val="20"/>
              </w:rPr>
              <w:t>127</w:t>
            </w:r>
          </w:p>
        </w:tc>
        <w:tc>
          <w:tcPr>
            <w:tcW w:w="7624" w:type="dxa"/>
          </w:tcPr>
          <w:p w14:paraId="5C2ED1C5" w14:textId="77777777" w:rsidR="004907B0" w:rsidRPr="004907B0" w:rsidRDefault="004907B0" w:rsidP="00C530B0">
            <w:pPr>
              <w:autoSpaceDE w:val="0"/>
              <w:autoSpaceDN w:val="0"/>
              <w:adjustRightInd w:val="0"/>
              <w:rPr>
                <w:b/>
                <w:bCs/>
                <w:sz w:val="20"/>
                <w:szCs w:val="20"/>
              </w:rPr>
            </w:pPr>
            <w:r w:rsidRPr="004907B0">
              <w:rPr>
                <w:b/>
                <w:bCs/>
                <w:sz w:val="20"/>
                <w:szCs w:val="20"/>
              </w:rPr>
              <w:t>Druge nestanovanjske stavbe</w:t>
            </w:r>
          </w:p>
        </w:tc>
        <w:tc>
          <w:tcPr>
            <w:tcW w:w="850" w:type="dxa"/>
          </w:tcPr>
          <w:p w14:paraId="0B326C67" w14:textId="77777777" w:rsidR="004907B0" w:rsidRPr="004907B0" w:rsidRDefault="004907B0" w:rsidP="00C530B0">
            <w:pPr>
              <w:autoSpaceDE w:val="0"/>
              <w:autoSpaceDN w:val="0"/>
              <w:adjustRightInd w:val="0"/>
              <w:jc w:val="right"/>
              <w:rPr>
                <w:rFonts w:ascii="Calibri" w:hAnsi="Calibri" w:cs="Calibri"/>
                <w:sz w:val="22"/>
                <w:szCs w:val="22"/>
              </w:rPr>
            </w:pPr>
          </w:p>
        </w:tc>
      </w:tr>
      <w:tr w:rsidR="004907B0" w:rsidRPr="004907B0" w14:paraId="444AAA56" w14:textId="77777777" w:rsidTr="00C530B0">
        <w:trPr>
          <w:trHeight w:val="290"/>
        </w:trPr>
        <w:tc>
          <w:tcPr>
            <w:tcW w:w="1337" w:type="dxa"/>
          </w:tcPr>
          <w:p w14:paraId="3BC5F1D8" w14:textId="77777777" w:rsidR="004907B0" w:rsidRPr="004907B0" w:rsidRDefault="004907B0" w:rsidP="00C530B0">
            <w:pPr>
              <w:autoSpaceDE w:val="0"/>
              <w:autoSpaceDN w:val="0"/>
              <w:adjustRightInd w:val="0"/>
              <w:rPr>
                <w:sz w:val="20"/>
                <w:szCs w:val="20"/>
              </w:rPr>
            </w:pPr>
            <w:r w:rsidRPr="004907B0">
              <w:rPr>
                <w:sz w:val="20"/>
                <w:szCs w:val="20"/>
              </w:rPr>
              <w:t>12711</w:t>
            </w:r>
          </w:p>
        </w:tc>
        <w:tc>
          <w:tcPr>
            <w:tcW w:w="7624" w:type="dxa"/>
          </w:tcPr>
          <w:p w14:paraId="33DBC037" w14:textId="77777777" w:rsidR="004907B0" w:rsidRPr="004907B0" w:rsidRDefault="004907B0" w:rsidP="00C530B0">
            <w:pPr>
              <w:autoSpaceDE w:val="0"/>
              <w:autoSpaceDN w:val="0"/>
              <w:adjustRightInd w:val="0"/>
              <w:rPr>
                <w:sz w:val="20"/>
                <w:szCs w:val="20"/>
              </w:rPr>
            </w:pPr>
            <w:r w:rsidRPr="004907B0">
              <w:rPr>
                <w:sz w:val="20"/>
                <w:szCs w:val="20"/>
              </w:rPr>
              <w:t>Stavbe za rastlinsko pridelavo</w:t>
            </w:r>
          </w:p>
        </w:tc>
        <w:tc>
          <w:tcPr>
            <w:tcW w:w="850" w:type="dxa"/>
          </w:tcPr>
          <w:p w14:paraId="1069C22B" w14:textId="77777777" w:rsidR="004907B0" w:rsidRPr="004907B0" w:rsidRDefault="004907B0" w:rsidP="00C530B0">
            <w:pPr>
              <w:autoSpaceDE w:val="0"/>
              <w:autoSpaceDN w:val="0"/>
              <w:adjustRightInd w:val="0"/>
              <w:jc w:val="right"/>
              <w:rPr>
                <w:sz w:val="20"/>
                <w:szCs w:val="20"/>
              </w:rPr>
            </w:pPr>
            <w:r w:rsidRPr="004907B0">
              <w:rPr>
                <w:sz w:val="20"/>
                <w:szCs w:val="20"/>
              </w:rPr>
              <w:t>0,7</w:t>
            </w:r>
          </w:p>
        </w:tc>
      </w:tr>
      <w:tr w:rsidR="004907B0" w:rsidRPr="004907B0" w14:paraId="11245255" w14:textId="77777777" w:rsidTr="00C530B0">
        <w:trPr>
          <w:trHeight w:val="290"/>
        </w:trPr>
        <w:tc>
          <w:tcPr>
            <w:tcW w:w="1337" w:type="dxa"/>
          </w:tcPr>
          <w:p w14:paraId="7F75805A" w14:textId="77777777" w:rsidR="004907B0" w:rsidRPr="004907B0" w:rsidRDefault="004907B0" w:rsidP="00C530B0">
            <w:pPr>
              <w:autoSpaceDE w:val="0"/>
              <w:autoSpaceDN w:val="0"/>
              <w:adjustRightInd w:val="0"/>
              <w:rPr>
                <w:sz w:val="20"/>
                <w:szCs w:val="20"/>
              </w:rPr>
            </w:pPr>
            <w:r w:rsidRPr="004907B0">
              <w:rPr>
                <w:sz w:val="20"/>
                <w:szCs w:val="20"/>
              </w:rPr>
              <w:t>12712</w:t>
            </w:r>
          </w:p>
        </w:tc>
        <w:tc>
          <w:tcPr>
            <w:tcW w:w="7624" w:type="dxa"/>
          </w:tcPr>
          <w:p w14:paraId="59C9F81A" w14:textId="77777777" w:rsidR="004907B0" w:rsidRPr="004907B0" w:rsidRDefault="004907B0" w:rsidP="00C530B0">
            <w:pPr>
              <w:autoSpaceDE w:val="0"/>
              <w:autoSpaceDN w:val="0"/>
              <w:adjustRightInd w:val="0"/>
              <w:rPr>
                <w:sz w:val="20"/>
                <w:szCs w:val="20"/>
              </w:rPr>
            </w:pPr>
            <w:r w:rsidRPr="004907B0">
              <w:rPr>
                <w:sz w:val="20"/>
                <w:szCs w:val="20"/>
              </w:rPr>
              <w:t>Stavbe za rejo živali</w:t>
            </w:r>
          </w:p>
        </w:tc>
        <w:tc>
          <w:tcPr>
            <w:tcW w:w="850" w:type="dxa"/>
          </w:tcPr>
          <w:p w14:paraId="343FDD94" w14:textId="77777777" w:rsidR="004907B0" w:rsidRPr="004907B0" w:rsidRDefault="004907B0" w:rsidP="00C530B0">
            <w:pPr>
              <w:autoSpaceDE w:val="0"/>
              <w:autoSpaceDN w:val="0"/>
              <w:adjustRightInd w:val="0"/>
              <w:jc w:val="right"/>
              <w:rPr>
                <w:sz w:val="20"/>
                <w:szCs w:val="20"/>
              </w:rPr>
            </w:pPr>
            <w:r w:rsidRPr="004907B0">
              <w:rPr>
                <w:sz w:val="20"/>
                <w:szCs w:val="20"/>
              </w:rPr>
              <w:t>0,7</w:t>
            </w:r>
          </w:p>
        </w:tc>
      </w:tr>
      <w:tr w:rsidR="004907B0" w:rsidRPr="004907B0" w14:paraId="3CBBD3BA" w14:textId="77777777" w:rsidTr="00C530B0">
        <w:trPr>
          <w:trHeight w:val="290"/>
        </w:trPr>
        <w:tc>
          <w:tcPr>
            <w:tcW w:w="1337" w:type="dxa"/>
          </w:tcPr>
          <w:p w14:paraId="39773902" w14:textId="77777777" w:rsidR="004907B0" w:rsidRPr="004907B0" w:rsidRDefault="004907B0" w:rsidP="00C530B0">
            <w:pPr>
              <w:autoSpaceDE w:val="0"/>
              <w:autoSpaceDN w:val="0"/>
              <w:adjustRightInd w:val="0"/>
              <w:rPr>
                <w:sz w:val="20"/>
                <w:szCs w:val="20"/>
              </w:rPr>
            </w:pPr>
            <w:r w:rsidRPr="004907B0">
              <w:rPr>
                <w:sz w:val="20"/>
                <w:szCs w:val="20"/>
              </w:rPr>
              <w:t>12713</w:t>
            </w:r>
          </w:p>
        </w:tc>
        <w:tc>
          <w:tcPr>
            <w:tcW w:w="7624" w:type="dxa"/>
          </w:tcPr>
          <w:p w14:paraId="2DD2C90F" w14:textId="77777777" w:rsidR="004907B0" w:rsidRPr="004907B0" w:rsidRDefault="004907B0" w:rsidP="00C530B0">
            <w:pPr>
              <w:autoSpaceDE w:val="0"/>
              <w:autoSpaceDN w:val="0"/>
              <w:adjustRightInd w:val="0"/>
              <w:rPr>
                <w:sz w:val="20"/>
                <w:szCs w:val="20"/>
              </w:rPr>
            </w:pPr>
            <w:r w:rsidRPr="004907B0">
              <w:rPr>
                <w:sz w:val="20"/>
                <w:szCs w:val="20"/>
              </w:rPr>
              <w:t>Stavbe za spravilo pridelka</w:t>
            </w:r>
          </w:p>
        </w:tc>
        <w:tc>
          <w:tcPr>
            <w:tcW w:w="850" w:type="dxa"/>
          </w:tcPr>
          <w:p w14:paraId="0A781B4B" w14:textId="77777777" w:rsidR="004907B0" w:rsidRPr="004907B0" w:rsidRDefault="004907B0" w:rsidP="00C530B0">
            <w:pPr>
              <w:autoSpaceDE w:val="0"/>
              <w:autoSpaceDN w:val="0"/>
              <w:adjustRightInd w:val="0"/>
              <w:jc w:val="right"/>
              <w:rPr>
                <w:sz w:val="20"/>
                <w:szCs w:val="20"/>
              </w:rPr>
            </w:pPr>
            <w:r w:rsidRPr="004907B0">
              <w:rPr>
                <w:sz w:val="20"/>
                <w:szCs w:val="20"/>
              </w:rPr>
              <w:t>0,7</w:t>
            </w:r>
          </w:p>
        </w:tc>
      </w:tr>
      <w:tr w:rsidR="004907B0" w:rsidRPr="004907B0" w14:paraId="551FE341" w14:textId="77777777" w:rsidTr="00C530B0">
        <w:trPr>
          <w:trHeight w:val="290"/>
        </w:trPr>
        <w:tc>
          <w:tcPr>
            <w:tcW w:w="1337" w:type="dxa"/>
          </w:tcPr>
          <w:p w14:paraId="0CB66B5A" w14:textId="77777777" w:rsidR="004907B0" w:rsidRPr="004907B0" w:rsidRDefault="004907B0" w:rsidP="00C530B0">
            <w:pPr>
              <w:autoSpaceDE w:val="0"/>
              <w:autoSpaceDN w:val="0"/>
              <w:adjustRightInd w:val="0"/>
              <w:rPr>
                <w:sz w:val="20"/>
                <w:szCs w:val="20"/>
              </w:rPr>
            </w:pPr>
            <w:r w:rsidRPr="004907B0">
              <w:rPr>
                <w:sz w:val="20"/>
                <w:szCs w:val="20"/>
              </w:rPr>
              <w:t>12714</w:t>
            </w:r>
          </w:p>
        </w:tc>
        <w:tc>
          <w:tcPr>
            <w:tcW w:w="7624" w:type="dxa"/>
          </w:tcPr>
          <w:p w14:paraId="4D411AEF" w14:textId="77777777" w:rsidR="004907B0" w:rsidRPr="004907B0" w:rsidRDefault="004907B0" w:rsidP="00C530B0">
            <w:pPr>
              <w:autoSpaceDE w:val="0"/>
              <w:autoSpaceDN w:val="0"/>
              <w:adjustRightInd w:val="0"/>
              <w:rPr>
                <w:sz w:val="20"/>
                <w:szCs w:val="20"/>
              </w:rPr>
            </w:pPr>
            <w:r w:rsidRPr="004907B0">
              <w:rPr>
                <w:sz w:val="20"/>
                <w:szCs w:val="20"/>
              </w:rPr>
              <w:t>Druge nestanovanjske kmetijske stavbe</w:t>
            </w:r>
          </w:p>
        </w:tc>
        <w:tc>
          <w:tcPr>
            <w:tcW w:w="850" w:type="dxa"/>
          </w:tcPr>
          <w:p w14:paraId="55B3285A" w14:textId="77777777" w:rsidR="004907B0" w:rsidRPr="004907B0" w:rsidRDefault="004907B0" w:rsidP="00C530B0">
            <w:pPr>
              <w:autoSpaceDE w:val="0"/>
              <w:autoSpaceDN w:val="0"/>
              <w:adjustRightInd w:val="0"/>
              <w:jc w:val="right"/>
              <w:rPr>
                <w:sz w:val="20"/>
                <w:szCs w:val="20"/>
              </w:rPr>
            </w:pPr>
            <w:r w:rsidRPr="004907B0">
              <w:rPr>
                <w:sz w:val="20"/>
                <w:szCs w:val="20"/>
              </w:rPr>
              <w:t>0,7</w:t>
            </w:r>
          </w:p>
        </w:tc>
      </w:tr>
      <w:tr w:rsidR="004907B0" w:rsidRPr="004907B0" w14:paraId="01171BCC" w14:textId="77777777" w:rsidTr="00C530B0">
        <w:trPr>
          <w:trHeight w:val="290"/>
        </w:trPr>
        <w:tc>
          <w:tcPr>
            <w:tcW w:w="1337" w:type="dxa"/>
          </w:tcPr>
          <w:p w14:paraId="435E174B" w14:textId="77777777" w:rsidR="004907B0" w:rsidRPr="004907B0" w:rsidRDefault="004907B0" w:rsidP="00C530B0">
            <w:pPr>
              <w:autoSpaceDE w:val="0"/>
              <w:autoSpaceDN w:val="0"/>
              <w:adjustRightInd w:val="0"/>
              <w:rPr>
                <w:sz w:val="20"/>
                <w:szCs w:val="20"/>
              </w:rPr>
            </w:pPr>
            <w:r w:rsidRPr="004907B0">
              <w:rPr>
                <w:sz w:val="20"/>
                <w:szCs w:val="20"/>
              </w:rPr>
              <w:t>12721</w:t>
            </w:r>
          </w:p>
        </w:tc>
        <w:tc>
          <w:tcPr>
            <w:tcW w:w="7624" w:type="dxa"/>
          </w:tcPr>
          <w:p w14:paraId="0BB07A8E" w14:textId="77777777" w:rsidR="004907B0" w:rsidRPr="004907B0" w:rsidRDefault="004907B0" w:rsidP="00C530B0">
            <w:pPr>
              <w:autoSpaceDE w:val="0"/>
              <w:autoSpaceDN w:val="0"/>
              <w:adjustRightInd w:val="0"/>
              <w:rPr>
                <w:sz w:val="20"/>
                <w:szCs w:val="20"/>
              </w:rPr>
            </w:pPr>
            <w:r w:rsidRPr="004907B0">
              <w:rPr>
                <w:sz w:val="20"/>
                <w:szCs w:val="20"/>
              </w:rPr>
              <w:t>Stavbe za opravljanje verskih obredov</w:t>
            </w:r>
          </w:p>
        </w:tc>
        <w:tc>
          <w:tcPr>
            <w:tcW w:w="850" w:type="dxa"/>
          </w:tcPr>
          <w:p w14:paraId="0C5A590E" w14:textId="77777777" w:rsidR="004907B0" w:rsidRPr="004907B0" w:rsidRDefault="004907B0" w:rsidP="00C530B0">
            <w:pPr>
              <w:autoSpaceDE w:val="0"/>
              <w:autoSpaceDN w:val="0"/>
              <w:adjustRightInd w:val="0"/>
              <w:jc w:val="right"/>
              <w:rPr>
                <w:sz w:val="20"/>
                <w:szCs w:val="20"/>
              </w:rPr>
            </w:pPr>
            <w:r w:rsidRPr="004907B0">
              <w:rPr>
                <w:sz w:val="20"/>
                <w:szCs w:val="20"/>
              </w:rPr>
              <w:t>0,7</w:t>
            </w:r>
          </w:p>
        </w:tc>
      </w:tr>
      <w:tr w:rsidR="004907B0" w:rsidRPr="004907B0" w14:paraId="50118A01" w14:textId="77777777" w:rsidTr="00C530B0">
        <w:trPr>
          <w:trHeight w:val="290"/>
        </w:trPr>
        <w:tc>
          <w:tcPr>
            <w:tcW w:w="1337" w:type="dxa"/>
          </w:tcPr>
          <w:p w14:paraId="6E920CF1" w14:textId="77777777" w:rsidR="004907B0" w:rsidRPr="004907B0" w:rsidRDefault="004907B0" w:rsidP="00C530B0">
            <w:pPr>
              <w:autoSpaceDE w:val="0"/>
              <w:autoSpaceDN w:val="0"/>
              <w:adjustRightInd w:val="0"/>
              <w:rPr>
                <w:sz w:val="20"/>
                <w:szCs w:val="20"/>
              </w:rPr>
            </w:pPr>
            <w:r w:rsidRPr="004907B0">
              <w:rPr>
                <w:sz w:val="20"/>
                <w:szCs w:val="20"/>
              </w:rPr>
              <w:t>12722</w:t>
            </w:r>
          </w:p>
        </w:tc>
        <w:tc>
          <w:tcPr>
            <w:tcW w:w="7624" w:type="dxa"/>
          </w:tcPr>
          <w:p w14:paraId="74075D5B" w14:textId="77777777" w:rsidR="004907B0" w:rsidRPr="004907B0" w:rsidRDefault="004907B0" w:rsidP="00C530B0">
            <w:pPr>
              <w:autoSpaceDE w:val="0"/>
              <w:autoSpaceDN w:val="0"/>
              <w:adjustRightInd w:val="0"/>
              <w:rPr>
                <w:sz w:val="20"/>
                <w:szCs w:val="20"/>
              </w:rPr>
            </w:pPr>
            <w:r w:rsidRPr="004907B0">
              <w:rPr>
                <w:sz w:val="20"/>
                <w:szCs w:val="20"/>
              </w:rPr>
              <w:t>Pokopališke stavbe in spremljajoči objekti</w:t>
            </w:r>
          </w:p>
        </w:tc>
        <w:tc>
          <w:tcPr>
            <w:tcW w:w="850" w:type="dxa"/>
          </w:tcPr>
          <w:p w14:paraId="59954F56" w14:textId="77777777" w:rsidR="004907B0" w:rsidRPr="004907B0" w:rsidRDefault="004907B0" w:rsidP="00C530B0">
            <w:pPr>
              <w:autoSpaceDE w:val="0"/>
              <w:autoSpaceDN w:val="0"/>
              <w:adjustRightInd w:val="0"/>
              <w:jc w:val="right"/>
              <w:rPr>
                <w:sz w:val="20"/>
                <w:szCs w:val="20"/>
              </w:rPr>
            </w:pPr>
            <w:r w:rsidRPr="004907B0">
              <w:rPr>
                <w:sz w:val="20"/>
                <w:szCs w:val="20"/>
              </w:rPr>
              <w:t>0,7</w:t>
            </w:r>
          </w:p>
        </w:tc>
      </w:tr>
      <w:tr w:rsidR="004907B0" w:rsidRPr="004907B0" w14:paraId="7D2C5883" w14:textId="77777777" w:rsidTr="00C530B0">
        <w:trPr>
          <w:trHeight w:val="290"/>
        </w:trPr>
        <w:tc>
          <w:tcPr>
            <w:tcW w:w="1337" w:type="dxa"/>
          </w:tcPr>
          <w:p w14:paraId="4BE83A8E" w14:textId="77777777" w:rsidR="004907B0" w:rsidRPr="004907B0" w:rsidRDefault="004907B0" w:rsidP="00C530B0">
            <w:pPr>
              <w:autoSpaceDE w:val="0"/>
              <w:autoSpaceDN w:val="0"/>
              <w:adjustRightInd w:val="0"/>
              <w:rPr>
                <w:sz w:val="20"/>
                <w:szCs w:val="20"/>
              </w:rPr>
            </w:pPr>
            <w:r w:rsidRPr="004907B0">
              <w:rPr>
                <w:sz w:val="20"/>
                <w:szCs w:val="20"/>
              </w:rPr>
              <w:t>12730</w:t>
            </w:r>
          </w:p>
        </w:tc>
        <w:tc>
          <w:tcPr>
            <w:tcW w:w="7624" w:type="dxa"/>
          </w:tcPr>
          <w:p w14:paraId="271B2C89" w14:textId="77777777" w:rsidR="004907B0" w:rsidRPr="004907B0" w:rsidRDefault="004907B0" w:rsidP="00C530B0">
            <w:pPr>
              <w:autoSpaceDE w:val="0"/>
              <w:autoSpaceDN w:val="0"/>
              <w:adjustRightInd w:val="0"/>
              <w:rPr>
                <w:sz w:val="20"/>
                <w:szCs w:val="20"/>
              </w:rPr>
            </w:pPr>
            <w:r w:rsidRPr="004907B0">
              <w:rPr>
                <w:sz w:val="20"/>
                <w:szCs w:val="20"/>
              </w:rPr>
              <w:t>Kulturni spomeniki</w:t>
            </w:r>
          </w:p>
        </w:tc>
        <w:tc>
          <w:tcPr>
            <w:tcW w:w="850" w:type="dxa"/>
          </w:tcPr>
          <w:p w14:paraId="58883A2B" w14:textId="77777777" w:rsidR="004907B0" w:rsidRPr="004907B0" w:rsidRDefault="004907B0" w:rsidP="00C530B0">
            <w:pPr>
              <w:autoSpaceDE w:val="0"/>
              <w:autoSpaceDN w:val="0"/>
              <w:adjustRightInd w:val="0"/>
              <w:jc w:val="right"/>
              <w:rPr>
                <w:sz w:val="20"/>
                <w:szCs w:val="20"/>
              </w:rPr>
            </w:pPr>
            <w:r w:rsidRPr="004907B0">
              <w:rPr>
                <w:sz w:val="20"/>
                <w:szCs w:val="20"/>
              </w:rPr>
              <w:t>0,7</w:t>
            </w:r>
          </w:p>
        </w:tc>
      </w:tr>
      <w:tr w:rsidR="004907B0" w:rsidRPr="004907B0" w14:paraId="6F6F8FD4" w14:textId="77777777" w:rsidTr="00C530B0">
        <w:trPr>
          <w:trHeight w:val="290"/>
        </w:trPr>
        <w:tc>
          <w:tcPr>
            <w:tcW w:w="1337" w:type="dxa"/>
          </w:tcPr>
          <w:p w14:paraId="294C9214" w14:textId="77777777" w:rsidR="004907B0" w:rsidRPr="004907B0" w:rsidRDefault="004907B0" w:rsidP="00C530B0">
            <w:pPr>
              <w:autoSpaceDE w:val="0"/>
              <w:autoSpaceDN w:val="0"/>
              <w:adjustRightInd w:val="0"/>
              <w:rPr>
                <w:sz w:val="20"/>
                <w:szCs w:val="20"/>
              </w:rPr>
            </w:pPr>
            <w:r w:rsidRPr="004907B0">
              <w:rPr>
                <w:sz w:val="20"/>
                <w:szCs w:val="20"/>
              </w:rPr>
              <w:t>12740</w:t>
            </w:r>
          </w:p>
        </w:tc>
        <w:tc>
          <w:tcPr>
            <w:tcW w:w="7624" w:type="dxa"/>
          </w:tcPr>
          <w:p w14:paraId="798CBFBC" w14:textId="77777777" w:rsidR="004907B0" w:rsidRPr="004907B0" w:rsidRDefault="004907B0" w:rsidP="00C530B0">
            <w:pPr>
              <w:autoSpaceDE w:val="0"/>
              <w:autoSpaceDN w:val="0"/>
              <w:adjustRightInd w:val="0"/>
              <w:rPr>
                <w:sz w:val="20"/>
                <w:szCs w:val="20"/>
              </w:rPr>
            </w:pPr>
            <w:r w:rsidRPr="004907B0">
              <w:rPr>
                <w:sz w:val="20"/>
                <w:szCs w:val="20"/>
              </w:rPr>
              <w:t>Druge nestanovanjske stavbe, ki niso uvrščene drugje</w:t>
            </w:r>
          </w:p>
        </w:tc>
        <w:tc>
          <w:tcPr>
            <w:tcW w:w="850" w:type="dxa"/>
          </w:tcPr>
          <w:p w14:paraId="27A49186" w14:textId="39C7ECBF" w:rsidR="004907B0" w:rsidRPr="004907B0" w:rsidRDefault="00CA3D85" w:rsidP="00C530B0">
            <w:pPr>
              <w:autoSpaceDE w:val="0"/>
              <w:autoSpaceDN w:val="0"/>
              <w:adjustRightInd w:val="0"/>
              <w:jc w:val="right"/>
              <w:rPr>
                <w:sz w:val="20"/>
                <w:szCs w:val="20"/>
              </w:rPr>
            </w:pPr>
            <w:r>
              <w:rPr>
                <w:sz w:val="20"/>
                <w:szCs w:val="20"/>
              </w:rPr>
              <w:t>0,7</w:t>
            </w:r>
          </w:p>
        </w:tc>
      </w:tr>
      <w:tr w:rsidR="004907B0" w:rsidRPr="004907B0" w14:paraId="7FAE5F7F" w14:textId="77777777" w:rsidTr="00C530B0">
        <w:trPr>
          <w:trHeight w:val="290"/>
        </w:trPr>
        <w:tc>
          <w:tcPr>
            <w:tcW w:w="1337" w:type="dxa"/>
          </w:tcPr>
          <w:p w14:paraId="25EDA32A" w14:textId="77777777" w:rsidR="004907B0" w:rsidRPr="004907B0" w:rsidRDefault="004907B0" w:rsidP="00C530B0">
            <w:pPr>
              <w:autoSpaceDE w:val="0"/>
              <w:autoSpaceDN w:val="0"/>
              <w:adjustRightInd w:val="0"/>
              <w:rPr>
                <w:b/>
                <w:bCs/>
                <w:sz w:val="20"/>
                <w:szCs w:val="20"/>
              </w:rPr>
            </w:pPr>
            <w:r w:rsidRPr="004907B0">
              <w:rPr>
                <w:b/>
                <w:bCs/>
                <w:sz w:val="20"/>
                <w:szCs w:val="20"/>
              </w:rPr>
              <w:t>2</w:t>
            </w:r>
          </w:p>
        </w:tc>
        <w:tc>
          <w:tcPr>
            <w:tcW w:w="7624" w:type="dxa"/>
          </w:tcPr>
          <w:p w14:paraId="28995282" w14:textId="77777777" w:rsidR="004907B0" w:rsidRPr="004907B0" w:rsidRDefault="004907B0" w:rsidP="00C530B0">
            <w:pPr>
              <w:autoSpaceDE w:val="0"/>
              <w:autoSpaceDN w:val="0"/>
              <w:adjustRightInd w:val="0"/>
              <w:rPr>
                <w:b/>
                <w:bCs/>
                <w:sz w:val="20"/>
                <w:szCs w:val="20"/>
              </w:rPr>
            </w:pPr>
            <w:r w:rsidRPr="004907B0">
              <w:rPr>
                <w:b/>
                <w:bCs/>
                <w:sz w:val="20"/>
                <w:szCs w:val="20"/>
              </w:rPr>
              <w:t>GRADBENI INŽENIRSKI OBJEKTI</w:t>
            </w:r>
          </w:p>
        </w:tc>
        <w:tc>
          <w:tcPr>
            <w:tcW w:w="850" w:type="dxa"/>
          </w:tcPr>
          <w:p w14:paraId="1CFF0D4F" w14:textId="77777777" w:rsidR="004907B0" w:rsidRPr="004907B0" w:rsidRDefault="004907B0" w:rsidP="00C530B0">
            <w:pPr>
              <w:autoSpaceDE w:val="0"/>
              <w:autoSpaceDN w:val="0"/>
              <w:adjustRightInd w:val="0"/>
              <w:jc w:val="right"/>
              <w:rPr>
                <w:rFonts w:ascii="Calibri" w:hAnsi="Calibri" w:cs="Calibri"/>
                <w:sz w:val="22"/>
                <w:szCs w:val="22"/>
              </w:rPr>
            </w:pPr>
          </w:p>
        </w:tc>
      </w:tr>
      <w:tr w:rsidR="004907B0" w:rsidRPr="004907B0" w14:paraId="783E42EA" w14:textId="77777777" w:rsidTr="00C530B0">
        <w:trPr>
          <w:trHeight w:val="290"/>
        </w:trPr>
        <w:tc>
          <w:tcPr>
            <w:tcW w:w="1337" w:type="dxa"/>
          </w:tcPr>
          <w:p w14:paraId="5F927622" w14:textId="77777777" w:rsidR="004907B0" w:rsidRPr="004907B0" w:rsidRDefault="004907B0" w:rsidP="00C530B0">
            <w:pPr>
              <w:autoSpaceDE w:val="0"/>
              <w:autoSpaceDN w:val="0"/>
              <w:adjustRightInd w:val="0"/>
              <w:rPr>
                <w:b/>
                <w:bCs/>
                <w:sz w:val="20"/>
                <w:szCs w:val="20"/>
              </w:rPr>
            </w:pPr>
            <w:r w:rsidRPr="004907B0">
              <w:rPr>
                <w:b/>
                <w:bCs/>
                <w:sz w:val="20"/>
                <w:szCs w:val="20"/>
              </w:rPr>
              <w:t>21</w:t>
            </w:r>
          </w:p>
        </w:tc>
        <w:tc>
          <w:tcPr>
            <w:tcW w:w="7624" w:type="dxa"/>
          </w:tcPr>
          <w:p w14:paraId="10CADEE1" w14:textId="77777777" w:rsidR="004907B0" w:rsidRPr="004907B0" w:rsidRDefault="004907B0" w:rsidP="00C530B0">
            <w:pPr>
              <w:autoSpaceDE w:val="0"/>
              <w:autoSpaceDN w:val="0"/>
              <w:adjustRightInd w:val="0"/>
              <w:rPr>
                <w:b/>
                <w:bCs/>
                <w:sz w:val="20"/>
                <w:szCs w:val="20"/>
              </w:rPr>
            </w:pPr>
            <w:r w:rsidRPr="004907B0">
              <w:rPr>
                <w:b/>
                <w:bCs/>
                <w:sz w:val="20"/>
                <w:szCs w:val="20"/>
              </w:rPr>
              <w:t>Objekti transportne infrastrukture</w:t>
            </w:r>
          </w:p>
        </w:tc>
        <w:tc>
          <w:tcPr>
            <w:tcW w:w="850" w:type="dxa"/>
          </w:tcPr>
          <w:p w14:paraId="51D52020" w14:textId="77777777" w:rsidR="004907B0" w:rsidRPr="004907B0" w:rsidRDefault="004907B0" w:rsidP="00C530B0">
            <w:pPr>
              <w:autoSpaceDE w:val="0"/>
              <w:autoSpaceDN w:val="0"/>
              <w:adjustRightInd w:val="0"/>
              <w:jc w:val="right"/>
              <w:rPr>
                <w:b/>
                <w:bCs/>
                <w:sz w:val="20"/>
                <w:szCs w:val="20"/>
              </w:rPr>
            </w:pPr>
            <w:r w:rsidRPr="004907B0">
              <w:rPr>
                <w:b/>
                <w:bCs/>
                <w:sz w:val="20"/>
                <w:szCs w:val="20"/>
              </w:rPr>
              <w:t>/</w:t>
            </w:r>
          </w:p>
        </w:tc>
      </w:tr>
      <w:tr w:rsidR="004907B0" w:rsidRPr="004907B0" w14:paraId="0A214B4F" w14:textId="77777777" w:rsidTr="00C530B0">
        <w:trPr>
          <w:trHeight w:val="290"/>
        </w:trPr>
        <w:tc>
          <w:tcPr>
            <w:tcW w:w="1337" w:type="dxa"/>
          </w:tcPr>
          <w:p w14:paraId="0799FC4E" w14:textId="77777777" w:rsidR="004907B0" w:rsidRPr="004907B0" w:rsidRDefault="004907B0" w:rsidP="00C530B0">
            <w:pPr>
              <w:autoSpaceDE w:val="0"/>
              <w:autoSpaceDN w:val="0"/>
              <w:adjustRightInd w:val="0"/>
              <w:rPr>
                <w:b/>
                <w:bCs/>
                <w:sz w:val="20"/>
                <w:szCs w:val="20"/>
              </w:rPr>
            </w:pPr>
            <w:r w:rsidRPr="004907B0">
              <w:rPr>
                <w:b/>
                <w:bCs/>
                <w:sz w:val="20"/>
                <w:szCs w:val="20"/>
              </w:rPr>
              <w:t>211</w:t>
            </w:r>
          </w:p>
        </w:tc>
        <w:tc>
          <w:tcPr>
            <w:tcW w:w="7624" w:type="dxa"/>
          </w:tcPr>
          <w:p w14:paraId="3970E207" w14:textId="77777777" w:rsidR="004907B0" w:rsidRPr="004907B0" w:rsidRDefault="004907B0" w:rsidP="00C530B0">
            <w:pPr>
              <w:autoSpaceDE w:val="0"/>
              <w:autoSpaceDN w:val="0"/>
              <w:adjustRightInd w:val="0"/>
              <w:rPr>
                <w:b/>
                <w:bCs/>
                <w:sz w:val="20"/>
                <w:szCs w:val="20"/>
              </w:rPr>
            </w:pPr>
            <w:r w:rsidRPr="004907B0">
              <w:rPr>
                <w:b/>
                <w:bCs/>
                <w:sz w:val="20"/>
                <w:szCs w:val="20"/>
              </w:rPr>
              <w:t>Ceste</w:t>
            </w:r>
          </w:p>
        </w:tc>
        <w:tc>
          <w:tcPr>
            <w:tcW w:w="850" w:type="dxa"/>
          </w:tcPr>
          <w:p w14:paraId="3A9BE808" w14:textId="77777777" w:rsidR="004907B0" w:rsidRPr="004907B0" w:rsidRDefault="004907B0" w:rsidP="00C530B0">
            <w:pPr>
              <w:autoSpaceDE w:val="0"/>
              <w:autoSpaceDN w:val="0"/>
              <w:adjustRightInd w:val="0"/>
              <w:jc w:val="right"/>
              <w:rPr>
                <w:b/>
                <w:bCs/>
                <w:sz w:val="20"/>
                <w:szCs w:val="20"/>
              </w:rPr>
            </w:pPr>
            <w:r w:rsidRPr="004907B0">
              <w:rPr>
                <w:b/>
                <w:bCs/>
                <w:sz w:val="20"/>
                <w:szCs w:val="20"/>
              </w:rPr>
              <w:t>/</w:t>
            </w:r>
          </w:p>
        </w:tc>
      </w:tr>
      <w:tr w:rsidR="004907B0" w:rsidRPr="004907B0" w14:paraId="6AD95723" w14:textId="77777777" w:rsidTr="00C530B0">
        <w:trPr>
          <w:trHeight w:val="290"/>
        </w:trPr>
        <w:tc>
          <w:tcPr>
            <w:tcW w:w="1337" w:type="dxa"/>
          </w:tcPr>
          <w:p w14:paraId="3A52C55B" w14:textId="77777777" w:rsidR="004907B0" w:rsidRPr="004907B0" w:rsidRDefault="004907B0" w:rsidP="00C530B0">
            <w:pPr>
              <w:autoSpaceDE w:val="0"/>
              <w:autoSpaceDN w:val="0"/>
              <w:adjustRightInd w:val="0"/>
              <w:rPr>
                <w:b/>
                <w:bCs/>
                <w:sz w:val="20"/>
                <w:szCs w:val="20"/>
              </w:rPr>
            </w:pPr>
            <w:r w:rsidRPr="004907B0">
              <w:rPr>
                <w:b/>
                <w:bCs/>
                <w:sz w:val="20"/>
                <w:szCs w:val="20"/>
              </w:rPr>
              <w:t>212</w:t>
            </w:r>
          </w:p>
        </w:tc>
        <w:tc>
          <w:tcPr>
            <w:tcW w:w="7624" w:type="dxa"/>
          </w:tcPr>
          <w:p w14:paraId="1469FB9E" w14:textId="77777777" w:rsidR="004907B0" w:rsidRPr="004907B0" w:rsidRDefault="004907B0" w:rsidP="00C530B0">
            <w:pPr>
              <w:autoSpaceDE w:val="0"/>
              <w:autoSpaceDN w:val="0"/>
              <w:adjustRightInd w:val="0"/>
              <w:rPr>
                <w:b/>
                <w:bCs/>
                <w:sz w:val="20"/>
                <w:szCs w:val="20"/>
              </w:rPr>
            </w:pPr>
            <w:r w:rsidRPr="004907B0">
              <w:rPr>
                <w:b/>
                <w:bCs/>
                <w:sz w:val="20"/>
                <w:szCs w:val="20"/>
              </w:rPr>
              <w:t>Železnice</w:t>
            </w:r>
          </w:p>
        </w:tc>
        <w:tc>
          <w:tcPr>
            <w:tcW w:w="850" w:type="dxa"/>
          </w:tcPr>
          <w:p w14:paraId="40E6A1C8" w14:textId="77777777" w:rsidR="004907B0" w:rsidRPr="004907B0" w:rsidRDefault="004907B0" w:rsidP="00C530B0">
            <w:pPr>
              <w:autoSpaceDE w:val="0"/>
              <w:autoSpaceDN w:val="0"/>
              <w:adjustRightInd w:val="0"/>
              <w:jc w:val="right"/>
              <w:rPr>
                <w:b/>
                <w:bCs/>
                <w:sz w:val="20"/>
                <w:szCs w:val="20"/>
              </w:rPr>
            </w:pPr>
            <w:r w:rsidRPr="004907B0">
              <w:rPr>
                <w:b/>
                <w:bCs/>
                <w:sz w:val="20"/>
                <w:szCs w:val="20"/>
              </w:rPr>
              <w:t>/</w:t>
            </w:r>
          </w:p>
        </w:tc>
      </w:tr>
      <w:tr w:rsidR="004907B0" w:rsidRPr="004907B0" w14:paraId="06301E06" w14:textId="77777777" w:rsidTr="00C530B0">
        <w:trPr>
          <w:trHeight w:val="290"/>
        </w:trPr>
        <w:tc>
          <w:tcPr>
            <w:tcW w:w="1337" w:type="dxa"/>
          </w:tcPr>
          <w:p w14:paraId="2EF0BF9E" w14:textId="77777777" w:rsidR="004907B0" w:rsidRPr="004907B0" w:rsidRDefault="004907B0" w:rsidP="00C530B0">
            <w:pPr>
              <w:autoSpaceDE w:val="0"/>
              <w:autoSpaceDN w:val="0"/>
              <w:adjustRightInd w:val="0"/>
              <w:rPr>
                <w:b/>
                <w:bCs/>
                <w:sz w:val="20"/>
                <w:szCs w:val="20"/>
              </w:rPr>
            </w:pPr>
            <w:r w:rsidRPr="004907B0">
              <w:rPr>
                <w:b/>
                <w:bCs/>
                <w:sz w:val="20"/>
                <w:szCs w:val="20"/>
              </w:rPr>
              <w:t>213</w:t>
            </w:r>
          </w:p>
        </w:tc>
        <w:tc>
          <w:tcPr>
            <w:tcW w:w="7624" w:type="dxa"/>
          </w:tcPr>
          <w:p w14:paraId="64F3EB6F" w14:textId="77777777" w:rsidR="004907B0" w:rsidRPr="004907B0" w:rsidRDefault="004907B0" w:rsidP="00C530B0">
            <w:pPr>
              <w:autoSpaceDE w:val="0"/>
              <w:autoSpaceDN w:val="0"/>
              <w:adjustRightInd w:val="0"/>
              <w:rPr>
                <w:b/>
                <w:bCs/>
                <w:sz w:val="20"/>
                <w:szCs w:val="20"/>
              </w:rPr>
            </w:pPr>
            <w:r w:rsidRPr="004907B0">
              <w:rPr>
                <w:b/>
                <w:bCs/>
                <w:sz w:val="20"/>
                <w:szCs w:val="20"/>
              </w:rPr>
              <w:t>Letališke steze, ploščadi in radio-navigacijski objekti</w:t>
            </w:r>
          </w:p>
        </w:tc>
        <w:tc>
          <w:tcPr>
            <w:tcW w:w="850" w:type="dxa"/>
          </w:tcPr>
          <w:p w14:paraId="7C9BF5C2" w14:textId="77777777" w:rsidR="004907B0" w:rsidRPr="004907B0" w:rsidRDefault="004907B0" w:rsidP="00C530B0">
            <w:pPr>
              <w:autoSpaceDE w:val="0"/>
              <w:autoSpaceDN w:val="0"/>
              <w:adjustRightInd w:val="0"/>
              <w:jc w:val="right"/>
              <w:rPr>
                <w:b/>
                <w:bCs/>
                <w:sz w:val="20"/>
                <w:szCs w:val="20"/>
              </w:rPr>
            </w:pPr>
            <w:r w:rsidRPr="004907B0">
              <w:rPr>
                <w:b/>
                <w:bCs/>
                <w:sz w:val="20"/>
                <w:szCs w:val="20"/>
              </w:rPr>
              <w:t>/</w:t>
            </w:r>
          </w:p>
        </w:tc>
      </w:tr>
      <w:tr w:rsidR="004907B0" w:rsidRPr="004907B0" w14:paraId="383FCAE1" w14:textId="77777777" w:rsidTr="00C530B0">
        <w:trPr>
          <w:trHeight w:val="290"/>
        </w:trPr>
        <w:tc>
          <w:tcPr>
            <w:tcW w:w="1337" w:type="dxa"/>
          </w:tcPr>
          <w:p w14:paraId="7EFC7A1B" w14:textId="77777777" w:rsidR="004907B0" w:rsidRPr="004907B0" w:rsidRDefault="004907B0" w:rsidP="00C530B0">
            <w:pPr>
              <w:autoSpaceDE w:val="0"/>
              <w:autoSpaceDN w:val="0"/>
              <w:adjustRightInd w:val="0"/>
              <w:rPr>
                <w:b/>
                <w:bCs/>
                <w:sz w:val="20"/>
                <w:szCs w:val="20"/>
              </w:rPr>
            </w:pPr>
            <w:r w:rsidRPr="004907B0">
              <w:rPr>
                <w:b/>
                <w:bCs/>
                <w:sz w:val="20"/>
                <w:szCs w:val="20"/>
              </w:rPr>
              <w:t>214</w:t>
            </w:r>
          </w:p>
        </w:tc>
        <w:tc>
          <w:tcPr>
            <w:tcW w:w="7624" w:type="dxa"/>
          </w:tcPr>
          <w:p w14:paraId="36E56B46" w14:textId="77777777" w:rsidR="004907B0" w:rsidRPr="004907B0" w:rsidRDefault="004907B0" w:rsidP="00C530B0">
            <w:pPr>
              <w:autoSpaceDE w:val="0"/>
              <w:autoSpaceDN w:val="0"/>
              <w:adjustRightInd w:val="0"/>
              <w:rPr>
                <w:b/>
                <w:bCs/>
                <w:sz w:val="20"/>
                <w:szCs w:val="20"/>
              </w:rPr>
            </w:pPr>
            <w:r w:rsidRPr="004907B0">
              <w:rPr>
                <w:b/>
                <w:bCs/>
                <w:sz w:val="20"/>
                <w:szCs w:val="20"/>
              </w:rPr>
              <w:t>Mostovi, viadukti, predori in podhodi</w:t>
            </w:r>
          </w:p>
        </w:tc>
        <w:tc>
          <w:tcPr>
            <w:tcW w:w="850" w:type="dxa"/>
          </w:tcPr>
          <w:p w14:paraId="1A5133E0" w14:textId="77777777" w:rsidR="004907B0" w:rsidRPr="004907B0" w:rsidRDefault="004907B0" w:rsidP="00C530B0">
            <w:pPr>
              <w:autoSpaceDE w:val="0"/>
              <w:autoSpaceDN w:val="0"/>
              <w:adjustRightInd w:val="0"/>
              <w:jc w:val="right"/>
              <w:rPr>
                <w:b/>
                <w:bCs/>
                <w:sz w:val="20"/>
                <w:szCs w:val="20"/>
              </w:rPr>
            </w:pPr>
            <w:r w:rsidRPr="004907B0">
              <w:rPr>
                <w:b/>
                <w:bCs/>
                <w:sz w:val="20"/>
                <w:szCs w:val="20"/>
              </w:rPr>
              <w:t>/</w:t>
            </w:r>
          </w:p>
        </w:tc>
      </w:tr>
      <w:tr w:rsidR="004907B0" w:rsidRPr="004907B0" w14:paraId="398398E2" w14:textId="77777777" w:rsidTr="00C530B0">
        <w:trPr>
          <w:trHeight w:val="290"/>
        </w:trPr>
        <w:tc>
          <w:tcPr>
            <w:tcW w:w="1337" w:type="dxa"/>
          </w:tcPr>
          <w:p w14:paraId="0256DD8D" w14:textId="77777777" w:rsidR="004907B0" w:rsidRPr="004907B0" w:rsidRDefault="004907B0" w:rsidP="00C530B0">
            <w:pPr>
              <w:autoSpaceDE w:val="0"/>
              <w:autoSpaceDN w:val="0"/>
              <w:adjustRightInd w:val="0"/>
              <w:rPr>
                <w:b/>
                <w:bCs/>
                <w:sz w:val="20"/>
                <w:szCs w:val="20"/>
              </w:rPr>
            </w:pPr>
            <w:r w:rsidRPr="004907B0">
              <w:rPr>
                <w:b/>
                <w:bCs/>
                <w:sz w:val="20"/>
                <w:szCs w:val="20"/>
              </w:rPr>
              <w:t>215</w:t>
            </w:r>
          </w:p>
        </w:tc>
        <w:tc>
          <w:tcPr>
            <w:tcW w:w="7624" w:type="dxa"/>
          </w:tcPr>
          <w:p w14:paraId="597E2C75" w14:textId="77777777" w:rsidR="004907B0" w:rsidRPr="004907B0" w:rsidRDefault="004907B0" w:rsidP="00C530B0">
            <w:pPr>
              <w:autoSpaceDE w:val="0"/>
              <w:autoSpaceDN w:val="0"/>
              <w:adjustRightInd w:val="0"/>
              <w:rPr>
                <w:b/>
                <w:bCs/>
                <w:sz w:val="20"/>
                <w:szCs w:val="20"/>
              </w:rPr>
            </w:pPr>
            <w:r w:rsidRPr="004907B0">
              <w:rPr>
                <w:b/>
                <w:bCs/>
                <w:sz w:val="20"/>
                <w:szCs w:val="20"/>
              </w:rPr>
              <w:t>Pristanišča, plovne poti, pregrade in jezovi ter drugi vodni objekti</w:t>
            </w:r>
          </w:p>
        </w:tc>
        <w:tc>
          <w:tcPr>
            <w:tcW w:w="850" w:type="dxa"/>
          </w:tcPr>
          <w:p w14:paraId="587C7439" w14:textId="77777777" w:rsidR="004907B0" w:rsidRPr="004907B0" w:rsidRDefault="004907B0" w:rsidP="00C530B0">
            <w:pPr>
              <w:autoSpaceDE w:val="0"/>
              <w:autoSpaceDN w:val="0"/>
              <w:adjustRightInd w:val="0"/>
              <w:jc w:val="right"/>
              <w:rPr>
                <w:b/>
                <w:bCs/>
                <w:sz w:val="20"/>
                <w:szCs w:val="20"/>
              </w:rPr>
            </w:pPr>
            <w:r w:rsidRPr="004907B0">
              <w:rPr>
                <w:b/>
                <w:bCs/>
                <w:sz w:val="20"/>
                <w:szCs w:val="20"/>
              </w:rPr>
              <w:t>/</w:t>
            </w:r>
          </w:p>
        </w:tc>
      </w:tr>
      <w:tr w:rsidR="004907B0" w:rsidRPr="004907B0" w14:paraId="1D1E8370" w14:textId="77777777" w:rsidTr="00C530B0">
        <w:trPr>
          <w:trHeight w:val="290"/>
        </w:trPr>
        <w:tc>
          <w:tcPr>
            <w:tcW w:w="1337" w:type="dxa"/>
          </w:tcPr>
          <w:p w14:paraId="088CD858" w14:textId="77777777" w:rsidR="004907B0" w:rsidRPr="004907B0" w:rsidRDefault="004907B0" w:rsidP="00C530B0">
            <w:pPr>
              <w:autoSpaceDE w:val="0"/>
              <w:autoSpaceDN w:val="0"/>
              <w:adjustRightInd w:val="0"/>
              <w:rPr>
                <w:b/>
                <w:bCs/>
                <w:sz w:val="20"/>
                <w:szCs w:val="20"/>
              </w:rPr>
            </w:pPr>
            <w:r w:rsidRPr="004907B0">
              <w:rPr>
                <w:b/>
                <w:bCs/>
                <w:sz w:val="20"/>
                <w:szCs w:val="20"/>
              </w:rPr>
              <w:t>22</w:t>
            </w:r>
          </w:p>
        </w:tc>
        <w:tc>
          <w:tcPr>
            <w:tcW w:w="7624" w:type="dxa"/>
          </w:tcPr>
          <w:p w14:paraId="1E544AF6" w14:textId="77777777" w:rsidR="004907B0" w:rsidRPr="004907B0" w:rsidRDefault="004907B0" w:rsidP="00C530B0">
            <w:pPr>
              <w:autoSpaceDE w:val="0"/>
              <w:autoSpaceDN w:val="0"/>
              <w:adjustRightInd w:val="0"/>
              <w:rPr>
                <w:b/>
                <w:bCs/>
                <w:sz w:val="20"/>
                <w:szCs w:val="20"/>
              </w:rPr>
            </w:pPr>
            <w:r w:rsidRPr="004907B0">
              <w:rPr>
                <w:b/>
                <w:bCs/>
                <w:sz w:val="20"/>
                <w:szCs w:val="20"/>
              </w:rPr>
              <w:t>Cevovodi, komunikacijska omrežja in elektroenergetski vodi</w:t>
            </w:r>
          </w:p>
        </w:tc>
        <w:tc>
          <w:tcPr>
            <w:tcW w:w="850" w:type="dxa"/>
          </w:tcPr>
          <w:p w14:paraId="22CC928A" w14:textId="77777777" w:rsidR="004907B0" w:rsidRPr="004907B0" w:rsidRDefault="004907B0" w:rsidP="00C530B0">
            <w:pPr>
              <w:autoSpaceDE w:val="0"/>
              <w:autoSpaceDN w:val="0"/>
              <w:adjustRightInd w:val="0"/>
              <w:jc w:val="right"/>
              <w:rPr>
                <w:b/>
                <w:bCs/>
                <w:sz w:val="20"/>
                <w:szCs w:val="20"/>
              </w:rPr>
            </w:pPr>
            <w:r w:rsidRPr="004907B0">
              <w:rPr>
                <w:b/>
                <w:bCs/>
                <w:sz w:val="20"/>
                <w:szCs w:val="20"/>
              </w:rPr>
              <w:t>/</w:t>
            </w:r>
          </w:p>
        </w:tc>
      </w:tr>
      <w:tr w:rsidR="004907B0" w:rsidRPr="004907B0" w14:paraId="40C1748C" w14:textId="77777777" w:rsidTr="00C530B0">
        <w:trPr>
          <w:trHeight w:val="492"/>
        </w:trPr>
        <w:tc>
          <w:tcPr>
            <w:tcW w:w="1337" w:type="dxa"/>
          </w:tcPr>
          <w:p w14:paraId="36A52838" w14:textId="77777777" w:rsidR="004907B0" w:rsidRPr="004907B0" w:rsidRDefault="004907B0" w:rsidP="00C530B0">
            <w:pPr>
              <w:autoSpaceDE w:val="0"/>
              <w:autoSpaceDN w:val="0"/>
              <w:adjustRightInd w:val="0"/>
              <w:rPr>
                <w:b/>
                <w:bCs/>
                <w:sz w:val="20"/>
                <w:szCs w:val="20"/>
              </w:rPr>
            </w:pPr>
            <w:r w:rsidRPr="004907B0">
              <w:rPr>
                <w:b/>
                <w:bCs/>
                <w:sz w:val="20"/>
                <w:szCs w:val="20"/>
              </w:rPr>
              <w:t>221</w:t>
            </w:r>
          </w:p>
        </w:tc>
        <w:tc>
          <w:tcPr>
            <w:tcW w:w="7624" w:type="dxa"/>
          </w:tcPr>
          <w:p w14:paraId="7904BF96" w14:textId="77777777" w:rsidR="004907B0" w:rsidRPr="004907B0" w:rsidRDefault="004907B0" w:rsidP="00C530B0">
            <w:pPr>
              <w:autoSpaceDE w:val="0"/>
              <w:autoSpaceDN w:val="0"/>
              <w:adjustRightInd w:val="0"/>
              <w:rPr>
                <w:b/>
                <w:bCs/>
                <w:sz w:val="20"/>
                <w:szCs w:val="20"/>
              </w:rPr>
            </w:pPr>
            <w:r w:rsidRPr="004907B0">
              <w:rPr>
                <w:b/>
                <w:bCs/>
                <w:sz w:val="20"/>
                <w:szCs w:val="20"/>
              </w:rPr>
              <w:t>Prenosni (transportni) cevovodi, prenosna komunikacijska omrežja in prenosni elektroenergetski vodi</w:t>
            </w:r>
          </w:p>
        </w:tc>
        <w:tc>
          <w:tcPr>
            <w:tcW w:w="850" w:type="dxa"/>
          </w:tcPr>
          <w:p w14:paraId="4636D620" w14:textId="77777777" w:rsidR="004907B0" w:rsidRPr="004907B0" w:rsidRDefault="004907B0" w:rsidP="00C530B0">
            <w:pPr>
              <w:autoSpaceDE w:val="0"/>
              <w:autoSpaceDN w:val="0"/>
              <w:adjustRightInd w:val="0"/>
              <w:jc w:val="right"/>
              <w:rPr>
                <w:b/>
                <w:bCs/>
                <w:sz w:val="20"/>
                <w:szCs w:val="20"/>
              </w:rPr>
            </w:pPr>
            <w:r w:rsidRPr="004907B0">
              <w:rPr>
                <w:b/>
                <w:bCs/>
                <w:sz w:val="20"/>
                <w:szCs w:val="20"/>
              </w:rPr>
              <w:t>/</w:t>
            </w:r>
          </w:p>
        </w:tc>
      </w:tr>
      <w:tr w:rsidR="004907B0" w:rsidRPr="004907B0" w14:paraId="06DB33FC" w14:textId="77777777" w:rsidTr="00C530B0">
        <w:trPr>
          <w:trHeight w:val="492"/>
        </w:trPr>
        <w:tc>
          <w:tcPr>
            <w:tcW w:w="1337" w:type="dxa"/>
          </w:tcPr>
          <w:p w14:paraId="58A1006A" w14:textId="77777777" w:rsidR="004907B0" w:rsidRPr="004907B0" w:rsidRDefault="004907B0" w:rsidP="00C530B0">
            <w:pPr>
              <w:autoSpaceDE w:val="0"/>
              <w:autoSpaceDN w:val="0"/>
              <w:adjustRightInd w:val="0"/>
              <w:rPr>
                <w:b/>
                <w:bCs/>
                <w:sz w:val="20"/>
                <w:szCs w:val="20"/>
              </w:rPr>
            </w:pPr>
            <w:r w:rsidRPr="004907B0">
              <w:rPr>
                <w:b/>
                <w:bCs/>
                <w:sz w:val="20"/>
                <w:szCs w:val="20"/>
              </w:rPr>
              <w:t>222</w:t>
            </w:r>
          </w:p>
        </w:tc>
        <w:tc>
          <w:tcPr>
            <w:tcW w:w="7624" w:type="dxa"/>
          </w:tcPr>
          <w:p w14:paraId="3399CF61" w14:textId="77777777" w:rsidR="004907B0" w:rsidRPr="004907B0" w:rsidRDefault="004907B0" w:rsidP="00C530B0">
            <w:pPr>
              <w:autoSpaceDE w:val="0"/>
              <w:autoSpaceDN w:val="0"/>
              <w:adjustRightInd w:val="0"/>
              <w:rPr>
                <w:b/>
                <w:bCs/>
                <w:sz w:val="20"/>
                <w:szCs w:val="20"/>
              </w:rPr>
            </w:pPr>
            <w:r w:rsidRPr="004907B0">
              <w:rPr>
                <w:b/>
                <w:bCs/>
                <w:sz w:val="20"/>
                <w:szCs w:val="20"/>
              </w:rPr>
              <w:t>Distribucijski cevovodi, distribucijski elektroenergetski vodi in distribucijska komunikacijska omrežja</w:t>
            </w:r>
          </w:p>
        </w:tc>
        <w:tc>
          <w:tcPr>
            <w:tcW w:w="850" w:type="dxa"/>
          </w:tcPr>
          <w:p w14:paraId="2EB59328" w14:textId="77777777" w:rsidR="004907B0" w:rsidRPr="004907B0" w:rsidRDefault="004907B0" w:rsidP="00C530B0">
            <w:pPr>
              <w:autoSpaceDE w:val="0"/>
              <w:autoSpaceDN w:val="0"/>
              <w:adjustRightInd w:val="0"/>
              <w:jc w:val="right"/>
              <w:rPr>
                <w:b/>
                <w:bCs/>
                <w:sz w:val="20"/>
                <w:szCs w:val="20"/>
              </w:rPr>
            </w:pPr>
            <w:r w:rsidRPr="004907B0">
              <w:rPr>
                <w:b/>
                <w:bCs/>
                <w:sz w:val="20"/>
                <w:szCs w:val="20"/>
              </w:rPr>
              <w:t>/</w:t>
            </w:r>
          </w:p>
        </w:tc>
      </w:tr>
      <w:tr w:rsidR="004907B0" w:rsidRPr="004907B0" w14:paraId="03B2642C" w14:textId="77777777" w:rsidTr="00C530B0">
        <w:trPr>
          <w:trHeight w:val="290"/>
        </w:trPr>
        <w:tc>
          <w:tcPr>
            <w:tcW w:w="1337" w:type="dxa"/>
          </w:tcPr>
          <w:p w14:paraId="226604D8" w14:textId="77777777" w:rsidR="004907B0" w:rsidRPr="004907B0" w:rsidRDefault="004907B0" w:rsidP="00C530B0">
            <w:pPr>
              <w:autoSpaceDE w:val="0"/>
              <w:autoSpaceDN w:val="0"/>
              <w:adjustRightInd w:val="0"/>
              <w:rPr>
                <w:b/>
                <w:bCs/>
                <w:sz w:val="20"/>
                <w:szCs w:val="20"/>
              </w:rPr>
            </w:pPr>
            <w:r w:rsidRPr="004907B0">
              <w:rPr>
                <w:b/>
                <w:bCs/>
                <w:sz w:val="20"/>
                <w:szCs w:val="20"/>
              </w:rPr>
              <w:t>23</w:t>
            </w:r>
          </w:p>
        </w:tc>
        <w:tc>
          <w:tcPr>
            <w:tcW w:w="7624" w:type="dxa"/>
          </w:tcPr>
          <w:p w14:paraId="3ED49215" w14:textId="77777777" w:rsidR="004907B0" w:rsidRPr="004907B0" w:rsidRDefault="004907B0" w:rsidP="00C530B0">
            <w:pPr>
              <w:autoSpaceDE w:val="0"/>
              <w:autoSpaceDN w:val="0"/>
              <w:adjustRightInd w:val="0"/>
              <w:rPr>
                <w:b/>
                <w:bCs/>
                <w:sz w:val="20"/>
                <w:szCs w:val="20"/>
              </w:rPr>
            </w:pPr>
            <w:r w:rsidRPr="004907B0">
              <w:rPr>
                <w:b/>
                <w:bCs/>
                <w:sz w:val="20"/>
                <w:szCs w:val="20"/>
              </w:rPr>
              <w:t>Kompleksni industrijski objekti</w:t>
            </w:r>
          </w:p>
        </w:tc>
        <w:tc>
          <w:tcPr>
            <w:tcW w:w="850" w:type="dxa"/>
          </w:tcPr>
          <w:p w14:paraId="7BF511A2" w14:textId="77777777" w:rsidR="004907B0" w:rsidRPr="004907B0" w:rsidRDefault="004907B0" w:rsidP="00C530B0">
            <w:pPr>
              <w:autoSpaceDE w:val="0"/>
              <w:autoSpaceDN w:val="0"/>
              <w:adjustRightInd w:val="0"/>
              <w:jc w:val="right"/>
              <w:rPr>
                <w:rFonts w:ascii="Calibri" w:hAnsi="Calibri" w:cs="Calibri"/>
                <w:sz w:val="22"/>
                <w:szCs w:val="22"/>
              </w:rPr>
            </w:pPr>
          </w:p>
        </w:tc>
      </w:tr>
      <w:tr w:rsidR="004907B0" w:rsidRPr="004907B0" w14:paraId="509665D8" w14:textId="77777777" w:rsidTr="00C530B0">
        <w:trPr>
          <w:trHeight w:val="290"/>
        </w:trPr>
        <w:tc>
          <w:tcPr>
            <w:tcW w:w="1337" w:type="dxa"/>
          </w:tcPr>
          <w:p w14:paraId="6DB9AA3F" w14:textId="77777777" w:rsidR="004907B0" w:rsidRPr="004907B0" w:rsidRDefault="004907B0" w:rsidP="00C530B0">
            <w:pPr>
              <w:autoSpaceDE w:val="0"/>
              <w:autoSpaceDN w:val="0"/>
              <w:adjustRightInd w:val="0"/>
              <w:rPr>
                <w:b/>
                <w:bCs/>
                <w:sz w:val="20"/>
                <w:szCs w:val="20"/>
              </w:rPr>
            </w:pPr>
            <w:r w:rsidRPr="004907B0">
              <w:rPr>
                <w:b/>
                <w:bCs/>
                <w:sz w:val="20"/>
                <w:szCs w:val="20"/>
              </w:rPr>
              <w:t>230</w:t>
            </w:r>
          </w:p>
        </w:tc>
        <w:tc>
          <w:tcPr>
            <w:tcW w:w="7624" w:type="dxa"/>
          </w:tcPr>
          <w:p w14:paraId="06C530EC" w14:textId="77777777" w:rsidR="004907B0" w:rsidRPr="004907B0" w:rsidRDefault="004907B0" w:rsidP="00C530B0">
            <w:pPr>
              <w:autoSpaceDE w:val="0"/>
              <w:autoSpaceDN w:val="0"/>
              <w:adjustRightInd w:val="0"/>
              <w:rPr>
                <w:b/>
                <w:bCs/>
                <w:sz w:val="20"/>
                <w:szCs w:val="20"/>
              </w:rPr>
            </w:pPr>
            <w:r w:rsidRPr="004907B0">
              <w:rPr>
                <w:b/>
                <w:bCs/>
                <w:sz w:val="20"/>
                <w:szCs w:val="20"/>
              </w:rPr>
              <w:t>Kompleksni industrijski objekti</w:t>
            </w:r>
          </w:p>
        </w:tc>
        <w:tc>
          <w:tcPr>
            <w:tcW w:w="850" w:type="dxa"/>
          </w:tcPr>
          <w:p w14:paraId="55F26EED" w14:textId="77777777" w:rsidR="004907B0" w:rsidRPr="004907B0" w:rsidRDefault="004907B0" w:rsidP="00C530B0">
            <w:pPr>
              <w:autoSpaceDE w:val="0"/>
              <w:autoSpaceDN w:val="0"/>
              <w:adjustRightInd w:val="0"/>
              <w:jc w:val="right"/>
              <w:rPr>
                <w:rFonts w:ascii="Calibri" w:hAnsi="Calibri" w:cs="Calibri"/>
                <w:sz w:val="22"/>
                <w:szCs w:val="22"/>
              </w:rPr>
            </w:pPr>
          </w:p>
        </w:tc>
      </w:tr>
      <w:tr w:rsidR="004907B0" w:rsidRPr="004907B0" w14:paraId="0CFD76D4" w14:textId="77777777" w:rsidTr="00C530B0">
        <w:trPr>
          <w:trHeight w:val="290"/>
        </w:trPr>
        <w:tc>
          <w:tcPr>
            <w:tcW w:w="1337" w:type="dxa"/>
          </w:tcPr>
          <w:p w14:paraId="34CDF0F4" w14:textId="77777777" w:rsidR="004907B0" w:rsidRPr="004907B0" w:rsidRDefault="004907B0" w:rsidP="00C530B0">
            <w:pPr>
              <w:autoSpaceDE w:val="0"/>
              <w:autoSpaceDN w:val="0"/>
              <w:adjustRightInd w:val="0"/>
              <w:rPr>
                <w:sz w:val="20"/>
                <w:szCs w:val="20"/>
              </w:rPr>
            </w:pPr>
            <w:r w:rsidRPr="004907B0">
              <w:rPr>
                <w:sz w:val="20"/>
                <w:szCs w:val="20"/>
              </w:rPr>
              <w:t>2301</w:t>
            </w:r>
          </w:p>
        </w:tc>
        <w:tc>
          <w:tcPr>
            <w:tcW w:w="7624" w:type="dxa"/>
          </w:tcPr>
          <w:p w14:paraId="5BA1802E" w14:textId="77777777" w:rsidR="004907B0" w:rsidRPr="004907B0" w:rsidRDefault="004907B0" w:rsidP="00C530B0">
            <w:pPr>
              <w:autoSpaceDE w:val="0"/>
              <w:autoSpaceDN w:val="0"/>
              <w:adjustRightInd w:val="0"/>
              <w:rPr>
                <w:sz w:val="20"/>
                <w:szCs w:val="20"/>
              </w:rPr>
            </w:pPr>
            <w:r w:rsidRPr="004907B0">
              <w:rPr>
                <w:sz w:val="20"/>
                <w:szCs w:val="20"/>
              </w:rPr>
              <w:t>Rudarski objekti</w:t>
            </w:r>
          </w:p>
        </w:tc>
        <w:tc>
          <w:tcPr>
            <w:tcW w:w="850" w:type="dxa"/>
          </w:tcPr>
          <w:p w14:paraId="5DBF3FBF" w14:textId="77777777" w:rsidR="004907B0" w:rsidRPr="004907B0" w:rsidRDefault="004907B0" w:rsidP="00C530B0">
            <w:pPr>
              <w:autoSpaceDE w:val="0"/>
              <w:autoSpaceDN w:val="0"/>
              <w:adjustRightInd w:val="0"/>
              <w:jc w:val="right"/>
              <w:rPr>
                <w:sz w:val="20"/>
                <w:szCs w:val="20"/>
              </w:rPr>
            </w:pPr>
            <w:r w:rsidRPr="004907B0">
              <w:rPr>
                <w:sz w:val="20"/>
                <w:szCs w:val="20"/>
              </w:rPr>
              <w:t>1,3</w:t>
            </w:r>
          </w:p>
        </w:tc>
      </w:tr>
      <w:tr w:rsidR="004907B0" w:rsidRPr="004907B0" w14:paraId="7092981D" w14:textId="77777777" w:rsidTr="00C530B0">
        <w:trPr>
          <w:trHeight w:val="290"/>
        </w:trPr>
        <w:tc>
          <w:tcPr>
            <w:tcW w:w="1337" w:type="dxa"/>
          </w:tcPr>
          <w:p w14:paraId="72C460D4" w14:textId="77777777" w:rsidR="004907B0" w:rsidRPr="004907B0" w:rsidRDefault="004907B0" w:rsidP="00C530B0">
            <w:pPr>
              <w:autoSpaceDE w:val="0"/>
              <w:autoSpaceDN w:val="0"/>
              <w:adjustRightInd w:val="0"/>
              <w:rPr>
                <w:sz w:val="20"/>
                <w:szCs w:val="20"/>
              </w:rPr>
            </w:pPr>
            <w:r w:rsidRPr="004907B0">
              <w:rPr>
                <w:sz w:val="20"/>
                <w:szCs w:val="20"/>
              </w:rPr>
              <w:t>2302</w:t>
            </w:r>
          </w:p>
        </w:tc>
        <w:tc>
          <w:tcPr>
            <w:tcW w:w="7624" w:type="dxa"/>
          </w:tcPr>
          <w:p w14:paraId="72C39F98" w14:textId="77777777" w:rsidR="004907B0" w:rsidRPr="004907B0" w:rsidRDefault="004907B0" w:rsidP="00C530B0">
            <w:pPr>
              <w:autoSpaceDE w:val="0"/>
              <w:autoSpaceDN w:val="0"/>
              <w:adjustRightInd w:val="0"/>
              <w:rPr>
                <w:sz w:val="20"/>
                <w:szCs w:val="20"/>
              </w:rPr>
            </w:pPr>
            <w:r w:rsidRPr="004907B0">
              <w:rPr>
                <w:sz w:val="20"/>
                <w:szCs w:val="20"/>
              </w:rPr>
              <w:t>Energetski objekti</w:t>
            </w:r>
          </w:p>
        </w:tc>
        <w:tc>
          <w:tcPr>
            <w:tcW w:w="850" w:type="dxa"/>
          </w:tcPr>
          <w:p w14:paraId="55CE90B7" w14:textId="77777777" w:rsidR="004907B0" w:rsidRPr="004907B0" w:rsidRDefault="004907B0" w:rsidP="00C530B0">
            <w:pPr>
              <w:autoSpaceDE w:val="0"/>
              <w:autoSpaceDN w:val="0"/>
              <w:adjustRightInd w:val="0"/>
              <w:jc w:val="right"/>
              <w:rPr>
                <w:sz w:val="20"/>
                <w:szCs w:val="20"/>
              </w:rPr>
            </w:pPr>
            <w:r w:rsidRPr="004907B0">
              <w:rPr>
                <w:sz w:val="20"/>
                <w:szCs w:val="20"/>
              </w:rPr>
              <w:t>1,3</w:t>
            </w:r>
          </w:p>
        </w:tc>
      </w:tr>
      <w:tr w:rsidR="004907B0" w:rsidRPr="004907B0" w14:paraId="215D0A48" w14:textId="77777777" w:rsidTr="00C530B0">
        <w:trPr>
          <w:trHeight w:val="290"/>
        </w:trPr>
        <w:tc>
          <w:tcPr>
            <w:tcW w:w="1337" w:type="dxa"/>
          </w:tcPr>
          <w:p w14:paraId="42E2965B" w14:textId="77777777" w:rsidR="004907B0" w:rsidRPr="004907B0" w:rsidRDefault="004907B0" w:rsidP="00C530B0">
            <w:pPr>
              <w:autoSpaceDE w:val="0"/>
              <w:autoSpaceDN w:val="0"/>
              <w:adjustRightInd w:val="0"/>
              <w:rPr>
                <w:sz w:val="20"/>
                <w:szCs w:val="20"/>
              </w:rPr>
            </w:pPr>
            <w:r w:rsidRPr="004907B0">
              <w:rPr>
                <w:sz w:val="20"/>
                <w:szCs w:val="20"/>
              </w:rPr>
              <w:t>2303</w:t>
            </w:r>
          </w:p>
        </w:tc>
        <w:tc>
          <w:tcPr>
            <w:tcW w:w="7624" w:type="dxa"/>
          </w:tcPr>
          <w:p w14:paraId="09AF0AC9" w14:textId="77777777" w:rsidR="004907B0" w:rsidRPr="004907B0" w:rsidRDefault="004907B0" w:rsidP="00C530B0">
            <w:pPr>
              <w:autoSpaceDE w:val="0"/>
              <w:autoSpaceDN w:val="0"/>
              <w:adjustRightInd w:val="0"/>
              <w:rPr>
                <w:sz w:val="20"/>
                <w:szCs w:val="20"/>
              </w:rPr>
            </w:pPr>
            <w:r w:rsidRPr="004907B0">
              <w:rPr>
                <w:sz w:val="20"/>
                <w:szCs w:val="20"/>
              </w:rPr>
              <w:t>Objekti kemične industrije</w:t>
            </w:r>
          </w:p>
        </w:tc>
        <w:tc>
          <w:tcPr>
            <w:tcW w:w="850" w:type="dxa"/>
          </w:tcPr>
          <w:p w14:paraId="1B3D7FD0" w14:textId="77777777" w:rsidR="004907B0" w:rsidRPr="004907B0" w:rsidRDefault="004907B0" w:rsidP="00C530B0">
            <w:pPr>
              <w:autoSpaceDE w:val="0"/>
              <w:autoSpaceDN w:val="0"/>
              <w:adjustRightInd w:val="0"/>
              <w:jc w:val="right"/>
              <w:rPr>
                <w:sz w:val="20"/>
                <w:szCs w:val="20"/>
              </w:rPr>
            </w:pPr>
            <w:r w:rsidRPr="004907B0">
              <w:rPr>
                <w:sz w:val="20"/>
                <w:szCs w:val="20"/>
              </w:rPr>
              <w:t>1,3</w:t>
            </w:r>
          </w:p>
        </w:tc>
      </w:tr>
      <w:tr w:rsidR="004907B0" w:rsidRPr="004907B0" w14:paraId="58718973" w14:textId="77777777" w:rsidTr="00C530B0">
        <w:trPr>
          <w:trHeight w:val="290"/>
        </w:trPr>
        <w:tc>
          <w:tcPr>
            <w:tcW w:w="1337" w:type="dxa"/>
          </w:tcPr>
          <w:p w14:paraId="09603D15" w14:textId="77777777" w:rsidR="004907B0" w:rsidRPr="004907B0" w:rsidRDefault="004907B0" w:rsidP="00C530B0">
            <w:pPr>
              <w:autoSpaceDE w:val="0"/>
              <w:autoSpaceDN w:val="0"/>
              <w:adjustRightInd w:val="0"/>
              <w:rPr>
                <w:sz w:val="20"/>
                <w:szCs w:val="20"/>
              </w:rPr>
            </w:pPr>
            <w:r w:rsidRPr="004907B0">
              <w:rPr>
                <w:sz w:val="20"/>
                <w:szCs w:val="20"/>
              </w:rPr>
              <w:t>2304</w:t>
            </w:r>
          </w:p>
        </w:tc>
        <w:tc>
          <w:tcPr>
            <w:tcW w:w="7624" w:type="dxa"/>
          </w:tcPr>
          <w:p w14:paraId="4C1408B3" w14:textId="77777777" w:rsidR="004907B0" w:rsidRPr="004907B0" w:rsidRDefault="004907B0" w:rsidP="00C530B0">
            <w:pPr>
              <w:autoSpaceDE w:val="0"/>
              <w:autoSpaceDN w:val="0"/>
              <w:adjustRightInd w:val="0"/>
              <w:rPr>
                <w:sz w:val="20"/>
                <w:szCs w:val="20"/>
              </w:rPr>
            </w:pPr>
            <w:r w:rsidRPr="004907B0">
              <w:rPr>
                <w:sz w:val="20"/>
                <w:szCs w:val="20"/>
              </w:rPr>
              <w:t>Drugi kompleksni industrijski objekti, ki niso uvrščeni drugje</w:t>
            </w:r>
          </w:p>
        </w:tc>
        <w:tc>
          <w:tcPr>
            <w:tcW w:w="850" w:type="dxa"/>
          </w:tcPr>
          <w:p w14:paraId="379E8C1A" w14:textId="77777777" w:rsidR="004907B0" w:rsidRPr="004907B0" w:rsidRDefault="004907B0" w:rsidP="00C530B0">
            <w:pPr>
              <w:autoSpaceDE w:val="0"/>
              <w:autoSpaceDN w:val="0"/>
              <w:adjustRightInd w:val="0"/>
              <w:jc w:val="right"/>
              <w:rPr>
                <w:sz w:val="20"/>
                <w:szCs w:val="20"/>
              </w:rPr>
            </w:pPr>
            <w:r w:rsidRPr="004907B0">
              <w:rPr>
                <w:sz w:val="20"/>
                <w:szCs w:val="20"/>
              </w:rPr>
              <w:t>1,3</w:t>
            </w:r>
          </w:p>
        </w:tc>
      </w:tr>
      <w:tr w:rsidR="004907B0" w:rsidRPr="004907B0" w14:paraId="46A63A79" w14:textId="77777777" w:rsidTr="00C530B0">
        <w:trPr>
          <w:trHeight w:val="290"/>
        </w:trPr>
        <w:tc>
          <w:tcPr>
            <w:tcW w:w="1337" w:type="dxa"/>
          </w:tcPr>
          <w:p w14:paraId="16B2EFF9" w14:textId="77777777" w:rsidR="004907B0" w:rsidRPr="004907B0" w:rsidRDefault="004907B0" w:rsidP="00C530B0">
            <w:pPr>
              <w:autoSpaceDE w:val="0"/>
              <w:autoSpaceDN w:val="0"/>
              <w:adjustRightInd w:val="0"/>
              <w:rPr>
                <w:b/>
                <w:bCs/>
                <w:sz w:val="20"/>
                <w:szCs w:val="20"/>
              </w:rPr>
            </w:pPr>
            <w:r w:rsidRPr="004907B0">
              <w:rPr>
                <w:b/>
                <w:bCs/>
                <w:sz w:val="20"/>
                <w:szCs w:val="20"/>
              </w:rPr>
              <w:t>24</w:t>
            </w:r>
          </w:p>
        </w:tc>
        <w:tc>
          <w:tcPr>
            <w:tcW w:w="7624" w:type="dxa"/>
          </w:tcPr>
          <w:p w14:paraId="69ACEC36" w14:textId="77777777" w:rsidR="004907B0" w:rsidRPr="004907B0" w:rsidRDefault="004907B0" w:rsidP="00C530B0">
            <w:pPr>
              <w:autoSpaceDE w:val="0"/>
              <w:autoSpaceDN w:val="0"/>
              <w:adjustRightInd w:val="0"/>
              <w:rPr>
                <w:b/>
                <w:bCs/>
                <w:sz w:val="20"/>
                <w:szCs w:val="20"/>
              </w:rPr>
            </w:pPr>
            <w:r w:rsidRPr="004907B0">
              <w:rPr>
                <w:b/>
                <w:bCs/>
                <w:sz w:val="20"/>
                <w:szCs w:val="20"/>
              </w:rPr>
              <w:t>Drugi gradbeni inženirski objekti</w:t>
            </w:r>
          </w:p>
        </w:tc>
        <w:tc>
          <w:tcPr>
            <w:tcW w:w="850" w:type="dxa"/>
          </w:tcPr>
          <w:p w14:paraId="29EEBBC5" w14:textId="77777777" w:rsidR="004907B0" w:rsidRPr="004907B0" w:rsidRDefault="004907B0" w:rsidP="00C530B0">
            <w:pPr>
              <w:autoSpaceDE w:val="0"/>
              <w:autoSpaceDN w:val="0"/>
              <w:adjustRightInd w:val="0"/>
              <w:jc w:val="right"/>
              <w:rPr>
                <w:rFonts w:ascii="Calibri" w:hAnsi="Calibri" w:cs="Calibri"/>
                <w:sz w:val="22"/>
                <w:szCs w:val="22"/>
              </w:rPr>
            </w:pPr>
          </w:p>
        </w:tc>
      </w:tr>
      <w:tr w:rsidR="004907B0" w:rsidRPr="004907B0" w14:paraId="15894153" w14:textId="77777777" w:rsidTr="00C530B0">
        <w:trPr>
          <w:trHeight w:val="290"/>
        </w:trPr>
        <w:tc>
          <w:tcPr>
            <w:tcW w:w="1337" w:type="dxa"/>
          </w:tcPr>
          <w:p w14:paraId="721E1FDA" w14:textId="77777777" w:rsidR="004907B0" w:rsidRPr="004907B0" w:rsidRDefault="004907B0" w:rsidP="00C530B0">
            <w:pPr>
              <w:autoSpaceDE w:val="0"/>
              <w:autoSpaceDN w:val="0"/>
              <w:adjustRightInd w:val="0"/>
              <w:rPr>
                <w:b/>
                <w:bCs/>
                <w:sz w:val="20"/>
                <w:szCs w:val="20"/>
              </w:rPr>
            </w:pPr>
            <w:r w:rsidRPr="004907B0">
              <w:rPr>
                <w:b/>
                <w:bCs/>
                <w:sz w:val="20"/>
                <w:szCs w:val="20"/>
              </w:rPr>
              <w:t>241</w:t>
            </w:r>
          </w:p>
        </w:tc>
        <w:tc>
          <w:tcPr>
            <w:tcW w:w="7624" w:type="dxa"/>
          </w:tcPr>
          <w:p w14:paraId="08B8DD9E" w14:textId="77777777" w:rsidR="004907B0" w:rsidRPr="004907B0" w:rsidRDefault="004907B0" w:rsidP="00C530B0">
            <w:pPr>
              <w:autoSpaceDE w:val="0"/>
              <w:autoSpaceDN w:val="0"/>
              <w:adjustRightInd w:val="0"/>
              <w:rPr>
                <w:b/>
                <w:bCs/>
                <w:sz w:val="20"/>
                <w:szCs w:val="20"/>
              </w:rPr>
            </w:pPr>
            <w:r w:rsidRPr="004907B0">
              <w:rPr>
                <w:b/>
                <w:bCs/>
                <w:sz w:val="20"/>
                <w:szCs w:val="20"/>
              </w:rPr>
              <w:t>Objekti za šport, rekreacijo in drugi objekti za prosti čas</w:t>
            </w:r>
          </w:p>
        </w:tc>
        <w:tc>
          <w:tcPr>
            <w:tcW w:w="850" w:type="dxa"/>
          </w:tcPr>
          <w:p w14:paraId="371AADC5" w14:textId="77777777" w:rsidR="004907B0" w:rsidRPr="004907B0" w:rsidRDefault="004907B0" w:rsidP="00C530B0">
            <w:pPr>
              <w:autoSpaceDE w:val="0"/>
              <w:autoSpaceDN w:val="0"/>
              <w:adjustRightInd w:val="0"/>
              <w:jc w:val="right"/>
              <w:rPr>
                <w:rFonts w:ascii="Calibri" w:hAnsi="Calibri" w:cs="Calibri"/>
                <w:sz w:val="22"/>
                <w:szCs w:val="22"/>
              </w:rPr>
            </w:pPr>
          </w:p>
        </w:tc>
      </w:tr>
      <w:tr w:rsidR="004907B0" w:rsidRPr="004907B0" w14:paraId="00D15098" w14:textId="77777777" w:rsidTr="00C530B0">
        <w:trPr>
          <w:trHeight w:val="290"/>
        </w:trPr>
        <w:tc>
          <w:tcPr>
            <w:tcW w:w="1337" w:type="dxa"/>
          </w:tcPr>
          <w:p w14:paraId="4D9BD010" w14:textId="77777777" w:rsidR="004907B0" w:rsidRPr="004907B0" w:rsidRDefault="004907B0" w:rsidP="00C530B0">
            <w:pPr>
              <w:autoSpaceDE w:val="0"/>
              <w:autoSpaceDN w:val="0"/>
              <w:adjustRightInd w:val="0"/>
              <w:rPr>
                <w:sz w:val="20"/>
                <w:szCs w:val="20"/>
              </w:rPr>
            </w:pPr>
            <w:r w:rsidRPr="004907B0">
              <w:rPr>
                <w:sz w:val="20"/>
                <w:szCs w:val="20"/>
              </w:rPr>
              <w:t>24110</w:t>
            </w:r>
          </w:p>
        </w:tc>
        <w:tc>
          <w:tcPr>
            <w:tcW w:w="7624" w:type="dxa"/>
          </w:tcPr>
          <w:p w14:paraId="6D89D784" w14:textId="77777777" w:rsidR="004907B0" w:rsidRPr="004907B0" w:rsidRDefault="004907B0" w:rsidP="00C530B0">
            <w:pPr>
              <w:autoSpaceDE w:val="0"/>
              <w:autoSpaceDN w:val="0"/>
              <w:adjustRightInd w:val="0"/>
              <w:rPr>
                <w:sz w:val="20"/>
                <w:szCs w:val="20"/>
              </w:rPr>
            </w:pPr>
            <w:r w:rsidRPr="004907B0">
              <w:rPr>
                <w:sz w:val="20"/>
                <w:szCs w:val="20"/>
              </w:rPr>
              <w:t>Športna igrišča</w:t>
            </w:r>
          </w:p>
        </w:tc>
        <w:tc>
          <w:tcPr>
            <w:tcW w:w="850" w:type="dxa"/>
          </w:tcPr>
          <w:p w14:paraId="5C1DDDC2" w14:textId="77777777" w:rsidR="004907B0" w:rsidRPr="004907B0" w:rsidRDefault="004907B0" w:rsidP="00C530B0">
            <w:pPr>
              <w:autoSpaceDE w:val="0"/>
              <w:autoSpaceDN w:val="0"/>
              <w:adjustRightInd w:val="0"/>
              <w:jc w:val="right"/>
              <w:rPr>
                <w:sz w:val="20"/>
                <w:szCs w:val="20"/>
              </w:rPr>
            </w:pPr>
            <w:r w:rsidRPr="004907B0">
              <w:rPr>
                <w:sz w:val="20"/>
                <w:szCs w:val="20"/>
              </w:rPr>
              <w:t>0,7</w:t>
            </w:r>
          </w:p>
        </w:tc>
      </w:tr>
      <w:tr w:rsidR="004907B0" w:rsidRPr="004907B0" w14:paraId="50A43318" w14:textId="77777777" w:rsidTr="00C530B0">
        <w:trPr>
          <w:trHeight w:val="290"/>
        </w:trPr>
        <w:tc>
          <w:tcPr>
            <w:tcW w:w="1337" w:type="dxa"/>
          </w:tcPr>
          <w:p w14:paraId="790D8705" w14:textId="77777777" w:rsidR="004907B0" w:rsidRPr="004907B0" w:rsidRDefault="004907B0" w:rsidP="00C530B0">
            <w:pPr>
              <w:autoSpaceDE w:val="0"/>
              <w:autoSpaceDN w:val="0"/>
              <w:adjustRightInd w:val="0"/>
              <w:rPr>
                <w:sz w:val="20"/>
                <w:szCs w:val="20"/>
              </w:rPr>
            </w:pPr>
            <w:r w:rsidRPr="004907B0">
              <w:rPr>
                <w:sz w:val="20"/>
                <w:szCs w:val="20"/>
              </w:rPr>
              <w:t>24122</w:t>
            </w:r>
          </w:p>
        </w:tc>
        <w:tc>
          <w:tcPr>
            <w:tcW w:w="7624" w:type="dxa"/>
          </w:tcPr>
          <w:p w14:paraId="1701C6AD" w14:textId="77777777" w:rsidR="004907B0" w:rsidRPr="004907B0" w:rsidRDefault="004907B0" w:rsidP="00C530B0">
            <w:pPr>
              <w:autoSpaceDE w:val="0"/>
              <w:autoSpaceDN w:val="0"/>
              <w:adjustRightInd w:val="0"/>
              <w:rPr>
                <w:sz w:val="20"/>
                <w:szCs w:val="20"/>
              </w:rPr>
            </w:pPr>
            <w:r w:rsidRPr="004907B0">
              <w:rPr>
                <w:sz w:val="20"/>
                <w:szCs w:val="20"/>
              </w:rPr>
              <w:t>Drugi gradbeni inženirski objekti za šport, rekreacijo in prosti čas</w:t>
            </w:r>
          </w:p>
        </w:tc>
        <w:tc>
          <w:tcPr>
            <w:tcW w:w="850" w:type="dxa"/>
          </w:tcPr>
          <w:p w14:paraId="3A2FA39B" w14:textId="77777777" w:rsidR="004907B0" w:rsidRPr="004907B0" w:rsidRDefault="004907B0" w:rsidP="00C530B0">
            <w:pPr>
              <w:autoSpaceDE w:val="0"/>
              <w:autoSpaceDN w:val="0"/>
              <w:adjustRightInd w:val="0"/>
              <w:jc w:val="right"/>
              <w:rPr>
                <w:sz w:val="20"/>
                <w:szCs w:val="20"/>
              </w:rPr>
            </w:pPr>
            <w:r w:rsidRPr="004907B0">
              <w:rPr>
                <w:sz w:val="20"/>
                <w:szCs w:val="20"/>
              </w:rPr>
              <w:t>0,7</w:t>
            </w:r>
          </w:p>
        </w:tc>
      </w:tr>
      <w:tr w:rsidR="004907B0" w:rsidRPr="004907B0" w14:paraId="48C3E559" w14:textId="77777777" w:rsidTr="00C530B0">
        <w:trPr>
          <w:trHeight w:val="290"/>
        </w:trPr>
        <w:tc>
          <w:tcPr>
            <w:tcW w:w="1337" w:type="dxa"/>
          </w:tcPr>
          <w:p w14:paraId="46490BFD" w14:textId="77777777" w:rsidR="004907B0" w:rsidRPr="004907B0" w:rsidRDefault="004907B0" w:rsidP="00C530B0">
            <w:pPr>
              <w:autoSpaceDE w:val="0"/>
              <w:autoSpaceDN w:val="0"/>
              <w:adjustRightInd w:val="0"/>
              <w:rPr>
                <w:b/>
                <w:bCs/>
                <w:sz w:val="20"/>
                <w:szCs w:val="20"/>
              </w:rPr>
            </w:pPr>
            <w:r w:rsidRPr="004907B0">
              <w:rPr>
                <w:b/>
                <w:bCs/>
                <w:sz w:val="20"/>
                <w:szCs w:val="20"/>
              </w:rPr>
              <w:t>242</w:t>
            </w:r>
          </w:p>
        </w:tc>
        <w:tc>
          <w:tcPr>
            <w:tcW w:w="7624" w:type="dxa"/>
          </w:tcPr>
          <w:p w14:paraId="7B5DD4CE" w14:textId="77777777" w:rsidR="004907B0" w:rsidRPr="004907B0" w:rsidRDefault="004907B0" w:rsidP="00C530B0">
            <w:pPr>
              <w:autoSpaceDE w:val="0"/>
              <w:autoSpaceDN w:val="0"/>
              <w:adjustRightInd w:val="0"/>
              <w:rPr>
                <w:b/>
                <w:bCs/>
                <w:sz w:val="20"/>
                <w:szCs w:val="20"/>
              </w:rPr>
            </w:pPr>
            <w:r w:rsidRPr="004907B0">
              <w:rPr>
                <w:b/>
                <w:bCs/>
                <w:sz w:val="20"/>
                <w:szCs w:val="20"/>
              </w:rPr>
              <w:t>Drugi gradbeni inženirski objekti</w:t>
            </w:r>
          </w:p>
        </w:tc>
        <w:tc>
          <w:tcPr>
            <w:tcW w:w="850" w:type="dxa"/>
          </w:tcPr>
          <w:p w14:paraId="59B9D241" w14:textId="77777777" w:rsidR="004907B0" w:rsidRPr="004907B0" w:rsidRDefault="004907B0" w:rsidP="00C530B0">
            <w:pPr>
              <w:autoSpaceDE w:val="0"/>
              <w:autoSpaceDN w:val="0"/>
              <w:adjustRightInd w:val="0"/>
              <w:jc w:val="right"/>
              <w:rPr>
                <w:rFonts w:ascii="Calibri" w:hAnsi="Calibri" w:cs="Calibri"/>
                <w:sz w:val="22"/>
                <w:szCs w:val="22"/>
              </w:rPr>
            </w:pPr>
          </w:p>
        </w:tc>
      </w:tr>
      <w:tr w:rsidR="004907B0" w:rsidRPr="004907B0" w14:paraId="7920C996" w14:textId="77777777" w:rsidTr="00C530B0">
        <w:trPr>
          <w:trHeight w:val="290"/>
        </w:trPr>
        <w:tc>
          <w:tcPr>
            <w:tcW w:w="1337" w:type="dxa"/>
          </w:tcPr>
          <w:p w14:paraId="1E426A17" w14:textId="77777777" w:rsidR="004907B0" w:rsidRPr="004907B0" w:rsidRDefault="004907B0" w:rsidP="00C530B0">
            <w:pPr>
              <w:autoSpaceDE w:val="0"/>
              <w:autoSpaceDN w:val="0"/>
              <w:adjustRightInd w:val="0"/>
              <w:rPr>
                <w:sz w:val="20"/>
                <w:szCs w:val="20"/>
              </w:rPr>
            </w:pPr>
            <w:r w:rsidRPr="004907B0">
              <w:rPr>
                <w:sz w:val="20"/>
                <w:szCs w:val="20"/>
              </w:rPr>
              <w:t>24201</w:t>
            </w:r>
          </w:p>
        </w:tc>
        <w:tc>
          <w:tcPr>
            <w:tcW w:w="7624" w:type="dxa"/>
          </w:tcPr>
          <w:p w14:paraId="74ECB743" w14:textId="77777777" w:rsidR="004907B0" w:rsidRPr="004907B0" w:rsidRDefault="004907B0" w:rsidP="00C530B0">
            <w:pPr>
              <w:autoSpaceDE w:val="0"/>
              <w:autoSpaceDN w:val="0"/>
              <w:adjustRightInd w:val="0"/>
              <w:rPr>
                <w:sz w:val="20"/>
                <w:szCs w:val="20"/>
              </w:rPr>
            </w:pPr>
            <w:r w:rsidRPr="004907B0">
              <w:rPr>
                <w:sz w:val="20"/>
                <w:szCs w:val="20"/>
              </w:rPr>
              <w:t>Vojaški objekti</w:t>
            </w:r>
          </w:p>
        </w:tc>
        <w:tc>
          <w:tcPr>
            <w:tcW w:w="850" w:type="dxa"/>
          </w:tcPr>
          <w:p w14:paraId="383F8D69" w14:textId="77777777" w:rsidR="004907B0" w:rsidRPr="004907B0" w:rsidRDefault="004907B0" w:rsidP="00C530B0">
            <w:pPr>
              <w:autoSpaceDE w:val="0"/>
              <w:autoSpaceDN w:val="0"/>
              <w:adjustRightInd w:val="0"/>
              <w:jc w:val="right"/>
              <w:rPr>
                <w:sz w:val="20"/>
                <w:szCs w:val="20"/>
              </w:rPr>
            </w:pPr>
            <w:r w:rsidRPr="004907B0">
              <w:rPr>
                <w:sz w:val="20"/>
                <w:szCs w:val="20"/>
              </w:rPr>
              <w:t>1</w:t>
            </w:r>
          </w:p>
        </w:tc>
      </w:tr>
      <w:tr w:rsidR="004907B0" w:rsidRPr="004907B0" w14:paraId="3437CF98" w14:textId="77777777" w:rsidTr="00C530B0">
        <w:trPr>
          <w:trHeight w:val="290"/>
        </w:trPr>
        <w:tc>
          <w:tcPr>
            <w:tcW w:w="1337" w:type="dxa"/>
          </w:tcPr>
          <w:p w14:paraId="79E27487" w14:textId="77777777" w:rsidR="004907B0" w:rsidRPr="004907B0" w:rsidRDefault="004907B0" w:rsidP="00C530B0">
            <w:pPr>
              <w:autoSpaceDE w:val="0"/>
              <w:autoSpaceDN w:val="0"/>
              <w:adjustRightInd w:val="0"/>
              <w:rPr>
                <w:sz w:val="20"/>
                <w:szCs w:val="20"/>
              </w:rPr>
            </w:pPr>
            <w:r w:rsidRPr="004907B0">
              <w:rPr>
                <w:sz w:val="20"/>
                <w:szCs w:val="20"/>
              </w:rPr>
              <w:t>24202</w:t>
            </w:r>
          </w:p>
        </w:tc>
        <w:tc>
          <w:tcPr>
            <w:tcW w:w="7624" w:type="dxa"/>
          </w:tcPr>
          <w:p w14:paraId="7F9D54C0" w14:textId="77777777" w:rsidR="004907B0" w:rsidRPr="004907B0" w:rsidRDefault="004907B0" w:rsidP="00C530B0">
            <w:pPr>
              <w:autoSpaceDE w:val="0"/>
              <w:autoSpaceDN w:val="0"/>
              <w:adjustRightInd w:val="0"/>
              <w:rPr>
                <w:sz w:val="20"/>
                <w:szCs w:val="20"/>
              </w:rPr>
            </w:pPr>
            <w:r w:rsidRPr="004907B0">
              <w:rPr>
                <w:sz w:val="20"/>
                <w:szCs w:val="20"/>
              </w:rPr>
              <w:t>Objekti za varstvo pred škodljivim delovanjem voda na ogroženih območjih</w:t>
            </w:r>
          </w:p>
        </w:tc>
        <w:tc>
          <w:tcPr>
            <w:tcW w:w="850" w:type="dxa"/>
          </w:tcPr>
          <w:p w14:paraId="51C957BD" w14:textId="77777777" w:rsidR="004907B0" w:rsidRPr="004907B0" w:rsidRDefault="004907B0" w:rsidP="00C530B0">
            <w:pPr>
              <w:autoSpaceDE w:val="0"/>
              <w:autoSpaceDN w:val="0"/>
              <w:adjustRightInd w:val="0"/>
              <w:jc w:val="right"/>
              <w:rPr>
                <w:b/>
                <w:bCs/>
                <w:sz w:val="20"/>
                <w:szCs w:val="20"/>
              </w:rPr>
            </w:pPr>
            <w:r w:rsidRPr="004907B0">
              <w:rPr>
                <w:b/>
                <w:bCs/>
                <w:sz w:val="20"/>
                <w:szCs w:val="20"/>
              </w:rPr>
              <w:t>/</w:t>
            </w:r>
          </w:p>
        </w:tc>
      </w:tr>
      <w:tr w:rsidR="004907B0" w:rsidRPr="004907B0" w14:paraId="2EFD8A0D" w14:textId="77777777" w:rsidTr="00C530B0">
        <w:trPr>
          <w:trHeight w:val="290"/>
        </w:trPr>
        <w:tc>
          <w:tcPr>
            <w:tcW w:w="1337" w:type="dxa"/>
          </w:tcPr>
          <w:p w14:paraId="5C23BD34" w14:textId="77777777" w:rsidR="004907B0" w:rsidRPr="004907B0" w:rsidRDefault="004907B0" w:rsidP="00C530B0">
            <w:pPr>
              <w:autoSpaceDE w:val="0"/>
              <w:autoSpaceDN w:val="0"/>
              <w:adjustRightInd w:val="0"/>
              <w:rPr>
                <w:sz w:val="20"/>
                <w:szCs w:val="20"/>
              </w:rPr>
            </w:pPr>
            <w:r w:rsidRPr="004907B0">
              <w:rPr>
                <w:sz w:val="20"/>
                <w:szCs w:val="20"/>
              </w:rPr>
              <w:t>24203</w:t>
            </w:r>
          </w:p>
        </w:tc>
        <w:tc>
          <w:tcPr>
            <w:tcW w:w="7624" w:type="dxa"/>
          </w:tcPr>
          <w:p w14:paraId="621E5C90" w14:textId="77777777" w:rsidR="004907B0" w:rsidRPr="004907B0" w:rsidRDefault="004907B0" w:rsidP="00C530B0">
            <w:pPr>
              <w:autoSpaceDE w:val="0"/>
              <w:autoSpaceDN w:val="0"/>
              <w:adjustRightInd w:val="0"/>
              <w:rPr>
                <w:sz w:val="20"/>
                <w:szCs w:val="20"/>
              </w:rPr>
            </w:pPr>
            <w:r w:rsidRPr="004907B0">
              <w:rPr>
                <w:sz w:val="20"/>
                <w:szCs w:val="20"/>
              </w:rPr>
              <w:t>Odlagališča odpadkov</w:t>
            </w:r>
          </w:p>
        </w:tc>
        <w:tc>
          <w:tcPr>
            <w:tcW w:w="850" w:type="dxa"/>
          </w:tcPr>
          <w:p w14:paraId="41D1F700" w14:textId="77777777" w:rsidR="004907B0" w:rsidRPr="004907B0" w:rsidRDefault="004907B0" w:rsidP="00C530B0">
            <w:pPr>
              <w:autoSpaceDE w:val="0"/>
              <w:autoSpaceDN w:val="0"/>
              <w:adjustRightInd w:val="0"/>
              <w:jc w:val="right"/>
              <w:rPr>
                <w:b/>
                <w:bCs/>
                <w:sz w:val="20"/>
                <w:szCs w:val="20"/>
              </w:rPr>
            </w:pPr>
            <w:r w:rsidRPr="004907B0">
              <w:rPr>
                <w:b/>
                <w:bCs/>
                <w:sz w:val="20"/>
                <w:szCs w:val="20"/>
              </w:rPr>
              <w:t>/</w:t>
            </w:r>
          </w:p>
        </w:tc>
      </w:tr>
      <w:tr w:rsidR="004907B0" w:rsidRPr="004907B0" w14:paraId="78242E16" w14:textId="77777777" w:rsidTr="00C530B0">
        <w:trPr>
          <w:trHeight w:val="290"/>
        </w:trPr>
        <w:tc>
          <w:tcPr>
            <w:tcW w:w="1337" w:type="dxa"/>
          </w:tcPr>
          <w:p w14:paraId="4FA5E066" w14:textId="77777777" w:rsidR="004907B0" w:rsidRPr="004907B0" w:rsidRDefault="004907B0" w:rsidP="00C530B0">
            <w:pPr>
              <w:autoSpaceDE w:val="0"/>
              <w:autoSpaceDN w:val="0"/>
              <w:adjustRightInd w:val="0"/>
              <w:rPr>
                <w:sz w:val="20"/>
                <w:szCs w:val="20"/>
              </w:rPr>
            </w:pPr>
            <w:r w:rsidRPr="004907B0">
              <w:rPr>
                <w:sz w:val="20"/>
                <w:szCs w:val="20"/>
              </w:rPr>
              <w:t>24204</w:t>
            </w:r>
          </w:p>
        </w:tc>
        <w:tc>
          <w:tcPr>
            <w:tcW w:w="7624" w:type="dxa"/>
          </w:tcPr>
          <w:p w14:paraId="299E946E" w14:textId="77777777" w:rsidR="004907B0" w:rsidRPr="004907B0" w:rsidRDefault="004907B0" w:rsidP="00C530B0">
            <w:pPr>
              <w:autoSpaceDE w:val="0"/>
              <w:autoSpaceDN w:val="0"/>
              <w:adjustRightInd w:val="0"/>
              <w:rPr>
                <w:sz w:val="20"/>
                <w:szCs w:val="20"/>
              </w:rPr>
            </w:pPr>
            <w:r w:rsidRPr="004907B0">
              <w:rPr>
                <w:sz w:val="20"/>
                <w:szCs w:val="20"/>
              </w:rPr>
              <w:t>Pokopališča</w:t>
            </w:r>
          </w:p>
        </w:tc>
        <w:tc>
          <w:tcPr>
            <w:tcW w:w="850" w:type="dxa"/>
          </w:tcPr>
          <w:p w14:paraId="43B0FE9A" w14:textId="77777777" w:rsidR="004907B0" w:rsidRPr="004907B0" w:rsidRDefault="004907B0" w:rsidP="00C530B0">
            <w:pPr>
              <w:autoSpaceDE w:val="0"/>
              <w:autoSpaceDN w:val="0"/>
              <w:adjustRightInd w:val="0"/>
              <w:jc w:val="right"/>
              <w:rPr>
                <w:b/>
                <w:bCs/>
                <w:sz w:val="20"/>
                <w:szCs w:val="20"/>
              </w:rPr>
            </w:pPr>
            <w:r w:rsidRPr="004907B0">
              <w:rPr>
                <w:b/>
                <w:bCs/>
                <w:sz w:val="20"/>
                <w:szCs w:val="20"/>
              </w:rPr>
              <w:t>/</w:t>
            </w:r>
          </w:p>
        </w:tc>
      </w:tr>
      <w:tr w:rsidR="004907B0" w:rsidRPr="004907B0" w14:paraId="61255888" w14:textId="77777777" w:rsidTr="00C530B0">
        <w:trPr>
          <w:trHeight w:val="290"/>
        </w:trPr>
        <w:tc>
          <w:tcPr>
            <w:tcW w:w="1337" w:type="dxa"/>
          </w:tcPr>
          <w:p w14:paraId="1F090186" w14:textId="77777777" w:rsidR="004907B0" w:rsidRPr="004907B0" w:rsidRDefault="004907B0" w:rsidP="00C530B0">
            <w:pPr>
              <w:autoSpaceDE w:val="0"/>
              <w:autoSpaceDN w:val="0"/>
              <w:adjustRightInd w:val="0"/>
              <w:rPr>
                <w:sz w:val="20"/>
                <w:szCs w:val="20"/>
              </w:rPr>
            </w:pPr>
            <w:r w:rsidRPr="004907B0">
              <w:rPr>
                <w:sz w:val="20"/>
                <w:szCs w:val="20"/>
              </w:rPr>
              <w:t>24205</w:t>
            </w:r>
          </w:p>
        </w:tc>
        <w:tc>
          <w:tcPr>
            <w:tcW w:w="7624" w:type="dxa"/>
          </w:tcPr>
          <w:p w14:paraId="378C2B27" w14:textId="77777777" w:rsidR="004907B0" w:rsidRPr="004907B0" w:rsidRDefault="004907B0" w:rsidP="00C530B0">
            <w:pPr>
              <w:autoSpaceDE w:val="0"/>
              <w:autoSpaceDN w:val="0"/>
              <w:adjustRightInd w:val="0"/>
              <w:rPr>
                <w:sz w:val="20"/>
                <w:szCs w:val="20"/>
              </w:rPr>
            </w:pPr>
            <w:r w:rsidRPr="004907B0">
              <w:rPr>
                <w:sz w:val="20"/>
                <w:szCs w:val="20"/>
              </w:rPr>
              <w:t>Drugi gradbeni inženirski objekti, ki niso uvrščeni drugje (parkirišča, odprta skladišča, ipd)</w:t>
            </w:r>
          </w:p>
        </w:tc>
        <w:tc>
          <w:tcPr>
            <w:tcW w:w="850" w:type="dxa"/>
          </w:tcPr>
          <w:p w14:paraId="176036DC" w14:textId="77777777" w:rsidR="004907B0" w:rsidRPr="004907B0" w:rsidRDefault="004907B0" w:rsidP="00C530B0">
            <w:pPr>
              <w:autoSpaceDE w:val="0"/>
              <w:autoSpaceDN w:val="0"/>
              <w:adjustRightInd w:val="0"/>
              <w:jc w:val="right"/>
              <w:rPr>
                <w:sz w:val="20"/>
                <w:szCs w:val="20"/>
              </w:rPr>
            </w:pPr>
            <w:r w:rsidRPr="004907B0">
              <w:rPr>
                <w:sz w:val="20"/>
                <w:szCs w:val="20"/>
              </w:rPr>
              <w:t>0,7</w:t>
            </w:r>
          </w:p>
        </w:tc>
      </w:tr>
    </w:tbl>
    <w:p w14:paraId="70C2459A" w14:textId="77777777" w:rsidR="004907B0" w:rsidRPr="004907B0" w:rsidRDefault="004907B0" w:rsidP="004907B0"/>
    <w:p w14:paraId="67F509DF" w14:textId="77777777" w:rsidR="00D81292" w:rsidRPr="004907B0" w:rsidRDefault="00D81292" w:rsidP="004907B0"/>
    <w:sectPr w:rsidR="00D81292" w:rsidRPr="004907B0" w:rsidSect="00F74492">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4DFCEA" w14:textId="77777777" w:rsidR="00D96FEB" w:rsidRDefault="00D96FEB" w:rsidP="00F22781">
      <w:r>
        <w:separator/>
      </w:r>
    </w:p>
  </w:endnote>
  <w:endnote w:type="continuationSeparator" w:id="0">
    <w:p w14:paraId="06DD3167" w14:textId="77777777" w:rsidR="00D96FEB" w:rsidRDefault="00D96FEB" w:rsidP="00F22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itstream Vera Sans">
    <w:altName w:val="Arial"/>
    <w:charset w:val="00"/>
    <w:family w:val="swiss"/>
    <w:pitch w:val="variable"/>
    <w:sig w:usb0="00000003" w:usb1="1000204A"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4A35C" w14:textId="77777777" w:rsidR="00C71F68" w:rsidRDefault="00C71F68" w:rsidP="00281D59">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1B7BB972" w14:textId="77777777" w:rsidR="00C71F68" w:rsidRDefault="00C71F68" w:rsidP="00281D59">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A365E" w14:textId="77777777" w:rsidR="00C71F68" w:rsidRDefault="00C71F68" w:rsidP="00281D59">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275F4B">
      <w:rPr>
        <w:rStyle w:val="tevilkastrani"/>
        <w:noProof/>
      </w:rPr>
      <w:t>9</w:t>
    </w:r>
    <w:r>
      <w:rPr>
        <w:rStyle w:val="tevilkastrani"/>
      </w:rPr>
      <w:fldChar w:fldCharType="end"/>
    </w:r>
  </w:p>
  <w:p w14:paraId="06C49E2D" w14:textId="77777777" w:rsidR="00C71F68" w:rsidRDefault="00C71F68" w:rsidP="00281D59">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789A2B" w14:textId="77777777" w:rsidR="00D96FEB" w:rsidRDefault="00D96FEB" w:rsidP="00F22781">
      <w:r>
        <w:separator/>
      </w:r>
    </w:p>
  </w:footnote>
  <w:footnote w:type="continuationSeparator" w:id="0">
    <w:p w14:paraId="354F1666" w14:textId="77777777" w:rsidR="00D96FEB" w:rsidRDefault="00D96FEB" w:rsidP="00F22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20"/>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6"/>
    <w:multiLevelType w:val="singleLevel"/>
    <w:tmpl w:val="00000006"/>
    <w:name w:val="WW8Num19"/>
    <w:lvl w:ilvl="0">
      <w:start w:val="1"/>
      <w:numFmt w:val="bullet"/>
      <w:lvlText w:val="-"/>
      <w:lvlJc w:val="left"/>
      <w:pPr>
        <w:tabs>
          <w:tab w:val="num" w:pos="454"/>
        </w:tabs>
        <w:ind w:left="454" w:hanging="454"/>
      </w:pPr>
      <w:rPr>
        <w:rFonts w:ascii="Verdana" w:hAnsi="Verdana"/>
      </w:rPr>
    </w:lvl>
  </w:abstractNum>
  <w:abstractNum w:abstractNumId="2" w15:restartNumberingAfterBreak="0">
    <w:nsid w:val="126C670B"/>
    <w:multiLevelType w:val="hybridMultilevel"/>
    <w:tmpl w:val="11AEBA3E"/>
    <w:lvl w:ilvl="0" w:tplc="92B465F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32C30CB"/>
    <w:multiLevelType w:val="hybridMultilevel"/>
    <w:tmpl w:val="2B8CE318"/>
    <w:lvl w:ilvl="0" w:tplc="6B840690">
      <w:start w:val="5"/>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4855B95"/>
    <w:multiLevelType w:val="hybridMultilevel"/>
    <w:tmpl w:val="0158FF10"/>
    <w:lvl w:ilvl="0" w:tplc="F9D03156">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CB2008C"/>
    <w:multiLevelType w:val="hybridMultilevel"/>
    <w:tmpl w:val="B3D0B362"/>
    <w:lvl w:ilvl="0" w:tplc="327C0D0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4EC334F"/>
    <w:multiLevelType w:val="hybridMultilevel"/>
    <w:tmpl w:val="43C2BC14"/>
    <w:lvl w:ilvl="0" w:tplc="E5F8E6FA">
      <w:numFmt w:val="bullet"/>
      <w:lvlText w:val="-"/>
      <w:lvlJc w:val="left"/>
      <w:pPr>
        <w:tabs>
          <w:tab w:val="num" w:pos="420"/>
        </w:tabs>
        <w:ind w:left="420" w:hanging="360"/>
      </w:pPr>
      <w:rPr>
        <w:rFonts w:ascii="Times New Roman" w:eastAsia="Bitstream Vera Sans"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EA6393"/>
    <w:multiLevelType w:val="hybridMultilevel"/>
    <w:tmpl w:val="83446DB0"/>
    <w:lvl w:ilvl="0" w:tplc="90129DAA">
      <w:start w:val="1"/>
      <w:numFmt w:val="bullet"/>
      <w:lvlText w:val=""/>
      <w:lvlJc w:val="left"/>
      <w:pPr>
        <w:tabs>
          <w:tab w:val="num" w:pos="360"/>
        </w:tabs>
        <w:ind w:left="360" w:hanging="360"/>
      </w:pPr>
      <w:rPr>
        <w:rFonts w:ascii="Symbol" w:hAnsi="Symbol" w:hint="default"/>
        <w:sz w:val="16"/>
        <w:szCs w:val="16"/>
      </w:rPr>
    </w:lvl>
    <w:lvl w:ilvl="1" w:tplc="04240003" w:tentative="1">
      <w:start w:val="1"/>
      <w:numFmt w:val="bullet"/>
      <w:lvlText w:val="o"/>
      <w:lvlJc w:val="left"/>
      <w:pPr>
        <w:tabs>
          <w:tab w:val="num" w:pos="372"/>
        </w:tabs>
        <w:ind w:left="372" w:hanging="360"/>
      </w:pPr>
      <w:rPr>
        <w:rFonts w:ascii="Courier New" w:hAnsi="Courier New" w:cs="Courier New" w:hint="default"/>
      </w:rPr>
    </w:lvl>
    <w:lvl w:ilvl="2" w:tplc="04240005" w:tentative="1">
      <w:start w:val="1"/>
      <w:numFmt w:val="bullet"/>
      <w:lvlText w:val=""/>
      <w:lvlJc w:val="left"/>
      <w:pPr>
        <w:tabs>
          <w:tab w:val="num" w:pos="1092"/>
        </w:tabs>
        <w:ind w:left="1092" w:hanging="360"/>
      </w:pPr>
      <w:rPr>
        <w:rFonts w:ascii="Wingdings" w:hAnsi="Wingdings" w:hint="default"/>
      </w:rPr>
    </w:lvl>
    <w:lvl w:ilvl="3" w:tplc="04240001" w:tentative="1">
      <w:start w:val="1"/>
      <w:numFmt w:val="bullet"/>
      <w:lvlText w:val=""/>
      <w:lvlJc w:val="left"/>
      <w:pPr>
        <w:tabs>
          <w:tab w:val="num" w:pos="1812"/>
        </w:tabs>
        <w:ind w:left="1812" w:hanging="360"/>
      </w:pPr>
      <w:rPr>
        <w:rFonts w:ascii="Symbol" w:hAnsi="Symbol" w:hint="default"/>
      </w:rPr>
    </w:lvl>
    <w:lvl w:ilvl="4" w:tplc="04240003" w:tentative="1">
      <w:start w:val="1"/>
      <w:numFmt w:val="bullet"/>
      <w:lvlText w:val="o"/>
      <w:lvlJc w:val="left"/>
      <w:pPr>
        <w:tabs>
          <w:tab w:val="num" w:pos="2532"/>
        </w:tabs>
        <w:ind w:left="2532" w:hanging="360"/>
      </w:pPr>
      <w:rPr>
        <w:rFonts w:ascii="Courier New" w:hAnsi="Courier New" w:cs="Courier New" w:hint="default"/>
      </w:rPr>
    </w:lvl>
    <w:lvl w:ilvl="5" w:tplc="04240005" w:tentative="1">
      <w:start w:val="1"/>
      <w:numFmt w:val="bullet"/>
      <w:lvlText w:val=""/>
      <w:lvlJc w:val="left"/>
      <w:pPr>
        <w:tabs>
          <w:tab w:val="num" w:pos="3252"/>
        </w:tabs>
        <w:ind w:left="3252" w:hanging="360"/>
      </w:pPr>
      <w:rPr>
        <w:rFonts w:ascii="Wingdings" w:hAnsi="Wingdings" w:hint="default"/>
      </w:rPr>
    </w:lvl>
    <w:lvl w:ilvl="6" w:tplc="04240001" w:tentative="1">
      <w:start w:val="1"/>
      <w:numFmt w:val="bullet"/>
      <w:lvlText w:val=""/>
      <w:lvlJc w:val="left"/>
      <w:pPr>
        <w:tabs>
          <w:tab w:val="num" w:pos="3972"/>
        </w:tabs>
        <w:ind w:left="3972" w:hanging="360"/>
      </w:pPr>
      <w:rPr>
        <w:rFonts w:ascii="Symbol" w:hAnsi="Symbol" w:hint="default"/>
      </w:rPr>
    </w:lvl>
    <w:lvl w:ilvl="7" w:tplc="04240003" w:tentative="1">
      <w:start w:val="1"/>
      <w:numFmt w:val="bullet"/>
      <w:lvlText w:val="o"/>
      <w:lvlJc w:val="left"/>
      <w:pPr>
        <w:tabs>
          <w:tab w:val="num" w:pos="4692"/>
        </w:tabs>
        <w:ind w:left="4692" w:hanging="360"/>
      </w:pPr>
      <w:rPr>
        <w:rFonts w:ascii="Courier New" w:hAnsi="Courier New" w:cs="Courier New" w:hint="default"/>
      </w:rPr>
    </w:lvl>
    <w:lvl w:ilvl="8" w:tplc="04240005" w:tentative="1">
      <w:start w:val="1"/>
      <w:numFmt w:val="bullet"/>
      <w:lvlText w:val=""/>
      <w:lvlJc w:val="left"/>
      <w:pPr>
        <w:tabs>
          <w:tab w:val="num" w:pos="5412"/>
        </w:tabs>
        <w:ind w:left="5412" w:hanging="360"/>
      </w:pPr>
      <w:rPr>
        <w:rFonts w:ascii="Wingdings" w:hAnsi="Wingdings" w:hint="default"/>
      </w:rPr>
    </w:lvl>
  </w:abstractNum>
  <w:abstractNum w:abstractNumId="8" w15:restartNumberingAfterBreak="0">
    <w:nsid w:val="2C5A3658"/>
    <w:multiLevelType w:val="hybridMultilevel"/>
    <w:tmpl w:val="05A03F82"/>
    <w:lvl w:ilvl="0" w:tplc="F9D03156">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34711166"/>
    <w:multiLevelType w:val="hybridMultilevel"/>
    <w:tmpl w:val="5E96393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357F7D9C"/>
    <w:multiLevelType w:val="hybridMultilevel"/>
    <w:tmpl w:val="29D08CCE"/>
    <w:lvl w:ilvl="0" w:tplc="F9D03156">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38571AE0"/>
    <w:multiLevelType w:val="hybridMultilevel"/>
    <w:tmpl w:val="6758FFA4"/>
    <w:lvl w:ilvl="0" w:tplc="F9D03156">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3EB2002B"/>
    <w:multiLevelType w:val="hybridMultilevel"/>
    <w:tmpl w:val="55F05E64"/>
    <w:lvl w:ilvl="0" w:tplc="9C9205C8">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ED6580A"/>
    <w:multiLevelType w:val="hybridMultilevel"/>
    <w:tmpl w:val="5B8808A0"/>
    <w:lvl w:ilvl="0" w:tplc="F9D03156">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412D19FA"/>
    <w:multiLevelType w:val="hybridMultilevel"/>
    <w:tmpl w:val="82427F82"/>
    <w:lvl w:ilvl="0" w:tplc="0424000F">
      <w:start w:val="1"/>
      <w:numFmt w:val="decimal"/>
      <w:lvlText w:val="%1."/>
      <w:lvlJc w:val="left"/>
      <w:pPr>
        <w:ind w:left="1068" w:hanging="360"/>
      </w:p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5" w15:restartNumberingAfterBreak="0">
    <w:nsid w:val="416929DD"/>
    <w:multiLevelType w:val="hybridMultilevel"/>
    <w:tmpl w:val="AD16A32E"/>
    <w:lvl w:ilvl="0" w:tplc="F9D03156">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442213C7"/>
    <w:multiLevelType w:val="hybridMultilevel"/>
    <w:tmpl w:val="1FB857B6"/>
    <w:lvl w:ilvl="0" w:tplc="6582A74C">
      <w:start w:val="1"/>
      <w:numFmt w:val="decimal"/>
      <w:lvlText w:val="(%1)"/>
      <w:lvlJc w:val="left"/>
      <w:pPr>
        <w:ind w:left="420" w:hanging="420"/>
      </w:pPr>
      <w:rPr>
        <w:rFonts w:hint="default"/>
        <w:strike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494D5636"/>
    <w:multiLevelType w:val="hybridMultilevel"/>
    <w:tmpl w:val="0AEA0C84"/>
    <w:lvl w:ilvl="0" w:tplc="25FC771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04E7B00"/>
    <w:multiLevelType w:val="hybridMultilevel"/>
    <w:tmpl w:val="EB501258"/>
    <w:lvl w:ilvl="0" w:tplc="5AC24A8E">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BF33C41"/>
    <w:multiLevelType w:val="hybridMultilevel"/>
    <w:tmpl w:val="8D8E1134"/>
    <w:lvl w:ilvl="0" w:tplc="F9D031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E0F288C"/>
    <w:multiLevelType w:val="hybridMultilevel"/>
    <w:tmpl w:val="9F642880"/>
    <w:lvl w:ilvl="0" w:tplc="5AC24A8E">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D02D9B"/>
    <w:multiLevelType w:val="hybridMultilevel"/>
    <w:tmpl w:val="9494633E"/>
    <w:lvl w:ilvl="0" w:tplc="F9D03156">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0">
    <w:nsid w:val="69B934EE"/>
    <w:multiLevelType w:val="hybridMultilevel"/>
    <w:tmpl w:val="98C8CF66"/>
    <w:lvl w:ilvl="0" w:tplc="F9D03156">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 w15:restartNumberingAfterBreak="0">
    <w:nsid w:val="6D007942"/>
    <w:multiLevelType w:val="hybridMultilevel"/>
    <w:tmpl w:val="58148CFE"/>
    <w:lvl w:ilvl="0" w:tplc="F9D03156">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15:restartNumberingAfterBreak="0">
    <w:nsid w:val="6E6A29D7"/>
    <w:multiLevelType w:val="hybridMultilevel"/>
    <w:tmpl w:val="1E76F6AE"/>
    <w:lvl w:ilvl="0" w:tplc="C616CEDA">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FF13615"/>
    <w:multiLevelType w:val="hybridMultilevel"/>
    <w:tmpl w:val="219489DA"/>
    <w:lvl w:ilvl="0" w:tplc="E5F8E6FA">
      <w:numFmt w:val="bullet"/>
      <w:lvlText w:val="-"/>
      <w:lvlJc w:val="left"/>
      <w:pPr>
        <w:tabs>
          <w:tab w:val="num" w:pos="360"/>
        </w:tabs>
        <w:ind w:left="360" w:hanging="360"/>
      </w:pPr>
      <w:rPr>
        <w:rFonts w:ascii="Times New Roman" w:eastAsia="Bitstream Vera Sans" w:hAnsi="Times New Roman" w:cs="Times New Roman" w:hint="default"/>
        <w:sz w:val="16"/>
        <w:szCs w:val="16"/>
      </w:rPr>
    </w:lvl>
    <w:lvl w:ilvl="1" w:tplc="04240003" w:tentative="1">
      <w:start w:val="1"/>
      <w:numFmt w:val="bullet"/>
      <w:lvlText w:val="o"/>
      <w:lvlJc w:val="left"/>
      <w:pPr>
        <w:tabs>
          <w:tab w:val="num" w:pos="372"/>
        </w:tabs>
        <w:ind w:left="372" w:hanging="360"/>
      </w:pPr>
      <w:rPr>
        <w:rFonts w:ascii="Courier New" w:hAnsi="Courier New" w:cs="Courier New" w:hint="default"/>
      </w:rPr>
    </w:lvl>
    <w:lvl w:ilvl="2" w:tplc="04240005" w:tentative="1">
      <w:start w:val="1"/>
      <w:numFmt w:val="bullet"/>
      <w:lvlText w:val=""/>
      <w:lvlJc w:val="left"/>
      <w:pPr>
        <w:tabs>
          <w:tab w:val="num" w:pos="1092"/>
        </w:tabs>
        <w:ind w:left="1092" w:hanging="360"/>
      </w:pPr>
      <w:rPr>
        <w:rFonts w:ascii="Wingdings" w:hAnsi="Wingdings" w:hint="default"/>
      </w:rPr>
    </w:lvl>
    <w:lvl w:ilvl="3" w:tplc="04240001" w:tentative="1">
      <w:start w:val="1"/>
      <w:numFmt w:val="bullet"/>
      <w:lvlText w:val=""/>
      <w:lvlJc w:val="left"/>
      <w:pPr>
        <w:tabs>
          <w:tab w:val="num" w:pos="1812"/>
        </w:tabs>
        <w:ind w:left="1812" w:hanging="360"/>
      </w:pPr>
      <w:rPr>
        <w:rFonts w:ascii="Symbol" w:hAnsi="Symbol" w:hint="default"/>
      </w:rPr>
    </w:lvl>
    <w:lvl w:ilvl="4" w:tplc="04240003" w:tentative="1">
      <w:start w:val="1"/>
      <w:numFmt w:val="bullet"/>
      <w:lvlText w:val="o"/>
      <w:lvlJc w:val="left"/>
      <w:pPr>
        <w:tabs>
          <w:tab w:val="num" w:pos="2532"/>
        </w:tabs>
        <w:ind w:left="2532" w:hanging="360"/>
      </w:pPr>
      <w:rPr>
        <w:rFonts w:ascii="Courier New" w:hAnsi="Courier New" w:cs="Courier New" w:hint="default"/>
      </w:rPr>
    </w:lvl>
    <w:lvl w:ilvl="5" w:tplc="04240005" w:tentative="1">
      <w:start w:val="1"/>
      <w:numFmt w:val="bullet"/>
      <w:lvlText w:val=""/>
      <w:lvlJc w:val="left"/>
      <w:pPr>
        <w:tabs>
          <w:tab w:val="num" w:pos="3252"/>
        </w:tabs>
        <w:ind w:left="3252" w:hanging="360"/>
      </w:pPr>
      <w:rPr>
        <w:rFonts w:ascii="Wingdings" w:hAnsi="Wingdings" w:hint="default"/>
      </w:rPr>
    </w:lvl>
    <w:lvl w:ilvl="6" w:tplc="04240001" w:tentative="1">
      <w:start w:val="1"/>
      <w:numFmt w:val="bullet"/>
      <w:lvlText w:val=""/>
      <w:lvlJc w:val="left"/>
      <w:pPr>
        <w:tabs>
          <w:tab w:val="num" w:pos="3972"/>
        </w:tabs>
        <w:ind w:left="3972" w:hanging="360"/>
      </w:pPr>
      <w:rPr>
        <w:rFonts w:ascii="Symbol" w:hAnsi="Symbol" w:hint="default"/>
      </w:rPr>
    </w:lvl>
    <w:lvl w:ilvl="7" w:tplc="04240003" w:tentative="1">
      <w:start w:val="1"/>
      <w:numFmt w:val="bullet"/>
      <w:lvlText w:val="o"/>
      <w:lvlJc w:val="left"/>
      <w:pPr>
        <w:tabs>
          <w:tab w:val="num" w:pos="4692"/>
        </w:tabs>
        <w:ind w:left="4692" w:hanging="360"/>
      </w:pPr>
      <w:rPr>
        <w:rFonts w:ascii="Courier New" w:hAnsi="Courier New" w:cs="Courier New" w:hint="default"/>
      </w:rPr>
    </w:lvl>
    <w:lvl w:ilvl="8" w:tplc="04240005" w:tentative="1">
      <w:start w:val="1"/>
      <w:numFmt w:val="bullet"/>
      <w:lvlText w:val=""/>
      <w:lvlJc w:val="left"/>
      <w:pPr>
        <w:tabs>
          <w:tab w:val="num" w:pos="5412"/>
        </w:tabs>
        <w:ind w:left="5412" w:hanging="360"/>
      </w:pPr>
      <w:rPr>
        <w:rFonts w:ascii="Wingdings" w:hAnsi="Wingdings" w:hint="default"/>
      </w:rPr>
    </w:lvl>
  </w:abstractNum>
  <w:abstractNum w:abstractNumId="26" w15:restartNumberingAfterBreak="0">
    <w:nsid w:val="76BC65CF"/>
    <w:multiLevelType w:val="multilevel"/>
    <w:tmpl w:val="83446DB0"/>
    <w:lvl w:ilvl="0">
      <w:start w:val="1"/>
      <w:numFmt w:val="bullet"/>
      <w:lvlText w:val=""/>
      <w:lvlJc w:val="left"/>
      <w:pPr>
        <w:tabs>
          <w:tab w:val="num" w:pos="360"/>
        </w:tabs>
        <w:ind w:left="360" w:hanging="360"/>
      </w:pPr>
      <w:rPr>
        <w:rFonts w:ascii="Symbol" w:hAnsi="Symbol" w:hint="default"/>
        <w:sz w:val="16"/>
        <w:szCs w:val="16"/>
      </w:rPr>
    </w:lvl>
    <w:lvl w:ilvl="1">
      <w:start w:val="1"/>
      <w:numFmt w:val="bullet"/>
      <w:lvlText w:val="o"/>
      <w:lvlJc w:val="left"/>
      <w:pPr>
        <w:tabs>
          <w:tab w:val="num" w:pos="372"/>
        </w:tabs>
        <w:ind w:left="372" w:hanging="360"/>
      </w:pPr>
      <w:rPr>
        <w:rFonts w:ascii="Courier New" w:hAnsi="Courier New" w:cs="Courier New" w:hint="default"/>
      </w:rPr>
    </w:lvl>
    <w:lvl w:ilvl="2">
      <w:start w:val="1"/>
      <w:numFmt w:val="bullet"/>
      <w:lvlText w:val=""/>
      <w:lvlJc w:val="left"/>
      <w:pPr>
        <w:tabs>
          <w:tab w:val="num" w:pos="1092"/>
        </w:tabs>
        <w:ind w:left="1092" w:hanging="360"/>
      </w:pPr>
      <w:rPr>
        <w:rFonts w:ascii="Wingdings" w:hAnsi="Wingdings" w:hint="default"/>
      </w:rPr>
    </w:lvl>
    <w:lvl w:ilvl="3">
      <w:start w:val="1"/>
      <w:numFmt w:val="bullet"/>
      <w:lvlText w:val=""/>
      <w:lvlJc w:val="left"/>
      <w:pPr>
        <w:tabs>
          <w:tab w:val="num" w:pos="1812"/>
        </w:tabs>
        <w:ind w:left="1812" w:hanging="360"/>
      </w:pPr>
      <w:rPr>
        <w:rFonts w:ascii="Symbol" w:hAnsi="Symbol" w:hint="default"/>
      </w:rPr>
    </w:lvl>
    <w:lvl w:ilvl="4">
      <w:start w:val="1"/>
      <w:numFmt w:val="bullet"/>
      <w:lvlText w:val="o"/>
      <w:lvlJc w:val="left"/>
      <w:pPr>
        <w:tabs>
          <w:tab w:val="num" w:pos="2532"/>
        </w:tabs>
        <w:ind w:left="2532" w:hanging="360"/>
      </w:pPr>
      <w:rPr>
        <w:rFonts w:ascii="Courier New" w:hAnsi="Courier New" w:cs="Courier New" w:hint="default"/>
      </w:rPr>
    </w:lvl>
    <w:lvl w:ilvl="5">
      <w:start w:val="1"/>
      <w:numFmt w:val="bullet"/>
      <w:lvlText w:val=""/>
      <w:lvlJc w:val="left"/>
      <w:pPr>
        <w:tabs>
          <w:tab w:val="num" w:pos="3252"/>
        </w:tabs>
        <w:ind w:left="3252" w:hanging="360"/>
      </w:pPr>
      <w:rPr>
        <w:rFonts w:ascii="Wingdings" w:hAnsi="Wingdings" w:hint="default"/>
      </w:rPr>
    </w:lvl>
    <w:lvl w:ilvl="6">
      <w:start w:val="1"/>
      <w:numFmt w:val="bullet"/>
      <w:lvlText w:val=""/>
      <w:lvlJc w:val="left"/>
      <w:pPr>
        <w:tabs>
          <w:tab w:val="num" w:pos="3972"/>
        </w:tabs>
        <w:ind w:left="3972" w:hanging="360"/>
      </w:pPr>
      <w:rPr>
        <w:rFonts w:ascii="Symbol" w:hAnsi="Symbol" w:hint="default"/>
      </w:rPr>
    </w:lvl>
    <w:lvl w:ilvl="7">
      <w:start w:val="1"/>
      <w:numFmt w:val="bullet"/>
      <w:lvlText w:val="o"/>
      <w:lvlJc w:val="left"/>
      <w:pPr>
        <w:tabs>
          <w:tab w:val="num" w:pos="4692"/>
        </w:tabs>
        <w:ind w:left="4692" w:hanging="360"/>
      </w:pPr>
      <w:rPr>
        <w:rFonts w:ascii="Courier New" w:hAnsi="Courier New" w:cs="Courier New" w:hint="default"/>
      </w:rPr>
    </w:lvl>
    <w:lvl w:ilvl="8">
      <w:start w:val="1"/>
      <w:numFmt w:val="bullet"/>
      <w:lvlText w:val=""/>
      <w:lvlJc w:val="left"/>
      <w:pPr>
        <w:tabs>
          <w:tab w:val="num" w:pos="5412"/>
        </w:tabs>
        <w:ind w:left="5412" w:hanging="360"/>
      </w:pPr>
      <w:rPr>
        <w:rFonts w:ascii="Wingdings" w:hAnsi="Wingdings" w:hint="default"/>
      </w:rPr>
    </w:lvl>
  </w:abstractNum>
  <w:abstractNum w:abstractNumId="27" w15:restartNumberingAfterBreak="0">
    <w:nsid w:val="7D294F83"/>
    <w:multiLevelType w:val="hybridMultilevel"/>
    <w:tmpl w:val="1AD24870"/>
    <w:lvl w:ilvl="0" w:tplc="E5F8E6FA">
      <w:numFmt w:val="bullet"/>
      <w:lvlText w:val="-"/>
      <w:lvlJc w:val="left"/>
      <w:pPr>
        <w:tabs>
          <w:tab w:val="num" w:pos="420"/>
        </w:tabs>
        <w:ind w:left="420" w:hanging="360"/>
      </w:pPr>
      <w:rPr>
        <w:rFonts w:ascii="Times New Roman" w:eastAsia="Bitstream Vera Sans"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7"/>
  </w:num>
  <w:num w:numId="3">
    <w:abstractNumId w:val="26"/>
  </w:num>
  <w:num w:numId="4">
    <w:abstractNumId w:val="25"/>
  </w:num>
  <w:num w:numId="5">
    <w:abstractNumId w:val="27"/>
  </w:num>
  <w:num w:numId="6">
    <w:abstractNumId w:val="6"/>
  </w:num>
  <w:num w:numId="7">
    <w:abstractNumId w:val="5"/>
  </w:num>
  <w:num w:numId="8">
    <w:abstractNumId w:val="0"/>
  </w:num>
  <w:num w:numId="9">
    <w:abstractNumId w:val="1"/>
  </w:num>
  <w:num w:numId="10">
    <w:abstractNumId w:val="3"/>
  </w:num>
  <w:num w:numId="11">
    <w:abstractNumId w:val="12"/>
  </w:num>
  <w:num w:numId="12">
    <w:abstractNumId w:val="23"/>
  </w:num>
  <w:num w:numId="13">
    <w:abstractNumId w:val="9"/>
  </w:num>
  <w:num w:numId="14">
    <w:abstractNumId w:val="11"/>
  </w:num>
  <w:num w:numId="15">
    <w:abstractNumId w:val="21"/>
  </w:num>
  <w:num w:numId="16">
    <w:abstractNumId w:val="14"/>
  </w:num>
  <w:num w:numId="17">
    <w:abstractNumId w:val="4"/>
  </w:num>
  <w:num w:numId="18">
    <w:abstractNumId w:val="10"/>
  </w:num>
  <w:num w:numId="19">
    <w:abstractNumId w:val="18"/>
  </w:num>
  <w:num w:numId="20">
    <w:abstractNumId w:val="16"/>
  </w:num>
  <w:num w:numId="21">
    <w:abstractNumId w:val="13"/>
  </w:num>
  <w:num w:numId="22">
    <w:abstractNumId w:val="22"/>
  </w:num>
  <w:num w:numId="23">
    <w:abstractNumId w:val="15"/>
  </w:num>
  <w:num w:numId="24">
    <w:abstractNumId w:val="8"/>
  </w:num>
  <w:num w:numId="25">
    <w:abstractNumId w:val="19"/>
  </w:num>
  <w:num w:numId="26">
    <w:abstractNumId w:val="2"/>
  </w:num>
  <w:num w:numId="27">
    <w:abstractNumId w:val="24"/>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106"/>
    <w:rsid w:val="00010A0D"/>
    <w:rsid w:val="0001364E"/>
    <w:rsid w:val="00017A33"/>
    <w:rsid w:val="00024055"/>
    <w:rsid w:val="00024591"/>
    <w:rsid w:val="00026508"/>
    <w:rsid w:val="00027BDF"/>
    <w:rsid w:val="00032004"/>
    <w:rsid w:val="00034593"/>
    <w:rsid w:val="00034C61"/>
    <w:rsid w:val="000476D0"/>
    <w:rsid w:val="00050080"/>
    <w:rsid w:val="00051741"/>
    <w:rsid w:val="00054B89"/>
    <w:rsid w:val="0006509A"/>
    <w:rsid w:val="0007159D"/>
    <w:rsid w:val="00072CD5"/>
    <w:rsid w:val="0007787C"/>
    <w:rsid w:val="00077CB1"/>
    <w:rsid w:val="000845CF"/>
    <w:rsid w:val="000915A5"/>
    <w:rsid w:val="00094A69"/>
    <w:rsid w:val="00097668"/>
    <w:rsid w:val="000A22BF"/>
    <w:rsid w:val="000A3426"/>
    <w:rsid w:val="000A3498"/>
    <w:rsid w:val="000A423F"/>
    <w:rsid w:val="000A682A"/>
    <w:rsid w:val="000B5B0F"/>
    <w:rsid w:val="000C3FEA"/>
    <w:rsid w:val="000C47D3"/>
    <w:rsid w:val="000D0351"/>
    <w:rsid w:val="000D0E00"/>
    <w:rsid w:val="000D3017"/>
    <w:rsid w:val="000D41B8"/>
    <w:rsid w:val="000D57AC"/>
    <w:rsid w:val="000E25C9"/>
    <w:rsid w:val="000E3350"/>
    <w:rsid w:val="000E73D3"/>
    <w:rsid w:val="000F0ABE"/>
    <w:rsid w:val="000F2D25"/>
    <w:rsid w:val="000F789E"/>
    <w:rsid w:val="00106D7D"/>
    <w:rsid w:val="00110C78"/>
    <w:rsid w:val="00112E1D"/>
    <w:rsid w:val="00116D05"/>
    <w:rsid w:val="00117521"/>
    <w:rsid w:val="00117C84"/>
    <w:rsid w:val="00120E21"/>
    <w:rsid w:val="0012349D"/>
    <w:rsid w:val="00124895"/>
    <w:rsid w:val="00127EB0"/>
    <w:rsid w:val="001305C7"/>
    <w:rsid w:val="00135278"/>
    <w:rsid w:val="00140BBC"/>
    <w:rsid w:val="00150CE7"/>
    <w:rsid w:val="00150D9B"/>
    <w:rsid w:val="00154003"/>
    <w:rsid w:val="00154968"/>
    <w:rsid w:val="0015597E"/>
    <w:rsid w:val="001564D4"/>
    <w:rsid w:val="00156934"/>
    <w:rsid w:val="00157B84"/>
    <w:rsid w:val="001620BD"/>
    <w:rsid w:val="00163143"/>
    <w:rsid w:val="001674E2"/>
    <w:rsid w:val="0016784A"/>
    <w:rsid w:val="0017335E"/>
    <w:rsid w:val="00180682"/>
    <w:rsid w:val="00183392"/>
    <w:rsid w:val="001850FB"/>
    <w:rsid w:val="00190402"/>
    <w:rsid w:val="00193C58"/>
    <w:rsid w:val="00197710"/>
    <w:rsid w:val="001A2AAD"/>
    <w:rsid w:val="001A5F8D"/>
    <w:rsid w:val="001B2793"/>
    <w:rsid w:val="001B36BE"/>
    <w:rsid w:val="001B4130"/>
    <w:rsid w:val="001B4CF6"/>
    <w:rsid w:val="001B5D52"/>
    <w:rsid w:val="001C0977"/>
    <w:rsid w:val="001D1343"/>
    <w:rsid w:val="001D3B78"/>
    <w:rsid w:val="001D4C9D"/>
    <w:rsid w:val="001D547B"/>
    <w:rsid w:val="001D6509"/>
    <w:rsid w:val="001E1BA9"/>
    <w:rsid w:val="001E42EA"/>
    <w:rsid w:val="001E47CF"/>
    <w:rsid w:val="001E527E"/>
    <w:rsid w:val="001E54A4"/>
    <w:rsid w:val="001E69BC"/>
    <w:rsid w:val="001E7102"/>
    <w:rsid w:val="001F0EA2"/>
    <w:rsid w:val="001F38FE"/>
    <w:rsid w:val="001F3D37"/>
    <w:rsid w:val="001F4BB7"/>
    <w:rsid w:val="00200365"/>
    <w:rsid w:val="00200533"/>
    <w:rsid w:val="00200987"/>
    <w:rsid w:val="0020516F"/>
    <w:rsid w:val="00214B20"/>
    <w:rsid w:val="00214C09"/>
    <w:rsid w:val="00217BBF"/>
    <w:rsid w:val="002254DF"/>
    <w:rsid w:val="002310EF"/>
    <w:rsid w:val="002369BE"/>
    <w:rsid w:val="0024157E"/>
    <w:rsid w:val="002416F5"/>
    <w:rsid w:val="00244090"/>
    <w:rsid w:val="002451E3"/>
    <w:rsid w:val="0024783E"/>
    <w:rsid w:val="00255BF7"/>
    <w:rsid w:val="00261635"/>
    <w:rsid w:val="00266B44"/>
    <w:rsid w:val="0026759C"/>
    <w:rsid w:val="00275F4B"/>
    <w:rsid w:val="00276E75"/>
    <w:rsid w:val="002805E0"/>
    <w:rsid w:val="00281D59"/>
    <w:rsid w:val="0028401D"/>
    <w:rsid w:val="00290BE4"/>
    <w:rsid w:val="00292A08"/>
    <w:rsid w:val="00295E10"/>
    <w:rsid w:val="00297014"/>
    <w:rsid w:val="002A0620"/>
    <w:rsid w:val="002A3C21"/>
    <w:rsid w:val="002A62D7"/>
    <w:rsid w:val="002B142B"/>
    <w:rsid w:val="002B2E98"/>
    <w:rsid w:val="002B6585"/>
    <w:rsid w:val="002B6F74"/>
    <w:rsid w:val="002C15A2"/>
    <w:rsid w:val="002C1810"/>
    <w:rsid w:val="002C1A00"/>
    <w:rsid w:val="002C2A31"/>
    <w:rsid w:val="002C3574"/>
    <w:rsid w:val="002C366B"/>
    <w:rsid w:val="002E30F6"/>
    <w:rsid w:val="002E4463"/>
    <w:rsid w:val="002E77F2"/>
    <w:rsid w:val="002F1203"/>
    <w:rsid w:val="002F2131"/>
    <w:rsid w:val="00302A19"/>
    <w:rsid w:val="00303918"/>
    <w:rsid w:val="00303A56"/>
    <w:rsid w:val="00310B8E"/>
    <w:rsid w:val="00314A09"/>
    <w:rsid w:val="0032195D"/>
    <w:rsid w:val="0032207F"/>
    <w:rsid w:val="00324A0C"/>
    <w:rsid w:val="00325F3B"/>
    <w:rsid w:val="003264FA"/>
    <w:rsid w:val="00331487"/>
    <w:rsid w:val="003315C2"/>
    <w:rsid w:val="00331AD8"/>
    <w:rsid w:val="00333B27"/>
    <w:rsid w:val="00333BB2"/>
    <w:rsid w:val="003347A1"/>
    <w:rsid w:val="00341A14"/>
    <w:rsid w:val="0034383D"/>
    <w:rsid w:val="003465C4"/>
    <w:rsid w:val="00357D50"/>
    <w:rsid w:val="003620B8"/>
    <w:rsid w:val="00370DFD"/>
    <w:rsid w:val="0037174F"/>
    <w:rsid w:val="00372BF6"/>
    <w:rsid w:val="00374830"/>
    <w:rsid w:val="0038247C"/>
    <w:rsid w:val="0038254F"/>
    <w:rsid w:val="00385459"/>
    <w:rsid w:val="0038686F"/>
    <w:rsid w:val="003871B3"/>
    <w:rsid w:val="00387485"/>
    <w:rsid w:val="003875E2"/>
    <w:rsid w:val="00392C00"/>
    <w:rsid w:val="00396CD7"/>
    <w:rsid w:val="00396DBB"/>
    <w:rsid w:val="003A378F"/>
    <w:rsid w:val="003A67AD"/>
    <w:rsid w:val="003B02AA"/>
    <w:rsid w:val="003B1B13"/>
    <w:rsid w:val="003C4307"/>
    <w:rsid w:val="003C4407"/>
    <w:rsid w:val="003C4C19"/>
    <w:rsid w:val="003C6B85"/>
    <w:rsid w:val="003D0735"/>
    <w:rsid w:val="003D42DD"/>
    <w:rsid w:val="003D6035"/>
    <w:rsid w:val="003D7C38"/>
    <w:rsid w:val="003E0A71"/>
    <w:rsid w:val="003F036F"/>
    <w:rsid w:val="003F243C"/>
    <w:rsid w:val="003F28E6"/>
    <w:rsid w:val="003F5975"/>
    <w:rsid w:val="003F62A8"/>
    <w:rsid w:val="00402707"/>
    <w:rsid w:val="00403EE9"/>
    <w:rsid w:val="004068D7"/>
    <w:rsid w:val="004075AF"/>
    <w:rsid w:val="00407DCD"/>
    <w:rsid w:val="0041090B"/>
    <w:rsid w:val="004111BE"/>
    <w:rsid w:val="00412F76"/>
    <w:rsid w:val="00420E37"/>
    <w:rsid w:val="004222EA"/>
    <w:rsid w:val="00431068"/>
    <w:rsid w:val="00432B33"/>
    <w:rsid w:val="00433A22"/>
    <w:rsid w:val="004341DF"/>
    <w:rsid w:val="00434A5A"/>
    <w:rsid w:val="00435B81"/>
    <w:rsid w:val="0043630B"/>
    <w:rsid w:val="004430D8"/>
    <w:rsid w:val="00450EA8"/>
    <w:rsid w:val="0045188A"/>
    <w:rsid w:val="004561EF"/>
    <w:rsid w:val="00456253"/>
    <w:rsid w:val="00457E61"/>
    <w:rsid w:val="00463DF4"/>
    <w:rsid w:val="004714A8"/>
    <w:rsid w:val="00473585"/>
    <w:rsid w:val="00475CF8"/>
    <w:rsid w:val="00477A0E"/>
    <w:rsid w:val="00483C2D"/>
    <w:rsid w:val="00486135"/>
    <w:rsid w:val="00486E8D"/>
    <w:rsid w:val="004907B0"/>
    <w:rsid w:val="00492927"/>
    <w:rsid w:val="00494F96"/>
    <w:rsid w:val="00496BA5"/>
    <w:rsid w:val="004978D8"/>
    <w:rsid w:val="00497C23"/>
    <w:rsid w:val="004A7560"/>
    <w:rsid w:val="004C3A74"/>
    <w:rsid w:val="004C49BB"/>
    <w:rsid w:val="004C5835"/>
    <w:rsid w:val="004D5441"/>
    <w:rsid w:val="004E00D9"/>
    <w:rsid w:val="004E1BF5"/>
    <w:rsid w:val="004E4BE7"/>
    <w:rsid w:val="004E571B"/>
    <w:rsid w:val="004E61B0"/>
    <w:rsid w:val="005131FA"/>
    <w:rsid w:val="00514007"/>
    <w:rsid w:val="005145D5"/>
    <w:rsid w:val="0051596B"/>
    <w:rsid w:val="00522946"/>
    <w:rsid w:val="00526B6D"/>
    <w:rsid w:val="005273D8"/>
    <w:rsid w:val="00536B9F"/>
    <w:rsid w:val="005422F3"/>
    <w:rsid w:val="00543670"/>
    <w:rsid w:val="00546144"/>
    <w:rsid w:val="00552C78"/>
    <w:rsid w:val="005532B5"/>
    <w:rsid w:val="00554409"/>
    <w:rsid w:val="0056033E"/>
    <w:rsid w:val="00560502"/>
    <w:rsid w:val="005729BD"/>
    <w:rsid w:val="0058036E"/>
    <w:rsid w:val="0058458A"/>
    <w:rsid w:val="00585C66"/>
    <w:rsid w:val="005867BF"/>
    <w:rsid w:val="005907EE"/>
    <w:rsid w:val="00591A05"/>
    <w:rsid w:val="00593D5C"/>
    <w:rsid w:val="00594E2D"/>
    <w:rsid w:val="0059555B"/>
    <w:rsid w:val="00596389"/>
    <w:rsid w:val="005A24A0"/>
    <w:rsid w:val="005A292B"/>
    <w:rsid w:val="005A2F15"/>
    <w:rsid w:val="005B2A66"/>
    <w:rsid w:val="005B32BD"/>
    <w:rsid w:val="005B641B"/>
    <w:rsid w:val="005B7B66"/>
    <w:rsid w:val="005C2809"/>
    <w:rsid w:val="005C329F"/>
    <w:rsid w:val="005C3653"/>
    <w:rsid w:val="005C476D"/>
    <w:rsid w:val="005C4948"/>
    <w:rsid w:val="005C783D"/>
    <w:rsid w:val="005D0921"/>
    <w:rsid w:val="005D12E8"/>
    <w:rsid w:val="005D76A2"/>
    <w:rsid w:val="005E0B26"/>
    <w:rsid w:val="005F1416"/>
    <w:rsid w:val="005F20EA"/>
    <w:rsid w:val="005F72B3"/>
    <w:rsid w:val="005F7F95"/>
    <w:rsid w:val="00601BE8"/>
    <w:rsid w:val="006027CD"/>
    <w:rsid w:val="006028D6"/>
    <w:rsid w:val="006031EC"/>
    <w:rsid w:val="006041BA"/>
    <w:rsid w:val="00604EF2"/>
    <w:rsid w:val="00607A3F"/>
    <w:rsid w:val="00613805"/>
    <w:rsid w:val="00614B68"/>
    <w:rsid w:val="00627984"/>
    <w:rsid w:val="00632F45"/>
    <w:rsid w:val="00641B4A"/>
    <w:rsid w:val="00641E99"/>
    <w:rsid w:val="00644094"/>
    <w:rsid w:val="0064520F"/>
    <w:rsid w:val="00646E28"/>
    <w:rsid w:val="00654FB5"/>
    <w:rsid w:val="006651B6"/>
    <w:rsid w:val="00666C63"/>
    <w:rsid w:val="006769B9"/>
    <w:rsid w:val="006808BD"/>
    <w:rsid w:val="006843E6"/>
    <w:rsid w:val="006846B1"/>
    <w:rsid w:val="00685B42"/>
    <w:rsid w:val="006B0CE5"/>
    <w:rsid w:val="006B1C61"/>
    <w:rsid w:val="006B2A6B"/>
    <w:rsid w:val="006B6DB7"/>
    <w:rsid w:val="006C664F"/>
    <w:rsid w:val="006D0CAA"/>
    <w:rsid w:val="006D1545"/>
    <w:rsid w:val="006D3CEE"/>
    <w:rsid w:val="006D50D6"/>
    <w:rsid w:val="006D6545"/>
    <w:rsid w:val="006D7442"/>
    <w:rsid w:val="006D7CE7"/>
    <w:rsid w:val="006E1629"/>
    <w:rsid w:val="006E5F40"/>
    <w:rsid w:val="006E6BDF"/>
    <w:rsid w:val="006E7A16"/>
    <w:rsid w:val="006F0888"/>
    <w:rsid w:val="006F6D6C"/>
    <w:rsid w:val="0070185E"/>
    <w:rsid w:val="007046E8"/>
    <w:rsid w:val="007139B1"/>
    <w:rsid w:val="00721DBE"/>
    <w:rsid w:val="00726C84"/>
    <w:rsid w:val="007364F8"/>
    <w:rsid w:val="00736550"/>
    <w:rsid w:val="00736EE3"/>
    <w:rsid w:val="00753DBE"/>
    <w:rsid w:val="00755AF4"/>
    <w:rsid w:val="00761001"/>
    <w:rsid w:val="00764E03"/>
    <w:rsid w:val="0076514D"/>
    <w:rsid w:val="007656AA"/>
    <w:rsid w:val="00767D05"/>
    <w:rsid w:val="00774524"/>
    <w:rsid w:val="0077519C"/>
    <w:rsid w:val="00776FF3"/>
    <w:rsid w:val="007802A2"/>
    <w:rsid w:val="00794067"/>
    <w:rsid w:val="00795708"/>
    <w:rsid w:val="00795CC8"/>
    <w:rsid w:val="00795F3F"/>
    <w:rsid w:val="007A7762"/>
    <w:rsid w:val="007B12EC"/>
    <w:rsid w:val="007B1F36"/>
    <w:rsid w:val="007B453C"/>
    <w:rsid w:val="007B6ED1"/>
    <w:rsid w:val="007D23A4"/>
    <w:rsid w:val="007D6FC0"/>
    <w:rsid w:val="007D762D"/>
    <w:rsid w:val="007D77E9"/>
    <w:rsid w:val="007E1296"/>
    <w:rsid w:val="007E47AC"/>
    <w:rsid w:val="007E513A"/>
    <w:rsid w:val="007F32B5"/>
    <w:rsid w:val="00800555"/>
    <w:rsid w:val="0080163C"/>
    <w:rsid w:val="0080202F"/>
    <w:rsid w:val="00803834"/>
    <w:rsid w:val="00807D1D"/>
    <w:rsid w:val="0081126E"/>
    <w:rsid w:val="00817344"/>
    <w:rsid w:val="008227DC"/>
    <w:rsid w:val="0082673C"/>
    <w:rsid w:val="00826850"/>
    <w:rsid w:val="0082748E"/>
    <w:rsid w:val="00833ACE"/>
    <w:rsid w:val="00834F69"/>
    <w:rsid w:val="00844230"/>
    <w:rsid w:val="00854850"/>
    <w:rsid w:val="008577EF"/>
    <w:rsid w:val="00863D3D"/>
    <w:rsid w:val="00867C1C"/>
    <w:rsid w:val="008722D5"/>
    <w:rsid w:val="00874060"/>
    <w:rsid w:val="008801CC"/>
    <w:rsid w:val="008807AD"/>
    <w:rsid w:val="008817E4"/>
    <w:rsid w:val="00884BB8"/>
    <w:rsid w:val="00885790"/>
    <w:rsid w:val="00886BAF"/>
    <w:rsid w:val="0089048E"/>
    <w:rsid w:val="008A00C1"/>
    <w:rsid w:val="008A0997"/>
    <w:rsid w:val="008A15EF"/>
    <w:rsid w:val="008A20E7"/>
    <w:rsid w:val="008B2191"/>
    <w:rsid w:val="008C59C3"/>
    <w:rsid w:val="008C5F02"/>
    <w:rsid w:val="008C6CE3"/>
    <w:rsid w:val="008D5986"/>
    <w:rsid w:val="008E59CE"/>
    <w:rsid w:val="008E7DA6"/>
    <w:rsid w:val="008F11B6"/>
    <w:rsid w:val="008F4EFF"/>
    <w:rsid w:val="008F67E8"/>
    <w:rsid w:val="00913FEC"/>
    <w:rsid w:val="009143F4"/>
    <w:rsid w:val="0091708B"/>
    <w:rsid w:val="00924880"/>
    <w:rsid w:val="00925748"/>
    <w:rsid w:val="00935C36"/>
    <w:rsid w:val="00940F4B"/>
    <w:rsid w:val="00941951"/>
    <w:rsid w:val="00941F3D"/>
    <w:rsid w:val="00950593"/>
    <w:rsid w:val="009600FD"/>
    <w:rsid w:val="009628D9"/>
    <w:rsid w:val="00965EEA"/>
    <w:rsid w:val="0097048A"/>
    <w:rsid w:val="00970851"/>
    <w:rsid w:val="009735F3"/>
    <w:rsid w:val="00973C56"/>
    <w:rsid w:val="0099019B"/>
    <w:rsid w:val="009914DA"/>
    <w:rsid w:val="00992364"/>
    <w:rsid w:val="009938D8"/>
    <w:rsid w:val="009A0A3C"/>
    <w:rsid w:val="009A28F6"/>
    <w:rsid w:val="009A58DD"/>
    <w:rsid w:val="009A73FA"/>
    <w:rsid w:val="009B629B"/>
    <w:rsid w:val="009C0697"/>
    <w:rsid w:val="009C1BCF"/>
    <w:rsid w:val="009C2966"/>
    <w:rsid w:val="009C2C2F"/>
    <w:rsid w:val="009D1B7D"/>
    <w:rsid w:val="009D243C"/>
    <w:rsid w:val="009D7769"/>
    <w:rsid w:val="009F3527"/>
    <w:rsid w:val="009F4CBE"/>
    <w:rsid w:val="009F5DB3"/>
    <w:rsid w:val="009F6B79"/>
    <w:rsid w:val="00A02174"/>
    <w:rsid w:val="00A04A64"/>
    <w:rsid w:val="00A05A70"/>
    <w:rsid w:val="00A14580"/>
    <w:rsid w:val="00A1605A"/>
    <w:rsid w:val="00A17961"/>
    <w:rsid w:val="00A20ED4"/>
    <w:rsid w:val="00A30940"/>
    <w:rsid w:val="00A31B59"/>
    <w:rsid w:val="00A332E1"/>
    <w:rsid w:val="00A40958"/>
    <w:rsid w:val="00A40DAB"/>
    <w:rsid w:val="00A43079"/>
    <w:rsid w:val="00A4605F"/>
    <w:rsid w:val="00A51019"/>
    <w:rsid w:val="00A60457"/>
    <w:rsid w:val="00A63C5C"/>
    <w:rsid w:val="00A65FE8"/>
    <w:rsid w:val="00A6730D"/>
    <w:rsid w:val="00A67678"/>
    <w:rsid w:val="00A759C1"/>
    <w:rsid w:val="00A815B3"/>
    <w:rsid w:val="00A832C8"/>
    <w:rsid w:val="00A84644"/>
    <w:rsid w:val="00A95BEF"/>
    <w:rsid w:val="00AA4331"/>
    <w:rsid w:val="00AA49A2"/>
    <w:rsid w:val="00AA4D1C"/>
    <w:rsid w:val="00AC4FB8"/>
    <w:rsid w:val="00AD01B5"/>
    <w:rsid w:val="00AD045E"/>
    <w:rsid w:val="00AD4416"/>
    <w:rsid w:val="00AE10BB"/>
    <w:rsid w:val="00AE22A5"/>
    <w:rsid w:val="00AE76A1"/>
    <w:rsid w:val="00AF39AB"/>
    <w:rsid w:val="00AF6C10"/>
    <w:rsid w:val="00AF6DF9"/>
    <w:rsid w:val="00B01045"/>
    <w:rsid w:val="00B13DC4"/>
    <w:rsid w:val="00B1561A"/>
    <w:rsid w:val="00B201AE"/>
    <w:rsid w:val="00B232B8"/>
    <w:rsid w:val="00B26566"/>
    <w:rsid w:val="00B306BF"/>
    <w:rsid w:val="00B3759F"/>
    <w:rsid w:val="00B403A7"/>
    <w:rsid w:val="00B4134E"/>
    <w:rsid w:val="00B41DD5"/>
    <w:rsid w:val="00B427F6"/>
    <w:rsid w:val="00B536F7"/>
    <w:rsid w:val="00B622D4"/>
    <w:rsid w:val="00B661B6"/>
    <w:rsid w:val="00B6686F"/>
    <w:rsid w:val="00B7559D"/>
    <w:rsid w:val="00B76675"/>
    <w:rsid w:val="00B84D21"/>
    <w:rsid w:val="00B86A4C"/>
    <w:rsid w:val="00B87DBE"/>
    <w:rsid w:val="00B9102A"/>
    <w:rsid w:val="00B9341B"/>
    <w:rsid w:val="00BB034E"/>
    <w:rsid w:val="00BB1E9D"/>
    <w:rsid w:val="00BB2A53"/>
    <w:rsid w:val="00BB740B"/>
    <w:rsid w:val="00BC0ACE"/>
    <w:rsid w:val="00BD1272"/>
    <w:rsid w:val="00BD798A"/>
    <w:rsid w:val="00BE4533"/>
    <w:rsid w:val="00BE53E3"/>
    <w:rsid w:val="00BF1E4C"/>
    <w:rsid w:val="00BF4E96"/>
    <w:rsid w:val="00C07BC5"/>
    <w:rsid w:val="00C11EE7"/>
    <w:rsid w:val="00C24DAC"/>
    <w:rsid w:val="00C30C6D"/>
    <w:rsid w:val="00C3400A"/>
    <w:rsid w:val="00C368FD"/>
    <w:rsid w:val="00C37619"/>
    <w:rsid w:val="00C416BC"/>
    <w:rsid w:val="00C4294F"/>
    <w:rsid w:val="00C51E86"/>
    <w:rsid w:val="00C56493"/>
    <w:rsid w:val="00C56EC6"/>
    <w:rsid w:val="00C63C23"/>
    <w:rsid w:val="00C6499A"/>
    <w:rsid w:val="00C65FA2"/>
    <w:rsid w:val="00C71F68"/>
    <w:rsid w:val="00C74116"/>
    <w:rsid w:val="00C83C87"/>
    <w:rsid w:val="00C93243"/>
    <w:rsid w:val="00C93B85"/>
    <w:rsid w:val="00CA3D85"/>
    <w:rsid w:val="00CA3F6F"/>
    <w:rsid w:val="00CA4770"/>
    <w:rsid w:val="00CA4E90"/>
    <w:rsid w:val="00CA6BB6"/>
    <w:rsid w:val="00CA7746"/>
    <w:rsid w:val="00CB53A2"/>
    <w:rsid w:val="00CC1887"/>
    <w:rsid w:val="00CC3C3F"/>
    <w:rsid w:val="00CC6BD8"/>
    <w:rsid w:val="00CD3DFC"/>
    <w:rsid w:val="00CD4441"/>
    <w:rsid w:val="00CD4585"/>
    <w:rsid w:val="00CE0DA3"/>
    <w:rsid w:val="00CE1E13"/>
    <w:rsid w:val="00CE51EB"/>
    <w:rsid w:val="00CE51F2"/>
    <w:rsid w:val="00CE7A96"/>
    <w:rsid w:val="00CF14B8"/>
    <w:rsid w:val="00CF469C"/>
    <w:rsid w:val="00CF6636"/>
    <w:rsid w:val="00D00DA6"/>
    <w:rsid w:val="00D06B5D"/>
    <w:rsid w:val="00D07A35"/>
    <w:rsid w:val="00D1121C"/>
    <w:rsid w:val="00D1716D"/>
    <w:rsid w:val="00D23FA9"/>
    <w:rsid w:val="00D2783B"/>
    <w:rsid w:val="00D27C7A"/>
    <w:rsid w:val="00D3256C"/>
    <w:rsid w:val="00D41C6E"/>
    <w:rsid w:val="00D4328E"/>
    <w:rsid w:val="00D45778"/>
    <w:rsid w:val="00D45900"/>
    <w:rsid w:val="00D45F5E"/>
    <w:rsid w:val="00D5254B"/>
    <w:rsid w:val="00D57826"/>
    <w:rsid w:val="00D61BC2"/>
    <w:rsid w:val="00D626E1"/>
    <w:rsid w:val="00D6602B"/>
    <w:rsid w:val="00D73D09"/>
    <w:rsid w:val="00D75E5F"/>
    <w:rsid w:val="00D81292"/>
    <w:rsid w:val="00D841D3"/>
    <w:rsid w:val="00D92D90"/>
    <w:rsid w:val="00D96C33"/>
    <w:rsid w:val="00D96FEB"/>
    <w:rsid w:val="00DA2FC8"/>
    <w:rsid w:val="00DA4258"/>
    <w:rsid w:val="00DA5F6F"/>
    <w:rsid w:val="00DA692D"/>
    <w:rsid w:val="00DB354A"/>
    <w:rsid w:val="00DB424B"/>
    <w:rsid w:val="00DB7D0B"/>
    <w:rsid w:val="00DC61D2"/>
    <w:rsid w:val="00DD075D"/>
    <w:rsid w:val="00DD122B"/>
    <w:rsid w:val="00DD2544"/>
    <w:rsid w:val="00DD3A43"/>
    <w:rsid w:val="00DD41B3"/>
    <w:rsid w:val="00DD4A9D"/>
    <w:rsid w:val="00DD6EC8"/>
    <w:rsid w:val="00DE00BA"/>
    <w:rsid w:val="00DE30B0"/>
    <w:rsid w:val="00DF6197"/>
    <w:rsid w:val="00E009F0"/>
    <w:rsid w:val="00E0365E"/>
    <w:rsid w:val="00E064DB"/>
    <w:rsid w:val="00E076D3"/>
    <w:rsid w:val="00E1008C"/>
    <w:rsid w:val="00E10E3F"/>
    <w:rsid w:val="00E110BE"/>
    <w:rsid w:val="00E1332A"/>
    <w:rsid w:val="00E13B57"/>
    <w:rsid w:val="00E14015"/>
    <w:rsid w:val="00E1690C"/>
    <w:rsid w:val="00E17ADD"/>
    <w:rsid w:val="00E2220F"/>
    <w:rsid w:val="00E245AC"/>
    <w:rsid w:val="00E31143"/>
    <w:rsid w:val="00E356CB"/>
    <w:rsid w:val="00E409DD"/>
    <w:rsid w:val="00E4558A"/>
    <w:rsid w:val="00E500E8"/>
    <w:rsid w:val="00E50C1C"/>
    <w:rsid w:val="00E51236"/>
    <w:rsid w:val="00E51FD8"/>
    <w:rsid w:val="00E62704"/>
    <w:rsid w:val="00E646A0"/>
    <w:rsid w:val="00E65743"/>
    <w:rsid w:val="00E67A73"/>
    <w:rsid w:val="00E67C75"/>
    <w:rsid w:val="00E71193"/>
    <w:rsid w:val="00E74CC5"/>
    <w:rsid w:val="00E75EB1"/>
    <w:rsid w:val="00E77959"/>
    <w:rsid w:val="00E925CD"/>
    <w:rsid w:val="00E92AA0"/>
    <w:rsid w:val="00E93819"/>
    <w:rsid w:val="00E94E31"/>
    <w:rsid w:val="00E96FBD"/>
    <w:rsid w:val="00EA32B3"/>
    <w:rsid w:val="00EA4F16"/>
    <w:rsid w:val="00EA5528"/>
    <w:rsid w:val="00EB2A58"/>
    <w:rsid w:val="00EB3CA6"/>
    <w:rsid w:val="00EB472D"/>
    <w:rsid w:val="00EB491B"/>
    <w:rsid w:val="00EB7DCD"/>
    <w:rsid w:val="00EC140C"/>
    <w:rsid w:val="00EC1C8A"/>
    <w:rsid w:val="00EC39A8"/>
    <w:rsid w:val="00EC754A"/>
    <w:rsid w:val="00ED4623"/>
    <w:rsid w:val="00ED5A65"/>
    <w:rsid w:val="00ED64A6"/>
    <w:rsid w:val="00EE1409"/>
    <w:rsid w:val="00EF1B95"/>
    <w:rsid w:val="00EF29A1"/>
    <w:rsid w:val="00F01773"/>
    <w:rsid w:val="00F01A53"/>
    <w:rsid w:val="00F06DB6"/>
    <w:rsid w:val="00F10DF3"/>
    <w:rsid w:val="00F11FBE"/>
    <w:rsid w:val="00F22781"/>
    <w:rsid w:val="00F31C04"/>
    <w:rsid w:val="00F321F1"/>
    <w:rsid w:val="00F45EC7"/>
    <w:rsid w:val="00F469F2"/>
    <w:rsid w:val="00F55B31"/>
    <w:rsid w:val="00F61BAE"/>
    <w:rsid w:val="00F71672"/>
    <w:rsid w:val="00F72188"/>
    <w:rsid w:val="00F74492"/>
    <w:rsid w:val="00F87871"/>
    <w:rsid w:val="00F91C7F"/>
    <w:rsid w:val="00F95070"/>
    <w:rsid w:val="00FA0A82"/>
    <w:rsid w:val="00FA5209"/>
    <w:rsid w:val="00FB00AB"/>
    <w:rsid w:val="00FB18A6"/>
    <w:rsid w:val="00FB1B84"/>
    <w:rsid w:val="00FB3733"/>
    <w:rsid w:val="00FB41C1"/>
    <w:rsid w:val="00FB4346"/>
    <w:rsid w:val="00FB74A8"/>
    <w:rsid w:val="00FC016F"/>
    <w:rsid w:val="00FC106B"/>
    <w:rsid w:val="00FC18F5"/>
    <w:rsid w:val="00FC2E51"/>
    <w:rsid w:val="00FC3226"/>
    <w:rsid w:val="00FC3228"/>
    <w:rsid w:val="00FC3DCC"/>
    <w:rsid w:val="00FC5DBD"/>
    <w:rsid w:val="00FD10E8"/>
    <w:rsid w:val="00FD1106"/>
    <w:rsid w:val="00FD18E7"/>
    <w:rsid w:val="00FD6C9B"/>
    <w:rsid w:val="00FE3399"/>
    <w:rsid w:val="00FE6C9F"/>
    <w:rsid w:val="00FE785B"/>
    <w:rsid w:val="00FE7F39"/>
    <w:rsid w:val="00FF044E"/>
    <w:rsid w:val="00FF39F3"/>
    <w:rsid w:val="00FF513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C2BCF4"/>
  <w15:docId w15:val="{73C3A39D-F754-45F8-954A-6E5F489B1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0202F"/>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357D50"/>
    <w:pPr>
      <w:widowControl w:val="0"/>
      <w:suppressAutoHyphens/>
      <w:spacing w:after="120"/>
      <w:jc w:val="both"/>
    </w:pPr>
    <w:rPr>
      <w:rFonts w:eastAsia="Arial Unicode MS"/>
    </w:rPr>
  </w:style>
  <w:style w:type="paragraph" w:customStyle="1" w:styleId="WW-Privzeto">
    <w:name w:val="WW-Privzeto"/>
    <w:rsid w:val="00CE0DA3"/>
    <w:pPr>
      <w:suppressAutoHyphens/>
      <w:autoSpaceDE w:val="0"/>
    </w:pPr>
    <w:rPr>
      <w:rFonts w:cs="Tahoma"/>
      <w:sz w:val="24"/>
      <w:szCs w:val="24"/>
      <w:lang w:eastAsia="ar-SA"/>
    </w:rPr>
  </w:style>
  <w:style w:type="paragraph" w:styleId="Noga">
    <w:name w:val="footer"/>
    <w:basedOn w:val="Navaden"/>
    <w:rsid w:val="00281D59"/>
    <w:pPr>
      <w:tabs>
        <w:tab w:val="center" w:pos="4536"/>
        <w:tab w:val="right" w:pos="9072"/>
      </w:tabs>
    </w:pPr>
  </w:style>
  <w:style w:type="character" w:styleId="tevilkastrani">
    <w:name w:val="page number"/>
    <w:basedOn w:val="Privzetapisavaodstavka"/>
    <w:rsid w:val="00281D59"/>
  </w:style>
  <w:style w:type="paragraph" w:styleId="Besedilooblaka">
    <w:name w:val="Balloon Text"/>
    <w:basedOn w:val="Navaden"/>
    <w:semiHidden/>
    <w:rsid w:val="00F469F2"/>
    <w:rPr>
      <w:rFonts w:ascii="Tahoma" w:hAnsi="Tahoma" w:cs="Tahoma"/>
      <w:sz w:val="16"/>
      <w:szCs w:val="16"/>
    </w:rPr>
  </w:style>
  <w:style w:type="character" w:styleId="Pripombasklic">
    <w:name w:val="annotation reference"/>
    <w:basedOn w:val="Privzetapisavaodstavka"/>
    <w:uiPriority w:val="99"/>
    <w:semiHidden/>
    <w:unhideWhenUsed/>
    <w:rsid w:val="003875E2"/>
    <w:rPr>
      <w:sz w:val="16"/>
      <w:szCs w:val="16"/>
    </w:rPr>
  </w:style>
  <w:style w:type="paragraph" w:styleId="Pripombabesedilo">
    <w:name w:val="annotation text"/>
    <w:basedOn w:val="Navaden"/>
    <w:link w:val="PripombabesediloZnak"/>
    <w:uiPriority w:val="99"/>
    <w:semiHidden/>
    <w:unhideWhenUsed/>
    <w:rsid w:val="003875E2"/>
    <w:rPr>
      <w:sz w:val="20"/>
      <w:szCs w:val="20"/>
    </w:rPr>
  </w:style>
  <w:style w:type="character" w:customStyle="1" w:styleId="PripombabesediloZnak">
    <w:name w:val="Pripomba – besedilo Znak"/>
    <w:basedOn w:val="Privzetapisavaodstavka"/>
    <w:link w:val="Pripombabesedilo"/>
    <w:uiPriority w:val="99"/>
    <w:semiHidden/>
    <w:rsid w:val="003875E2"/>
  </w:style>
  <w:style w:type="paragraph" w:styleId="Zadevapripombe">
    <w:name w:val="annotation subject"/>
    <w:basedOn w:val="Pripombabesedilo"/>
    <w:next w:val="Pripombabesedilo"/>
    <w:link w:val="ZadevapripombeZnak"/>
    <w:uiPriority w:val="99"/>
    <w:semiHidden/>
    <w:unhideWhenUsed/>
    <w:rsid w:val="003875E2"/>
    <w:rPr>
      <w:b/>
      <w:bCs/>
    </w:rPr>
  </w:style>
  <w:style w:type="character" w:customStyle="1" w:styleId="ZadevapripombeZnak">
    <w:name w:val="Zadeva pripombe Znak"/>
    <w:basedOn w:val="PripombabesediloZnak"/>
    <w:link w:val="Zadevapripombe"/>
    <w:uiPriority w:val="99"/>
    <w:semiHidden/>
    <w:rsid w:val="003875E2"/>
    <w:rPr>
      <w:b/>
      <w:bCs/>
    </w:rPr>
  </w:style>
  <w:style w:type="paragraph" w:styleId="Revizija">
    <w:name w:val="Revision"/>
    <w:hidden/>
    <w:uiPriority w:val="99"/>
    <w:semiHidden/>
    <w:rsid w:val="00310B8E"/>
    <w:rPr>
      <w:sz w:val="24"/>
      <w:szCs w:val="24"/>
    </w:rPr>
  </w:style>
  <w:style w:type="character" w:styleId="Hiperpovezava">
    <w:name w:val="Hyperlink"/>
    <w:uiPriority w:val="99"/>
    <w:rsid w:val="0026759C"/>
    <w:rPr>
      <w:color w:val="000080"/>
      <w:u w:val="single"/>
    </w:rPr>
  </w:style>
  <w:style w:type="paragraph" w:styleId="Odstavekseznama">
    <w:name w:val="List Paragraph"/>
    <w:basedOn w:val="Navaden"/>
    <w:uiPriority w:val="34"/>
    <w:qFormat/>
    <w:rsid w:val="007D23A4"/>
    <w:pPr>
      <w:ind w:left="720"/>
      <w:contextualSpacing/>
    </w:pPr>
  </w:style>
  <w:style w:type="paragraph" w:customStyle="1" w:styleId="HTML-oblikovano1">
    <w:name w:val="HTML-oblikovano1"/>
    <w:basedOn w:val="Navaden"/>
    <w:rsid w:val="00795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20"/>
      <w:lang w:eastAsia="en-US"/>
    </w:rPr>
  </w:style>
  <w:style w:type="character" w:customStyle="1" w:styleId="TelobesedilaZnak">
    <w:name w:val="Telo besedila Znak"/>
    <w:basedOn w:val="Privzetapisavaodstavka"/>
    <w:link w:val="Telobesedila"/>
    <w:rsid w:val="004907B0"/>
    <w:rPr>
      <w:rFonts w:eastAsia="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6692812">
      <w:bodyDiv w:val="1"/>
      <w:marLeft w:val="0"/>
      <w:marRight w:val="0"/>
      <w:marTop w:val="0"/>
      <w:marBottom w:val="0"/>
      <w:divBdr>
        <w:top w:val="none" w:sz="0" w:space="0" w:color="auto"/>
        <w:left w:val="none" w:sz="0" w:space="0" w:color="auto"/>
        <w:bottom w:val="none" w:sz="0" w:space="0" w:color="auto"/>
        <w:right w:val="none" w:sz="0" w:space="0" w:color="auto"/>
      </w:divBdr>
    </w:div>
    <w:div w:id="190174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D4A8B-B628-47EE-948E-82855A613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3563</Words>
  <Characters>20312</Characters>
  <Application>Microsoft Office Word</Application>
  <DocSecurity>4</DocSecurity>
  <Lines>169</Lines>
  <Paragraphs>47</Paragraphs>
  <ScaleCrop>false</ScaleCrop>
  <HeadingPairs>
    <vt:vector size="2" baseType="variant">
      <vt:variant>
        <vt:lpstr>Naslov</vt:lpstr>
      </vt:variant>
      <vt:variant>
        <vt:i4>1</vt:i4>
      </vt:variant>
    </vt:vector>
  </HeadingPairs>
  <TitlesOfParts>
    <vt:vector size="1" baseType="lpstr">
      <vt:lpstr>Na podlagi Zakona o prostorskem načrtovanju /ZPNačrt/ (Ur</vt:lpstr>
    </vt:vector>
  </TitlesOfParts>
  <Company>IPSUM D.O.O.</Company>
  <LinksUpToDate>false</LinksUpToDate>
  <CharactersWithSpaces>23828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Zakona o prostorskem načrtovanju /ZPNačrt/ (Ur</dc:title>
  <dc:creator>Uporabnik</dc:creator>
  <cp:lastModifiedBy>Jana</cp:lastModifiedBy>
  <cp:revision>2</cp:revision>
  <cp:lastPrinted>2015-09-09T07:38:00Z</cp:lastPrinted>
  <dcterms:created xsi:type="dcterms:W3CDTF">2015-09-11T10:22:00Z</dcterms:created>
  <dcterms:modified xsi:type="dcterms:W3CDTF">2015-09-11T10:22:00Z</dcterms:modified>
</cp:coreProperties>
</file>