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37CB5" w14:textId="77777777" w:rsidR="00BD1272" w:rsidRDefault="00BD1272" w:rsidP="00BD1272">
      <w:pPr>
        <w:jc w:val="right"/>
      </w:pPr>
      <w:bookmarkStart w:id="0" w:name="_GoBack"/>
      <w:bookmarkEnd w:id="0"/>
    </w:p>
    <w:p w14:paraId="5523E7EC" w14:textId="77777777" w:rsidR="00BD1272" w:rsidRDefault="00BD1272" w:rsidP="0056033E">
      <w:pPr>
        <w:jc w:val="both"/>
      </w:pPr>
    </w:p>
    <w:p w14:paraId="5D851D1A" w14:textId="77777777" w:rsidR="00E51236" w:rsidRDefault="00E51236" w:rsidP="0056033E">
      <w:pPr>
        <w:jc w:val="both"/>
      </w:pPr>
    </w:p>
    <w:p w14:paraId="56BA5C84" w14:textId="4F01F78C" w:rsidR="0026759C" w:rsidRDefault="00A30940" w:rsidP="0026759C">
      <w:pPr>
        <w:jc w:val="both"/>
      </w:pPr>
      <w:r w:rsidRPr="00A30940">
        <w:t>Na podlagi 74. člena Zakona o prostorskem načrtovanju (Ur. l. RS, št. 33/07, 70/08-ZVO-1B, 108/09, 80/10-ZUPUDPP (106/10 popr.), 43/11-ZKZ-C 57/12, 57/12-ZUPUDPP-A, 109/12, 35/13 Skl.US: U-I-43/13-8), 9. in 17. člena Uredbe o vsebini programa opremljanja stavbnih zemljišč (Ur. l. RS, št. 80/07), 8. člena Pravilnika o merilih za odmero komunalnega prispevka (Ur. l. RS, št. 95/07) in 7. ter 1</w:t>
      </w:r>
      <w:r w:rsidR="009D1B7D">
        <w:t>3</w:t>
      </w:r>
      <w:r w:rsidRPr="00A30940">
        <w:t>. člena Statuta Občine Cerklje na Gorenjskem (Uradni vestnik Občine Cerklje na Gorenjskem, št. 3/10</w:t>
      </w:r>
      <w:r w:rsidR="00123ADD">
        <w:t xml:space="preserve"> in 1/15</w:t>
      </w:r>
      <w:r w:rsidRPr="00A30940">
        <w:t xml:space="preserve">) je Občinski svet občine Cerklje na Gorenjskem, na  </w:t>
      </w:r>
      <w:r w:rsidR="00113910">
        <w:t xml:space="preserve">6. redni </w:t>
      </w:r>
      <w:r w:rsidRPr="00A30940">
        <w:t xml:space="preserve">seji, dne </w:t>
      </w:r>
      <w:r w:rsidR="00F94770">
        <w:t>10.09.2015</w:t>
      </w:r>
      <w:r w:rsidRPr="00A30940">
        <w:t xml:space="preserve"> sprejel</w:t>
      </w:r>
    </w:p>
    <w:p w14:paraId="2DB82DC9" w14:textId="77777777" w:rsidR="00FA0E3F" w:rsidRDefault="00FA0E3F" w:rsidP="00FD1106"/>
    <w:p w14:paraId="0AF143C7" w14:textId="77777777" w:rsidR="00DC61D2" w:rsidRDefault="00DC61D2" w:rsidP="00FD1106"/>
    <w:p w14:paraId="64C1D6EC" w14:textId="77777777" w:rsidR="00412F76" w:rsidRPr="00FD1106" w:rsidRDefault="00FD1106" w:rsidP="00116D05">
      <w:pPr>
        <w:jc w:val="center"/>
        <w:rPr>
          <w:b/>
        </w:rPr>
      </w:pPr>
      <w:r w:rsidRPr="00FD1106">
        <w:rPr>
          <w:b/>
        </w:rPr>
        <w:t>O</w:t>
      </w:r>
      <w:r w:rsidR="00281D59">
        <w:rPr>
          <w:b/>
        </w:rPr>
        <w:t xml:space="preserve"> </w:t>
      </w:r>
      <w:r w:rsidRPr="00FD1106">
        <w:rPr>
          <w:b/>
        </w:rPr>
        <w:t>D</w:t>
      </w:r>
      <w:r w:rsidR="00281D59">
        <w:rPr>
          <w:b/>
        </w:rPr>
        <w:t xml:space="preserve"> </w:t>
      </w:r>
      <w:r w:rsidRPr="00FD1106">
        <w:rPr>
          <w:b/>
        </w:rPr>
        <w:t>L</w:t>
      </w:r>
      <w:r w:rsidR="00281D59">
        <w:rPr>
          <w:b/>
        </w:rPr>
        <w:t xml:space="preserve"> </w:t>
      </w:r>
      <w:r w:rsidRPr="00FD1106">
        <w:rPr>
          <w:b/>
        </w:rPr>
        <w:t>O</w:t>
      </w:r>
      <w:r w:rsidR="00281D59">
        <w:rPr>
          <w:b/>
        </w:rPr>
        <w:t xml:space="preserve"> </w:t>
      </w:r>
      <w:r w:rsidRPr="00FD1106">
        <w:rPr>
          <w:b/>
        </w:rPr>
        <w:t>K</w:t>
      </w:r>
    </w:p>
    <w:p w14:paraId="7B5F0D53" w14:textId="77777777" w:rsidR="00E4558A" w:rsidRDefault="009914DA" w:rsidP="0006509A">
      <w:pPr>
        <w:jc w:val="center"/>
        <w:rPr>
          <w:b/>
        </w:rPr>
      </w:pPr>
      <w:r w:rsidRPr="00FD1106">
        <w:rPr>
          <w:b/>
        </w:rPr>
        <w:t>o</w:t>
      </w:r>
      <w:r w:rsidR="00F9443E">
        <w:rPr>
          <w:b/>
        </w:rPr>
        <w:t xml:space="preserve"> spremembah in dopolnitvah</w:t>
      </w:r>
      <w:r w:rsidR="00526453">
        <w:rPr>
          <w:b/>
        </w:rPr>
        <w:t xml:space="preserve"> programa</w:t>
      </w:r>
      <w:r w:rsidRPr="00FD1106">
        <w:rPr>
          <w:b/>
        </w:rPr>
        <w:t xml:space="preserve"> opremljanja</w:t>
      </w:r>
      <w:r>
        <w:rPr>
          <w:b/>
        </w:rPr>
        <w:t xml:space="preserve"> stavbnih zemljišč </w:t>
      </w:r>
      <w:r w:rsidR="00761001" w:rsidRPr="00761001">
        <w:rPr>
          <w:b/>
        </w:rPr>
        <w:t>in merilih za odmero komunalnega prispevka</w:t>
      </w:r>
      <w:r w:rsidR="00950593">
        <w:rPr>
          <w:b/>
        </w:rPr>
        <w:t xml:space="preserve"> za </w:t>
      </w:r>
      <w:r w:rsidR="00A30940" w:rsidRPr="00A30940">
        <w:rPr>
          <w:b/>
        </w:rPr>
        <w:t>kanalizacijo komunalnih odpadnih vod, ki je bila zgrajena v obdobju 2008-2013 in bo zgrajena v obdobju 2014-2015 v občini Cerklje na Gorenjskem</w:t>
      </w:r>
    </w:p>
    <w:p w14:paraId="74FA0AB8" w14:textId="77777777" w:rsidR="00FD1106" w:rsidRDefault="00FD1106" w:rsidP="00F9443E"/>
    <w:p w14:paraId="377A2B62" w14:textId="77777777" w:rsidR="00B536F7" w:rsidRDefault="00B536F7" w:rsidP="00FD1106">
      <w:pPr>
        <w:jc w:val="center"/>
      </w:pPr>
    </w:p>
    <w:p w14:paraId="64DF0FDD" w14:textId="77777777" w:rsidR="00FD1106" w:rsidRDefault="00FD1106" w:rsidP="00FD1106">
      <w:pPr>
        <w:jc w:val="center"/>
      </w:pPr>
      <w:r>
        <w:t>1. člen</w:t>
      </w:r>
    </w:p>
    <w:p w14:paraId="5C707324" w14:textId="77777777" w:rsidR="00FD1106" w:rsidRDefault="00FD1106" w:rsidP="00FD1106"/>
    <w:p w14:paraId="60FE0E75" w14:textId="02DEEA17" w:rsidR="00A81EDE" w:rsidRDefault="00790AD0" w:rsidP="00A81EDE">
      <w:pPr>
        <w:jc w:val="both"/>
      </w:pPr>
      <w:r w:rsidRPr="00790AD0">
        <w:t xml:space="preserve">V Odloku o programu opremljanja stavbnih zemljišč in merilih za odmero komunalnega prispevka za kanalizacijo komunalnih odpadnih vod, ki je bila zgrajena v obdobju 2008-2013 in bo zgrajena v obdobju 2014-2015 v občini Cerklje na Gorenjskem (Uradni vestnik Občine Cerklje na Gorenjskem, št. 1/2014, 2/2015 in 3/2015), </w:t>
      </w:r>
      <w:r>
        <w:t xml:space="preserve">se drugi </w:t>
      </w:r>
      <w:r w:rsidR="00A81EDE">
        <w:t>odstavek 6. člena</w:t>
      </w:r>
      <w:r>
        <w:t xml:space="preserve"> se spremeni tako, da se glasi:</w:t>
      </w:r>
    </w:p>
    <w:p w14:paraId="54BC21CB" w14:textId="77777777" w:rsidR="00790AD0" w:rsidRDefault="00790AD0" w:rsidP="00A81EDE">
      <w:pPr>
        <w:jc w:val="both"/>
      </w:pPr>
    </w:p>
    <w:p w14:paraId="53B96458" w14:textId="198299AB" w:rsidR="00C8476C" w:rsidRDefault="00A81EDE" w:rsidP="00F94770">
      <w:pPr>
        <w:jc w:val="both"/>
      </w:pPr>
      <w:r>
        <w:t xml:space="preserve">»Skupni stroški za gradnjo nove kanalizacije komunalnih odpadnih vod in odkup deleža ter nadgradnja Centralne čistilne naprave (CČN) Domžale – Kamnik  znašajo </w:t>
      </w:r>
      <w:r w:rsidRPr="00821F7D">
        <w:t>13.415.702 €</w:t>
      </w:r>
      <w:r>
        <w:t xml:space="preserve"> (brez </w:t>
      </w:r>
      <w:r w:rsidRPr="002C2A31">
        <w:t>DDV)</w:t>
      </w:r>
      <w:r>
        <w:t>.«</w:t>
      </w:r>
    </w:p>
    <w:p w14:paraId="4A69C42C" w14:textId="0DC153CF" w:rsidR="00C331F3" w:rsidRDefault="00C331F3" w:rsidP="00790AD0">
      <w:pPr>
        <w:jc w:val="center"/>
      </w:pPr>
      <w:r>
        <w:t>2. člen</w:t>
      </w:r>
    </w:p>
    <w:p w14:paraId="7CF4EFA6" w14:textId="77777777" w:rsidR="00790AD0" w:rsidRDefault="00790AD0" w:rsidP="00790AD0">
      <w:pPr>
        <w:jc w:val="center"/>
      </w:pPr>
    </w:p>
    <w:p w14:paraId="3298989F" w14:textId="38B84B0E" w:rsidR="00E51236" w:rsidRDefault="00790AD0" w:rsidP="00F9443E">
      <w:pPr>
        <w:jc w:val="both"/>
      </w:pPr>
      <w:r>
        <w:t>D</w:t>
      </w:r>
      <w:r w:rsidR="00F9443E">
        <w:t xml:space="preserve">rugi odstavek 7. člena spremeni </w:t>
      </w:r>
      <w:r w:rsidR="009249F7">
        <w:t>tako,</w:t>
      </w:r>
      <w:r w:rsidR="00F9443E">
        <w:t xml:space="preserve"> da se glasi:</w:t>
      </w:r>
    </w:p>
    <w:p w14:paraId="11241CB9" w14:textId="77777777" w:rsidR="00790AD0" w:rsidRDefault="00790AD0" w:rsidP="00F9443E">
      <w:pPr>
        <w:jc w:val="both"/>
      </w:pPr>
    </w:p>
    <w:p w14:paraId="2323CEE6" w14:textId="694FA756" w:rsidR="00F9443E" w:rsidRDefault="00F9443E" w:rsidP="00F9443E">
      <w:pPr>
        <w:jc w:val="both"/>
      </w:pPr>
      <w:r>
        <w:t>»Višina obračunskih stroškov investicije se izračuna tako, da se od skupnih stroškov investicije odštejejo sredstva, ki jih občina za izvedbo investicije pridobi iz drugih virov</w:t>
      </w:r>
      <w:r w:rsidR="002A19C6">
        <w:t xml:space="preserve"> </w:t>
      </w:r>
      <w:r w:rsidR="002A19C6" w:rsidRPr="00D45275">
        <w:t>in sredstva iz občinskega proračuna</w:t>
      </w:r>
      <w:r w:rsidRPr="00D45275">
        <w:t>.</w:t>
      </w:r>
      <w:r>
        <w:t xml:space="preserve"> Drugi viri za izvedbo investicije iz tega odloka so bili: sredstva iz Evropskega sklada za regionalni razvoj,</w:t>
      </w:r>
      <w:r w:rsidR="003C28CA">
        <w:t xml:space="preserve"> sredstva iz evropskega kohezijskega sklada,</w:t>
      </w:r>
      <w:r>
        <w:t xml:space="preserve"> sredstva za komunalno opremo po Zakonu o financiranju </w:t>
      </w:r>
      <w:r w:rsidRPr="0099019B">
        <w:t>občin</w:t>
      </w:r>
      <w:r>
        <w:t xml:space="preserve"> in s</w:t>
      </w:r>
      <w:r w:rsidRPr="00F9443E">
        <w:t>redstva okoljske dajatve za onesnaževanje okolja zar</w:t>
      </w:r>
      <w:r>
        <w:t>adi odvajanja odpadnih voda po Zakonu</w:t>
      </w:r>
      <w:r w:rsidRPr="00F9443E">
        <w:t xml:space="preserve"> o varstvu okolja</w:t>
      </w:r>
      <w:r>
        <w:t>.«</w:t>
      </w:r>
    </w:p>
    <w:p w14:paraId="2FC51DCE" w14:textId="77777777" w:rsidR="00F9443E" w:rsidRDefault="00F9443E" w:rsidP="00F9443E">
      <w:pPr>
        <w:jc w:val="both"/>
      </w:pPr>
    </w:p>
    <w:p w14:paraId="5827753A" w14:textId="0A3498BD" w:rsidR="00E62704" w:rsidRDefault="00631C72" w:rsidP="00E62704">
      <w:pPr>
        <w:jc w:val="center"/>
      </w:pPr>
      <w:r>
        <w:t>3</w:t>
      </w:r>
      <w:r w:rsidR="00E62704">
        <w:t>. člen</w:t>
      </w:r>
    </w:p>
    <w:p w14:paraId="7CC9205D" w14:textId="77777777" w:rsidR="00E62704" w:rsidRDefault="00E62704" w:rsidP="005A24A0">
      <w:pPr>
        <w:jc w:val="both"/>
      </w:pPr>
    </w:p>
    <w:p w14:paraId="4AEB7803" w14:textId="77777777" w:rsidR="00E62704" w:rsidRDefault="00DE0954" w:rsidP="005A24A0">
      <w:pPr>
        <w:jc w:val="both"/>
      </w:pPr>
      <w:r>
        <w:t>9. člen</w:t>
      </w:r>
      <w:r w:rsidR="00477864">
        <w:t xml:space="preserve"> s</w:t>
      </w:r>
      <w:r>
        <w:t>e spremeni tako, da se glasi:</w:t>
      </w:r>
    </w:p>
    <w:p w14:paraId="2E15F4A4" w14:textId="77777777" w:rsidR="00790AD0" w:rsidRDefault="00790AD0" w:rsidP="005A24A0">
      <w:pPr>
        <w:jc w:val="both"/>
      </w:pPr>
    </w:p>
    <w:p w14:paraId="2DADDC8C" w14:textId="75267C88" w:rsidR="00DE0954" w:rsidRDefault="00DE0954" w:rsidP="005A24A0">
      <w:pPr>
        <w:jc w:val="both"/>
      </w:pPr>
      <w:r>
        <w:t>»</w:t>
      </w:r>
      <w:r w:rsidRPr="002310EF">
        <w:t xml:space="preserve">Obračunski stroški investicije v novo </w:t>
      </w:r>
      <w:r>
        <w:t xml:space="preserve">kanalizacijo komunalnih odpadnih vod in odkupa deleža ter nadgradnje Centralne čistilne naprave (CČN) Domžale – Kamnik znašajo </w:t>
      </w:r>
      <w:r w:rsidR="00F10F93" w:rsidRPr="00631C72">
        <w:t>6.677.746 €</w:t>
      </w:r>
      <w:r w:rsidRPr="00631C72">
        <w:t xml:space="preserve"> (brez DDV).«</w:t>
      </w:r>
    </w:p>
    <w:p w14:paraId="39903789" w14:textId="77777777" w:rsidR="006322B1" w:rsidRDefault="006322B1" w:rsidP="005A24A0">
      <w:pPr>
        <w:jc w:val="both"/>
      </w:pPr>
    </w:p>
    <w:p w14:paraId="01F2C160" w14:textId="60845F4C" w:rsidR="007B453C" w:rsidRDefault="00631C72" w:rsidP="007B453C">
      <w:pPr>
        <w:jc w:val="center"/>
      </w:pPr>
      <w:r>
        <w:lastRenderedPageBreak/>
        <w:t>4</w:t>
      </w:r>
      <w:r w:rsidR="007B453C">
        <w:t>. člen</w:t>
      </w:r>
    </w:p>
    <w:p w14:paraId="58F14389" w14:textId="77777777" w:rsidR="007B453C" w:rsidRPr="005A24A0" w:rsidRDefault="007B453C" w:rsidP="005A24A0">
      <w:pPr>
        <w:jc w:val="both"/>
      </w:pPr>
    </w:p>
    <w:p w14:paraId="3AB8B970" w14:textId="726B0B4D" w:rsidR="00FD1106" w:rsidRDefault="00F33764" w:rsidP="00FD1106">
      <w:r>
        <w:t>Prva in druga</w:t>
      </w:r>
      <w:r w:rsidR="00C132D9">
        <w:t xml:space="preserve"> </w:t>
      </w:r>
      <w:r>
        <w:t xml:space="preserve"> alineja drugega odstavka 10. člena se nadomesti z:</w:t>
      </w:r>
    </w:p>
    <w:p w14:paraId="0F9D89DA" w14:textId="77777777" w:rsidR="00C132D9" w:rsidRDefault="00C132D9" w:rsidP="00FD1106"/>
    <w:p w14:paraId="5BAEBFEC" w14:textId="77777777" w:rsidR="00F33764" w:rsidRDefault="00F33764" w:rsidP="00F33764">
      <w:pPr>
        <w:numPr>
          <w:ilvl w:val="0"/>
          <w:numId w:val="1"/>
        </w:numPr>
        <w:jc w:val="both"/>
      </w:pPr>
      <w:r>
        <w:t>»</w:t>
      </w:r>
      <w:r w:rsidRPr="008F4EFF">
        <w:t>kvadratni meter parcele</w:t>
      </w:r>
      <w:r>
        <w:t xml:space="preserve"> in kvadratni meter neto tlorisne površine</w:t>
      </w:r>
      <w:r w:rsidRPr="008F4EFF">
        <w:t xml:space="preserve"> objekta</w:t>
      </w:r>
      <w:r>
        <w:t xml:space="preserve"> za primarno in sekundarno omrežje skupaj, na območju naselij, ki so navedena v 4. členu tega odloka (</w:t>
      </w:r>
      <w:r w:rsidRPr="006707DB">
        <w:t>Cerklje na Gorenjskem, Cerkljanska Dobrava, Dvorje, Glinje, Grad, Lahovče, Poženik, Pšata, Pšenična Polica, Spodnji Brnik, Šmartno, Vašca, Vopovlje, Zalo</w:t>
      </w:r>
      <w:r>
        <w:t>g pri Cerkljah in Zgornji Brnik).</w:t>
      </w:r>
    </w:p>
    <w:p w14:paraId="5A05B074" w14:textId="77777777" w:rsidR="00F33764" w:rsidRDefault="00F33764" w:rsidP="00F3376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842"/>
        <w:gridCol w:w="1701"/>
      </w:tblGrid>
      <w:tr w:rsidR="00F33764" w:rsidRPr="00967C6C" w14:paraId="499E53C6" w14:textId="77777777" w:rsidTr="009040D4">
        <w:trPr>
          <w:trHeight w:val="300"/>
          <w:jc w:val="center"/>
        </w:trPr>
        <w:tc>
          <w:tcPr>
            <w:tcW w:w="5032" w:type="dxa"/>
            <w:vMerge w:val="restart"/>
          </w:tcPr>
          <w:p w14:paraId="274F2550" w14:textId="77777777" w:rsidR="00F33764" w:rsidRDefault="00F33764" w:rsidP="009040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Vrsta komunalne opreme – SEKUNDAR + PRIMAR</w:t>
            </w:r>
          </w:p>
          <w:p w14:paraId="2257395E" w14:textId="77777777" w:rsidR="00F33764" w:rsidRPr="00967C6C" w:rsidRDefault="00F33764" w:rsidP="009040D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Naselja (</w:t>
            </w:r>
            <w:r w:rsidRPr="006707DB">
              <w:rPr>
                <w:b/>
                <w:bCs/>
                <w:color w:val="000000"/>
                <w:sz w:val="22"/>
                <w:szCs w:val="22"/>
              </w:rPr>
              <w:t>Cerklje na Gorenjskem, Cerkljanska Dobrava, Dvorje, Glinje, Grad, Lahovče, Poženik, Pšata, Pšenična Polica, Spodnji Brnik, Šmartno, Vašca, Vopovlje, Zalo</w:t>
            </w:r>
            <w:r>
              <w:rPr>
                <w:b/>
                <w:bCs/>
                <w:color w:val="000000"/>
                <w:sz w:val="22"/>
                <w:szCs w:val="22"/>
              </w:rPr>
              <w:t>g pri Cerkljah in Zgornji Brnik)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74093AF" w14:textId="77777777" w:rsidR="00F33764" w:rsidRPr="00077CB1" w:rsidRDefault="00F33764" w:rsidP="009040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7CB1">
              <w:rPr>
                <w:bCs/>
                <w:color w:val="000000"/>
                <w:sz w:val="22"/>
                <w:szCs w:val="22"/>
              </w:rPr>
              <w:t>Cp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6E4D75" w14:textId="77777777" w:rsidR="00F33764" w:rsidRPr="00077CB1" w:rsidRDefault="00F33764" w:rsidP="009040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7CB1">
              <w:rPr>
                <w:bCs/>
                <w:color w:val="000000"/>
                <w:sz w:val="22"/>
                <w:szCs w:val="22"/>
              </w:rPr>
              <w:t>C</w:t>
            </w:r>
            <w:r>
              <w:rPr>
                <w:bCs/>
                <w:color w:val="000000"/>
                <w:sz w:val="22"/>
                <w:szCs w:val="22"/>
              </w:rPr>
              <w:t>t</w:t>
            </w:r>
          </w:p>
        </w:tc>
      </w:tr>
      <w:tr w:rsidR="00F33764" w:rsidRPr="00967C6C" w14:paraId="2AE85146" w14:textId="77777777" w:rsidTr="009040D4">
        <w:trPr>
          <w:trHeight w:val="300"/>
          <w:jc w:val="center"/>
        </w:trPr>
        <w:tc>
          <w:tcPr>
            <w:tcW w:w="5032" w:type="dxa"/>
            <w:vMerge/>
          </w:tcPr>
          <w:p w14:paraId="5A00BDB4" w14:textId="77777777" w:rsidR="00F33764" w:rsidRDefault="00F33764" w:rsidP="009040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7A7602" w14:textId="77777777" w:rsidR="00F33764" w:rsidRPr="00077CB1" w:rsidRDefault="00F33764" w:rsidP="009040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7CB1">
              <w:rPr>
                <w:bCs/>
                <w:color w:val="000000"/>
                <w:sz w:val="22"/>
                <w:szCs w:val="22"/>
              </w:rPr>
              <w:t>[€/m</w:t>
            </w:r>
            <w:r w:rsidRPr="00077CB1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077CB1">
              <w:rPr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0E1FD8" w14:textId="77777777" w:rsidR="00F33764" w:rsidRPr="00077CB1" w:rsidRDefault="00F33764" w:rsidP="009040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7CB1">
              <w:rPr>
                <w:bCs/>
                <w:color w:val="000000"/>
                <w:sz w:val="22"/>
                <w:szCs w:val="22"/>
              </w:rPr>
              <w:t>[€/m</w:t>
            </w:r>
            <w:r w:rsidRPr="00077CB1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077CB1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33764" w:rsidRPr="00631C72" w14:paraId="24A5CD30" w14:textId="77777777" w:rsidTr="009040D4">
        <w:trPr>
          <w:trHeight w:val="300"/>
          <w:jc w:val="center"/>
        </w:trPr>
        <w:tc>
          <w:tcPr>
            <w:tcW w:w="5032" w:type="dxa"/>
          </w:tcPr>
          <w:p w14:paraId="2D82BFED" w14:textId="77777777" w:rsidR="00F33764" w:rsidRPr="00DD650A" w:rsidRDefault="00F33764" w:rsidP="009040D4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Kanalizacija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C09A43E" w14:textId="6F95C73D" w:rsidR="00F33764" w:rsidRPr="00631C72" w:rsidRDefault="00040257" w:rsidP="009040D4">
            <w:pPr>
              <w:jc w:val="center"/>
              <w:rPr>
                <w:color w:val="000000"/>
                <w:sz w:val="20"/>
                <w:szCs w:val="20"/>
              </w:rPr>
            </w:pPr>
            <w:r w:rsidRPr="00631C72">
              <w:t>7</w:t>
            </w:r>
            <w:r w:rsidR="002D1F2C" w:rsidRPr="00631C72">
              <w:t>,</w:t>
            </w:r>
            <w:r w:rsidRPr="00631C72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EE9A64" w14:textId="640ADFA7" w:rsidR="00F33764" w:rsidRPr="00631C72" w:rsidRDefault="002D1F2C" w:rsidP="009040D4">
            <w:pPr>
              <w:jc w:val="center"/>
              <w:rPr>
                <w:color w:val="000000"/>
                <w:sz w:val="20"/>
                <w:szCs w:val="20"/>
              </w:rPr>
            </w:pPr>
            <w:r w:rsidRPr="00631C72">
              <w:t>1</w:t>
            </w:r>
            <w:r w:rsidR="00040257" w:rsidRPr="00631C72">
              <w:t>0</w:t>
            </w:r>
            <w:r w:rsidR="00F33764" w:rsidRPr="00631C72">
              <w:t>,</w:t>
            </w:r>
            <w:r w:rsidR="00040257" w:rsidRPr="00631C72">
              <w:t>45</w:t>
            </w:r>
          </w:p>
        </w:tc>
      </w:tr>
    </w:tbl>
    <w:p w14:paraId="07BD82A2" w14:textId="77777777" w:rsidR="00F33764" w:rsidRDefault="00F33764" w:rsidP="00DC661A">
      <w:pPr>
        <w:ind w:left="708"/>
        <w:jc w:val="both"/>
      </w:pPr>
      <w:r w:rsidRPr="00B87DBE">
        <w:t>Vse cene so brez DDV.</w:t>
      </w:r>
    </w:p>
    <w:p w14:paraId="0C492C50" w14:textId="77777777" w:rsidR="00F33764" w:rsidRPr="00B87DBE" w:rsidRDefault="00F33764" w:rsidP="00F33764">
      <w:pPr>
        <w:ind w:left="720"/>
        <w:jc w:val="both"/>
      </w:pPr>
    </w:p>
    <w:p w14:paraId="6E35BA06" w14:textId="77777777" w:rsidR="00F33764" w:rsidRPr="00DC661A" w:rsidRDefault="00F33764" w:rsidP="00F33764">
      <w:pPr>
        <w:numPr>
          <w:ilvl w:val="0"/>
          <w:numId w:val="1"/>
        </w:numPr>
        <w:jc w:val="both"/>
      </w:pPr>
      <w:r w:rsidRPr="00DC661A">
        <w:t>kvadratni meter parcele in kvadratni meter neto tlorisne površine objekta za primarno omrežje na območju poslovnih con Letališča.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842"/>
        <w:gridCol w:w="1701"/>
      </w:tblGrid>
      <w:tr w:rsidR="00F33764" w:rsidRPr="00DC661A" w14:paraId="0E137426" w14:textId="77777777" w:rsidTr="009040D4">
        <w:trPr>
          <w:trHeight w:val="300"/>
          <w:jc w:val="center"/>
        </w:trPr>
        <w:tc>
          <w:tcPr>
            <w:tcW w:w="5032" w:type="dxa"/>
            <w:vMerge w:val="restart"/>
          </w:tcPr>
          <w:p w14:paraId="1E2E6487" w14:textId="77777777" w:rsidR="00F33764" w:rsidRPr="00DC661A" w:rsidRDefault="00F33764" w:rsidP="009040D4">
            <w:pPr>
              <w:rPr>
                <w:color w:val="000000"/>
                <w:sz w:val="22"/>
                <w:szCs w:val="22"/>
              </w:rPr>
            </w:pPr>
            <w:r w:rsidRPr="00DC661A">
              <w:rPr>
                <w:color w:val="000000"/>
                <w:sz w:val="22"/>
                <w:szCs w:val="22"/>
              </w:rPr>
              <w:t>Vrsta komunalne opreme – PRIMAR</w:t>
            </w:r>
          </w:p>
          <w:p w14:paraId="74D35BB1" w14:textId="77777777" w:rsidR="00F33764" w:rsidRPr="00DC661A" w:rsidRDefault="00F33764" w:rsidP="009040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661A">
              <w:rPr>
                <w:b/>
                <w:bCs/>
                <w:color w:val="000000"/>
                <w:sz w:val="22"/>
                <w:szCs w:val="22"/>
              </w:rPr>
              <w:t>na območju poslovnih con Letališča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B718E88" w14:textId="77777777" w:rsidR="00F33764" w:rsidRPr="00DC661A" w:rsidRDefault="00F33764" w:rsidP="009040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C661A">
              <w:rPr>
                <w:bCs/>
                <w:color w:val="000000"/>
                <w:sz w:val="22"/>
                <w:szCs w:val="22"/>
              </w:rPr>
              <w:t>Cp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75F3B5" w14:textId="77777777" w:rsidR="00F33764" w:rsidRPr="00DC661A" w:rsidRDefault="00F33764" w:rsidP="009040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C661A">
              <w:rPr>
                <w:bCs/>
                <w:color w:val="000000"/>
                <w:sz w:val="22"/>
                <w:szCs w:val="22"/>
              </w:rPr>
              <w:t>Ct</w:t>
            </w:r>
          </w:p>
        </w:tc>
      </w:tr>
      <w:tr w:rsidR="00F33764" w:rsidRPr="00DC661A" w14:paraId="4F9850DD" w14:textId="77777777" w:rsidTr="009040D4">
        <w:trPr>
          <w:trHeight w:val="300"/>
          <w:jc w:val="center"/>
        </w:trPr>
        <w:tc>
          <w:tcPr>
            <w:tcW w:w="5032" w:type="dxa"/>
            <w:vMerge/>
          </w:tcPr>
          <w:p w14:paraId="1B5B7FFE" w14:textId="77777777" w:rsidR="00F33764" w:rsidRPr="00DC661A" w:rsidRDefault="00F33764" w:rsidP="009040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49F0DE" w14:textId="77777777" w:rsidR="00F33764" w:rsidRPr="00DC661A" w:rsidRDefault="00F33764" w:rsidP="009040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C661A">
              <w:rPr>
                <w:bCs/>
                <w:color w:val="000000"/>
                <w:sz w:val="22"/>
                <w:szCs w:val="22"/>
              </w:rPr>
              <w:t>[€/m</w:t>
            </w:r>
            <w:r w:rsidRPr="00DC661A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DC661A">
              <w:rPr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AA33F6" w14:textId="77777777" w:rsidR="00F33764" w:rsidRPr="00DC661A" w:rsidRDefault="00F33764" w:rsidP="009040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C661A">
              <w:rPr>
                <w:bCs/>
                <w:color w:val="000000"/>
                <w:sz w:val="22"/>
                <w:szCs w:val="22"/>
              </w:rPr>
              <w:t>[€/m</w:t>
            </w:r>
            <w:r w:rsidRPr="00DC661A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DC661A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F33764" w:rsidRPr="00DC661A" w14:paraId="2837E5ED" w14:textId="77777777" w:rsidTr="009040D4">
        <w:trPr>
          <w:trHeight w:val="300"/>
          <w:jc w:val="center"/>
        </w:trPr>
        <w:tc>
          <w:tcPr>
            <w:tcW w:w="5032" w:type="dxa"/>
          </w:tcPr>
          <w:p w14:paraId="216308BA" w14:textId="77777777" w:rsidR="00F33764" w:rsidRPr="00DC661A" w:rsidRDefault="00F33764" w:rsidP="009040D4">
            <w:pPr>
              <w:rPr>
                <w:bCs/>
                <w:sz w:val="20"/>
                <w:szCs w:val="20"/>
              </w:rPr>
            </w:pPr>
            <w:r w:rsidRPr="00DC661A">
              <w:rPr>
                <w:color w:val="000000"/>
                <w:sz w:val="22"/>
                <w:szCs w:val="22"/>
              </w:rPr>
              <w:t>Kanalizacija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528442" w14:textId="1032F32C" w:rsidR="00F33764" w:rsidRPr="00631C72" w:rsidRDefault="00040257" w:rsidP="009040D4">
            <w:pPr>
              <w:jc w:val="center"/>
              <w:rPr>
                <w:color w:val="000000"/>
                <w:sz w:val="20"/>
                <w:szCs w:val="20"/>
              </w:rPr>
            </w:pPr>
            <w:r w:rsidRPr="00631C72">
              <w:t>4,92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A8DD20" w14:textId="0DA788DF" w:rsidR="00F33764" w:rsidRPr="00631C72" w:rsidRDefault="00040257">
            <w:pPr>
              <w:jc w:val="center"/>
              <w:rPr>
                <w:color w:val="000000"/>
                <w:sz w:val="20"/>
                <w:szCs w:val="20"/>
              </w:rPr>
            </w:pPr>
            <w:r w:rsidRPr="00631C72">
              <w:t>7,33</w:t>
            </w:r>
          </w:p>
        </w:tc>
      </w:tr>
    </w:tbl>
    <w:p w14:paraId="037C6BA6" w14:textId="77777777" w:rsidR="00F33764" w:rsidRDefault="00DC661A" w:rsidP="00FD1106">
      <w:r>
        <w:t xml:space="preserve">            </w:t>
      </w:r>
      <w:r w:rsidR="00F33764" w:rsidRPr="00DC661A">
        <w:t>Vse cene so brez DDV.«</w:t>
      </w:r>
    </w:p>
    <w:p w14:paraId="79AB24CE" w14:textId="77777777" w:rsidR="00E51236" w:rsidRDefault="00E51236" w:rsidP="00FD1106"/>
    <w:p w14:paraId="75ADD1D4" w14:textId="77777777" w:rsidR="004C4033" w:rsidRDefault="004C4033" w:rsidP="00FD1106"/>
    <w:p w14:paraId="774E439F" w14:textId="5D74A471" w:rsidR="004C4033" w:rsidRDefault="004C4033" w:rsidP="004C4033">
      <w:pPr>
        <w:jc w:val="center"/>
      </w:pPr>
      <w:r>
        <w:t>5. člen</w:t>
      </w:r>
    </w:p>
    <w:p w14:paraId="10853070" w14:textId="77777777" w:rsidR="004C4033" w:rsidRDefault="004C4033" w:rsidP="004C4033"/>
    <w:p w14:paraId="609FEDF6" w14:textId="62A52AB9" w:rsidR="004C4033" w:rsidRDefault="004C4033" w:rsidP="004C4033">
      <w:r>
        <w:t>V prilogi 1</w:t>
      </w:r>
      <w:r w:rsidR="005D2FB2">
        <w:t xml:space="preserve"> (navedena v drugi alineji 12. člena odloka), se v tabeli 1  faktorji</w:t>
      </w:r>
      <w:r>
        <w:t xml:space="preserve"> dejavnosti (</w:t>
      </w:r>
      <w:r w:rsidRPr="003F7182">
        <w:rPr>
          <w:bCs/>
          <w:color w:val="000000"/>
        </w:rPr>
        <w:t>K</w:t>
      </w:r>
      <w:r w:rsidRPr="003F7182">
        <w:rPr>
          <w:bCs/>
          <w:color w:val="000000"/>
          <w:vertAlign w:val="subscript"/>
        </w:rPr>
        <w:t>dejavnost</w:t>
      </w:r>
      <w:r>
        <w:t>) sledečih objektov, spremeni na:</w:t>
      </w:r>
    </w:p>
    <w:p w14:paraId="424DE680" w14:textId="77777777" w:rsidR="00F94770" w:rsidRDefault="00F94770" w:rsidP="004C4033"/>
    <w:tbl>
      <w:tblPr>
        <w:tblW w:w="90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6415"/>
        <w:gridCol w:w="1275"/>
      </w:tblGrid>
      <w:tr w:rsidR="004C4033" w:rsidRPr="00256DE2" w14:paraId="044013B8" w14:textId="77777777" w:rsidTr="003F7182">
        <w:trPr>
          <w:trHeight w:val="290"/>
          <w:tblHeader/>
        </w:trPr>
        <w:tc>
          <w:tcPr>
            <w:tcW w:w="1337" w:type="dxa"/>
            <w:shd w:val="clear" w:color="auto" w:fill="auto"/>
          </w:tcPr>
          <w:p w14:paraId="7278D5D3" w14:textId="77777777" w:rsidR="004C4033" w:rsidRPr="00256DE2" w:rsidRDefault="004C4033" w:rsidP="003F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6DE2">
              <w:rPr>
                <w:b/>
                <w:bCs/>
                <w:color w:val="000000"/>
                <w:sz w:val="20"/>
                <w:szCs w:val="20"/>
              </w:rPr>
              <w:t>Klasifik. št.</w:t>
            </w:r>
          </w:p>
        </w:tc>
        <w:tc>
          <w:tcPr>
            <w:tcW w:w="6415" w:type="dxa"/>
            <w:shd w:val="clear" w:color="auto" w:fill="auto"/>
          </w:tcPr>
          <w:p w14:paraId="20AFE93B" w14:textId="77777777" w:rsidR="004C4033" w:rsidRPr="00256DE2" w:rsidRDefault="004C4033" w:rsidP="003F71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56DE2">
              <w:rPr>
                <w:b/>
                <w:bCs/>
                <w:color w:val="000000"/>
                <w:sz w:val="20"/>
                <w:szCs w:val="20"/>
              </w:rPr>
              <w:t>Klasifikacija</w:t>
            </w:r>
          </w:p>
        </w:tc>
        <w:tc>
          <w:tcPr>
            <w:tcW w:w="1275" w:type="dxa"/>
            <w:shd w:val="clear" w:color="auto" w:fill="auto"/>
          </w:tcPr>
          <w:p w14:paraId="17932D5D" w14:textId="77777777" w:rsidR="004C4033" w:rsidRPr="00256DE2" w:rsidRDefault="004C4033" w:rsidP="003F718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</w:t>
            </w:r>
            <w:r w:rsidRPr="00AA44BE">
              <w:rPr>
                <w:b/>
                <w:bCs/>
                <w:color w:val="000000"/>
                <w:sz w:val="20"/>
                <w:szCs w:val="20"/>
                <w:vertAlign w:val="subscript"/>
              </w:rPr>
              <w:t>dejavnost</w:t>
            </w:r>
          </w:p>
        </w:tc>
      </w:tr>
      <w:tr w:rsidR="004C4033" w:rsidRPr="00256DE2" w14:paraId="639788E4" w14:textId="77777777" w:rsidTr="003F7182">
        <w:trPr>
          <w:trHeight w:val="290"/>
        </w:trPr>
        <w:tc>
          <w:tcPr>
            <w:tcW w:w="1337" w:type="dxa"/>
            <w:shd w:val="clear" w:color="auto" w:fill="auto"/>
          </w:tcPr>
          <w:p w14:paraId="29411F89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12510</w:t>
            </w:r>
          </w:p>
        </w:tc>
        <w:tc>
          <w:tcPr>
            <w:tcW w:w="6415" w:type="dxa"/>
            <w:shd w:val="clear" w:color="auto" w:fill="auto"/>
          </w:tcPr>
          <w:p w14:paraId="42638C42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Industrijske stavbe (proizvodnja dejavnost, industrija)</w:t>
            </w:r>
          </w:p>
        </w:tc>
        <w:tc>
          <w:tcPr>
            <w:tcW w:w="1275" w:type="dxa"/>
            <w:shd w:val="clear" w:color="auto" w:fill="auto"/>
          </w:tcPr>
          <w:p w14:paraId="00089061" w14:textId="77777777" w:rsidR="004C4033" w:rsidRPr="00855BFD" w:rsidRDefault="004C4033" w:rsidP="003F7182">
            <w:pPr>
              <w:spacing w:before="100" w:beforeAutospacing="1" w:after="100" w:afterAutospacing="1"/>
              <w:jc w:val="right"/>
            </w:pPr>
            <w:r w:rsidRPr="00855BFD">
              <w:rPr>
                <w:sz w:val="20"/>
                <w:szCs w:val="20"/>
              </w:rPr>
              <w:t>0,7</w:t>
            </w:r>
          </w:p>
        </w:tc>
      </w:tr>
      <w:tr w:rsidR="004C4033" w:rsidRPr="00256DE2" w14:paraId="17103163" w14:textId="77777777" w:rsidTr="003F7182">
        <w:trPr>
          <w:trHeight w:val="290"/>
        </w:trPr>
        <w:tc>
          <w:tcPr>
            <w:tcW w:w="1337" w:type="dxa"/>
            <w:shd w:val="clear" w:color="auto" w:fill="auto"/>
          </w:tcPr>
          <w:p w14:paraId="476B80C0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12520</w:t>
            </w:r>
          </w:p>
        </w:tc>
        <w:tc>
          <w:tcPr>
            <w:tcW w:w="6415" w:type="dxa"/>
            <w:shd w:val="clear" w:color="auto" w:fill="auto"/>
          </w:tcPr>
          <w:p w14:paraId="023718C6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Rezervoarji, silosi in skladišča</w:t>
            </w:r>
          </w:p>
        </w:tc>
        <w:tc>
          <w:tcPr>
            <w:tcW w:w="1275" w:type="dxa"/>
            <w:shd w:val="clear" w:color="auto" w:fill="auto"/>
          </w:tcPr>
          <w:p w14:paraId="16BE214C" w14:textId="77777777" w:rsidR="004C4033" w:rsidRPr="00855BFD" w:rsidRDefault="004C4033" w:rsidP="003F7182">
            <w:pPr>
              <w:spacing w:before="100" w:beforeAutospacing="1" w:after="100" w:afterAutospacing="1"/>
              <w:jc w:val="right"/>
            </w:pPr>
            <w:r w:rsidRPr="00855BFD">
              <w:rPr>
                <w:sz w:val="20"/>
                <w:szCs w:val="20"/>
              </w:rPr>
              <w:t>0,7</w:t>
            </w:r>
          </w:p>
        </w:tc>
      </w:tr>
      <w:tr w:rsidR="004C4033" w:rsidRPr="00256DE2" w14:paraId="5F6F509A" w14:textId="77777777" w:rsidTr="003F7182">
        <w:trPr>
          <w:trHeight w:val="290"/>
        </w:trPr>
        <w:tc>
          <w:tcPr>
            <w:tcW w:w="1337" w:type="dxa"/>
            <w:shd w:val="clear" w:color="auto" w:fill="auto"/>
          </w:tcPr>
          <w:p w14:paraId="4A052C12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12610</w:t>
            </w:r>
          </w:p>
        </w:tc>
        <w:tc>
          <w:tcPr>
            <w:tcW w:w="6415" w:type="dxa"/>
            <w:shd w:val="clear" w:color="auto" w:fill="auto"/>
          </w:tcPr>
          <w:p w14:paraId="43789710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Stavbe za kulturo in razvedrilo</w:t>
            </w:r>
          </w:p>
        </w:tc>
        <w:tc>
          <w:tcPr>
            <w:tcW w:w="1275" w:type="dxa"/>
            <w:shd w:val="clear" w:color="auto" w:fill="auto"/>
          </w:tcPr>
          <w:p w14:paraId="04482991" w14:textId="77777777" w:rsidR="004C4033" w:rsidRPr="00855BFD" w:rsidRDefault="004C4033" w:rsidP="003F7182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855BFD">
              <w:rPr>
                <w:sz w:val="20"/>
                <w:szCs w:val="20"/>
              </w:rPr>
              <w:t>0,7</w:t>
            </w:r>
          </w:p>
        </w:tc>
      </w:tr>
      <w:tr w:rsidR="004C4033" w:rsidRPr="00256DE2" w14:paraId="13AF47FF" w14:textId="77777777" w:rsidTr="003F7182">
        <w:trPr>
          <w:trHeight w:val="290"/>
        </w:trPr>
        <w:tc>
          <w:tcPr>
            <w:tcW w:w="1337" w:type="dxa"/>
            <w:shd w:val="clear" w:color="auto" w:fill="auto"/>
          </w:tcPr>
          <w:p w14:paraId="4C74153D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12620</w:t>
            </w:r>
          </w:p>
        </w:tc>
        <w:tc>
          <w:tcPr>
            <w:tcW w:w="6415" w:type="dxa"/>
            <w:shd w:val="clear" w:color="auto" w:fill="auto"/>
          </w:tcPr>
          <w:p w14:paraId="1C5F9137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Muzeji in knjižnice</w:t>
            </w:r>
          </w:p>
        </w:tc>
        <w:tc>
          <w:tcPr>
            <w:tcW w:w="1275" w:type="dxa"/>
            <w:shd w:val="clear" w:color="auto" w:fill="auto"/>
          </w:tcPr>
          <w:p w14:paraId="1952AC78" w14:textId="77777777" w:rsidR="004C4033" w:rsidRPr="00855BFD" w:rsidRDefault="004C4033" w:rsidP="003F7182">
            <w:pPr>
              <w:spacing w:before="100" w:beforeAutospacing="1" w:after="100" w:afterAutospacing="1"/>
              <w:jc w:val="right"/>
            </w:pPr>
            <w:r w:rsidRPr="00855BFD">
              <w:rPr>
                <w:sz w:val="20"/>
                <w:szCs w:val="20"/>
              </w:rPr>
              <w:t>0,7</w:t>
            </w:r>
          </w:p>
        </w:tc>
      </w:tr>
      <w:tr w:rsidR="004C4033" w:rsidRPr="00256DE2" w14:paraId="466F72D3" w14:textId="77777777" w:rsidTr="003F7182">
        <w:trPr>
          <w:trHeight w:val="290"/>
        </w:trPr>
        <w:tc>
          <w:tcPr>
            <w:tcW w:w="1337" w:type="dxa"/>
            <w:shd w:val="clear" w:color="auto" w:fill="auto"/>
          </w:tcPr>
          <w:p w14:paraId="4669B14B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12630</w:t>
            </w:r>
          </w:p>
        </w:tc>
        <w:tc>
          <w:tcPr>
            <w:tcW w:w="6415" w:type="dxa"/>
            <w:shd w:val="clear" w:color="auto" w:fill="auto"/>
          </w:tcPr>
          <w:p w14:paraId="5FC351CD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Stavbe za izobraževanje in znanstvenoraziskovalno delo</w:t>
            </w:r>
          </w:p>
        </w:tc>
        <w:tc>
          <w:tcPr>
            <w:tcW w:w="1275" w:type="dxa"/>
            <w:shd w:val="clear" w:color="auto" w:fill="auto"/>
          </w:tcPr>
          <w:p w14:paraId="63261138" w14:textId="77777777" w:rsidR="004C4033" w:rsidRPr="00855BFD" w:rsidRDefault="004C4033" w:rsidP="003F7182">
            <w:pPr>
              <w:spacing w:before="100" w:beforeAutospacing="1" w:after="100" w:afterAutospacing="1"/>
              <w:jc w:val="right"/>
            </w:pPr>
            <w:r w:rsidRPr="00855BFD">
              <w:rPr>
                <w:sz w:val="20"/>
                <w:szCs w:val="20"/>
              </w:rPr>
              <w:t>0,7</w:t>
            </w:r>
          </w:p>
        </w:tc>
      </w:tr>
      <w:tr w:rsidR="004C4033" w:rsidRPr="00256DE2" w14:paraId="7EE088B4" w14:textId="77777777" w:rsidTr="003F7182">
        <w:trPr>
          <w:trHeight w:val="290"/>
        </w:trPr>
        <w:tc>
          <w:tcPr>
            <w:tcW w:w="1337" w:type="dxa"/>
            <w:shd w:val="clear" w:color="auto" w:fill="auto"/>
          </w:tcPr>
          <w:p w14:paraId="3C94EE8E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12640</w:t>
            </w:r>
          </w:p>
        </w:tc>
        <w:tc>
          <w:tcPr>
            <w:tcW w:w="6415" w:type="dxa"/>
            <w:shd w:val="clear" w:color="auto" w:fill="auto"/>
          </w:tcPr>
          <w:p w14:paraId="389098A0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Stavbe za zdravstvo</w:t>
            </w:r>
          </w:p>
        </w:tc>
        <w:tc>
          <w:tcPr>
            <w:tcW w:w="1275" w:type="dxa"/>
            <w:shd w:val="clear" w:color="auto" w:fill="auto"/>
          </w:tcPr>
          <w:p w14:paraId="1E3C0034" w14:textId="77777777" w:rsidR="004C4033" w:rsidRPr="00855BFD" w:rsidRDefault="004C4033" w:rsidP="003F7182">
            <w:pPr>
              <w:spacing w:before="100" w:beforeAutospacing="1" w:after="100" w:afterAutospacing="1"/>
              <w:jc w:val="right"/>
            </w:pPr>
            <w:r w:rsidRPr="00855BFD">
              <w:rPr>
                <w:sz w:val="20"/>
                <w:szCs w:val="20"/>
              </w:rPr>
              <w:t>0,7</w:t>
            </w:r>
          </w:p>
        </w:tc>
      </w:tr>
      <w:tr w:rsidR="004C4033" w:rsidRPr="00256DE2" w14:paraId="65E7645C" w14:textId="77777777" w:rsidTr="003F7182">
        <w:trPr>
          <w:trHeight w:val="290"/>
        </w:trPr>
        <w:tc>
          <w:tcPr>
            <w:tcW w:w="1337" w:type="dxa"/>
            <w:shd w:val="clear" w:color="auto" w:fill="auto"/>
          </w:tcPr>
          <w:p w14:paraId="06E95BFA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12650</w:t>
            </w:r>
          </w:p>
        </w:tc>
        <w:tc>
          <w:tcPr>
            <w:tcW w:w="6415" w:type="dxa"/>
            <w:shd w:val="clear" w:color="auto" w:fill="auto"/>
          </w:tcPr>
          <w:p w14:paraId="417A3F97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Športne dvorane</w:t>
            </w:r>
          </w:p>
        </w:tc>
        <w:tc>
          <w:tcPr>
            <w:tcW w:w="1275" w:type="dxa"/>
            <w:shd w:val="clear" w:color="auto" w:fill="auto"/>
          </w:tcPr>
          <w:p w14:paraId="09E65F6C" w14:textId="77777777" w:rsidR="004C4033" w:rsidRPr="00855BFD" w:rsidRDefault="004C4033" w:rsidP="003F7182">
            <w:pPr>
              <w:spacing w:before="100" w:beforeAutospacing="1" w:after="100" w:afterAutospacing="1"/>
              <w:jc w:val="right"/>
            </w:pPr>
            <w:r w:rsidRPr="00855BFD">
              <w:rPr>
                <w:sz w:val="20"/>
                <w:szCs w:val="20"/>
              </w:rPr>
              <w:t>0,7</w:t>
            </w:r>
          </w:p>
        </w:tc>
      </w:tr>
      <w:tr w:rsidR="004C4033" w:rsidRPr="00256DE2" w14:paraId="169E4D84" w14:textId="77777777" w:rsidTr="003F7182">
        <w:trPr>
          <w:trHeight w:val="290"/>
        </w:trPr>
        <w:tc>
          <w:tcPr>
            <w:tcW w:w="1337" w:type="dxa"/>
            <w:shd w:val="clear" w:color="auto" w:fill="auto"/>
          </w:tcPr>
          <w:p w14:paraId="79020B1D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12740</w:t>
            </w:r>
          </w:p>
        </w:tc>
        <w:tc>
          <w:tcPr>
            <w:tcW w:w="6415" w:type="dxa"/>
            <w:shd w:val="clear" w:color="auto" w:fill="auto"/>
          </w:tcPr>
          <w:p w14:paraId="5E7154BD" w14:textId="77777777" w:rsidR="004C4033" w:rsidRPr="00855BFD" w:rsidRDefault="004C4033" w:rsidP="003F71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55BFD">
              <w:rPr>
                <w:color w:val="000000"/>
                <w:sz w:val="20"/>
                <w:szCs w:val="20"/>
              </w:rPr>
              <w:t>Druge nestanovanjske stavbe, ki niso uvrščene drugje</w:t>
            </w:r>
          </w:p>
        </w:tc>
        <w:tc>
          <w:tcPr>
            <w:tcW w:w="1275" w:type="dxa"/>
            <w:shd w:val="clear" w:color="auto" w:fill="auto"/>
          </w:tcPr>
          <w:p w14:paraId="3CCCC495" w14:textId="77777777" w:rsidR="004C4033" w:rsidRPr="00855BFD" w:rsidRDefault="004C4033" w:rsidP="003F7182">
            <w:pPr>
              <w:spacing w:before="100" w:beforeAutospacing="1" w:after="100" w:afterAutospacing="1"/>
              <w:jc w:val="right"/>
            </w:pPr>
            <w:r w:rsidRPr="00855BFD">
              <w:rPr>
                <w:sz w:val="20"/>
                <w:szCs w:val="20"/>
              </w:rPr>
              <w:t>0,7</w:t>
            </w:r>
          </w:p>
        </w:tc>
      </w:tr>
    </w:tbl>
    <w:p w14:paraId="67670C43" w14:textId="77777777" w:rsidR="004C4033" w:rsidRDefault="004C4033" w:rsidP="00FD1106"/>
    <w:p w14:paraId="2447E877" w14:textId="77777777" w:rsidR="004C4033" w:rsidRDefault="004C4033" w:rsidP="00FD1106"/>
    <w:p w14:paraId="35AFF6C9" w14:textId="6F3A9B17" w:rsidR="00FD1106" w:rsidRDefault="004C4033" w:rsidP="00FD1106">
      <w:pPr>
        <w:jc w:val="center"/>
      </w:pPr>
      <w:r>
        <w:t>6</w:t>
      </w:r>
      <w:r w:rsidR="00FD1106">
        <w:t>. člen</w:t>
      </w:r>
    </w:p>
    <w:p w14:paraId="3A9B51EA" w14:textId="77777777" w:rsidR="002633DD" w:rsidRDefault="002633DD">
      <w:pPr>
        <w:jc w:val="both"/>
      </w:pPr>
    </w:p>
    <w:p w14:paraId="73A25020" w14:textId="0E3A1D1B" w:rsidR="002633DD" w:rsidRDefault="000058A9">
      <w:pPr>
        <w:jc w:val="both"/>
      </w:pPr>
      <w:r>
        <w:t xml:space="preserve">V 16. členu se za </w:t>
      </w:r>
      <w:r w:rsidR="008012B8">
        <w:t>četrtim odstavkom</w:t>
      </w:r>
      <w:r>
        <w:t xml:space="preserve"> doda</w:t>
      </w:r>
      <w:r w:rsidR="00C00BE4">
        <w:t xml:space="preserve"> nov</w:t>
      </w:r>
      <w:r w:rsidR="008012B8">
        <w:t xml:space="preserve"> peti</w:t>
      </w:r>
      <w:r>
        <w:t xml:space="preserve"> odstavek:</w:t>
      </w:r>
    </w:p>
    <w:p w14:paraId="00D8333A" w14:textId="77777777" w:rsidR="00C132D9" w:rsidRDefault="00C132D9">
      <w:pPr>
        <w:jc w:val="both"/>
      </w:pPr>
    </w:p>
    <w:p w14:paraId="34E8DED3" w14:textId="567302E3" w:rsidR="000058A9" w:rsidRDefault="000058A9">
      <w:pPr>
        <w:jc w:val="both"/>
      </w:pPr>
      <w:r>
        <w:t>»(</w:t>
      </w:r>
      <w:r w:rsidR="008012B8">
        <w:t>5</w:t>
      </w:r>
      <w:r>
        <w:t>) Zavezanec po prejemu odločbe o plačilu komunalnega prispevka</w:t>
      </w:r>
      <w:r w:rsidR="00566E8F">
        <w:t xml:space="preserve">, </w:t>
      </w:r>
      <w:r w:rsidR="002177AD">
        <w:t xml:space="preserve">najkasneje </w:t>
      </w:r>
      <w:r w:rsidR="00566E8F">
        <w:t>v 30. dneh</w:t>
      </w:r>
      <w:r w:rsidR="002177AD">
        <w:t xml:space="preserve"> po prejemu odločbe</w:t>
      </w:r>
      <w:r w:rsidR="00566E8F">
        <w:t xml:space="preserve">, </w:t>
      </w:r>
      <w:r w:rsidR="006322B1">
        <w:t>o</w:t>
      </w:r>
      <w:r w:rsidR="00C00BE4">
        <w:t xml:space="preserve">bčini </w:t>
      </w:r>
      <w:r w:rsidR="00566E8F">
        <w:t>posreduje kopijo gradbene</w:t>
      </w:r>
      <w:r w:rsidR="002177AD">
        <w:t xml:space="preserve">ga dovoljenja, razen za objekte, ki so </w:t>
      </w:r>
      <w:r w:rsidR="002177AD">
        <w:lastRenderedPageBreak/>
        <w:t>bili zgrajeni pred 31. decembrom 1967 ali katerega koli drugega upravičenega razloga po veljavnem zakonu o graditvi objektov.</w:t>
      </w:r>
      <w:r w:rsidR="00C331F3">
        <w:t>«</w:t>
      </w:r>
    </w:p>
    <w:p w14:paraId="0131E34F" w14:textId="77777777" w:rsidR="00C132D9" w:rsidRDefault="00C132D9">
      <w:pPr>
        <w:jc w:val="both"/>
      </w:pPr>
    </w:p>
    <w:p w14:paraId="71E9F9C1" w14:textId="734483AC" w:rsidR="00C132D9" w:rsidRDefault="00C331F3">
      <w:pPr>
        <w:jc w:val="both"/>
      </w:pPr>
      <w:r>
        <w:t>Prejšnji peti od</w:t>
      </w:r>
      <w:r w:rsidR="001365C7">
        <w:t>stavek postane šesti odstavek, njegovo besedilo se spremeni tako, da se glasi:</w:t>
      </w:r>
    </w:p>
    <w:p w14:paraId="0C5C781A" w14:textId="77777777" w:rsidR="001365C7" w:rsidRDefault="001365C7">
      <w:pPr>
        <w:jc w:val="both"/>
      </w:pPr>
    </w:p>
    <w:p w14:paraId="5C6618BE" w14:textId="527831BF" w:rsidR="008012B8" w:rsidRDefault="001365C7">
      <w:pPr>
        <w:jc w:val="both"/>
      </w:pPr>
      <w:r>
        <w:t xml:space="preserve"> </w:t>
      </w:r>
      <w:r w:rsidR="006322B1">
        <w:t xml:space="preserve">»(6) </w:t>
      </w:r>
      <w:r w:rsidR="008012B8" w:rsidRPr="008012B8">
        <w:t>Po</w:t>
      </w:r>
      <w:r>
        <w:t xml:space="preserve"> plačilu komunalnega prispevka ali po</w:t>
      </w:r>
      <w:r w:rsidR="008012B8" w:rsidRPr="008012B8">
        <w:t xml:space="preserve"> sklenitvi pogodbe o obročnem plačilu komunalnega prispevka in plačilu 1. </w:t>
      </w:r>
      <w:r w:rsidR="00B36434">
        <w:t>o</w:t>
      </w:r>
      <w:r w:rsidR="008012B8" w:rsidRPr="008012B8">
        <w:t>broka</w:t>
      </w:r>
      <w:r w:rsidR="008012B8">
        <w:t xml:space="preserve"> ter izpolnitvi pogoja iz prejšnjega odstavka</w:t>
      </w:r>
      <w:r w:rsidR="00B36434">
        <w:t xml:space="preserve"> tega člena,</w:t>
      </w:r>
      <w:r w:rsidR="008012B8">
        <w:t xml:space="preserve"> </w:t>
      </w:r>
      <w:r w:rsidR="008012B8" w:rsidRPr="008012B8">
        <w:t>občina izda izvajalcu javne gospodarske službe Komunala Kranj, javno podjetje, d.o.o., potrdilo, da zavezanec izpolnjuje pogoje glede plačila komunalnega prispevka do občine Cerklje na Gorenjskem.</w:t>
      </w:r>
      <w:r w:rsidR="006322B1">
        <w:t>«</w:t>
      </w:r>
    </w:p>
    <w:p w14:paraId="29BE33DB" w14:textId="77777777" w:rsidR="00C132D9" w:rsidRDefault="00C132D9">
      <w:pPr>
        <w:jc w:val="both"/>
      </w:pPr>
    </w:p>
    <w:p w14:paraId="6D8A6380" w14:textId="77777777" w:rsidR="00D10E1D" w:rsidRDefault="00D10E1D" w:rsidP="00D10E1D"/>
    <w:p w14:paraId="5936B716" w14:textId="3B0DED1B" w:rsidR="00B36434" w:rsidRDefault="004C4033" w:rsidP="00C331F3">
      <w:pPr>
        <w:jc w:val="center"/>
      </w:pPr>
      <w:r>
        <w:t>7</w:t>
      </w:r>
      <w:r w:rsidR="00B36434">
        <w:t>. člen</w:t>
      </w:r>
    </w:p>
    <w:p w14:paraId="231A9C7D" w14:textId="77777777" w:rsidR="00B36434" w:rsidRDefault="00B36434" w:rsidP="006C3637">
      <w:pPr>
        <w:jc w:val="both"/>
      </w:pPr>
    </w:p>
    <w:p w14:paraId="4EF2248D" w14:textId="0E8AF9D4" w:rsidR="00B36434" w:rsidRDefault="00B36434" w:rsidP="006C3637">
      <w:pPr>
        <w:jc w:val="both"/>
      </w:pPr>
      <w:r>
        <w:t xml:space="preserve">V poglavje </w:t>
      </w:r>
      <w:r w:rsidR="00B967E5">
        <w:t>I</w:t>
      </w:r>
      <w:r>
        <w:t xml:space="preserve">X. PREHODNE IN KONČNE DOLOČBE, se doda nov 20. </w:t>
      </w:r>
      <w:r w:rsidR="00113910">
        <w:t>č</w:t>
      </w:r>
      <w:r>
        <w:t>len:</w:t>
      </w:r>
    </w:p>
    <w:p w14:paraId="3A711774" w14:textId="77777777" w:rsidR="00B36434" w:rsidRDefault="00B36434" w:rsidP="006C3637">
      <w:pPr>
        <w:jc w:val="both"/>
      </w:pPr>
    </w:p>
    <w:p w14:paraId="1F9D9C01" w14:textId="2D9C6C40" w:rsidR="00433F1A" w:rsidRDefault="00113910" w:rsidP="00113910">
      <w:pPr>
        <w:jc w:val="both"/>
      </w:pPr>
      <w:r>
        <w:t>»</w:t>
      </w:r>
      <w:r w:rsidR="00957AC0">
        <w:t xml:space="preserve">(1) </w:t>
      </w:r>
      <w:r w:rsidR="00B36434">
        <w:t xml:space="preserve">Z izdajo odločb o odmeri komunalnega prispevka na podlagi </w:t>
      </w:r>
      <w:r w:rsidR="00433F1A">
        <w:t xml:space="preserve">tega Odloka o </w:t>
      </w:r>
      <w:r w:rsidR="00433F1A" w:rsidRPr="00433F1A">
        <w:t>spremembah in dopolnitvah programa opremljanja stavbnih zemljišč in merilih za odmero komunalnega prispevka za kanalizacijo komunalnih odpadnih vod, ki je bila zgrajena v obdobju 2008-2013 in bo zgrajena v obdobju 2014-2015 v občini Cerklje na Gorenjskem</w:t>
      </w:r>
      <w:r w:rsidR="00433F1A">
        <w:t>, prenehajo veljati odločbe o odmeri komu</w:t>
      </w:r>
      <w:r w:rsidR="001365C7">
        <w:t>nalnega prispevka,</w:t>
      </w:r>
      <w:r w:rsidR="00433F1A">
        <w:t xml:space="preserve"> izdane na prejšnji</w:t>
      </w:r>
      <w:r w:rsidR="001365C7">
        <w:t xml:space="preserve"> pravni</w:t>
      </w:r>
      <w:r w:rsidR="00433F1A">
        <w:t xml:space="preserve"> podlagi</w:t>
      </w:r>
      <w:r w:rsidR="001365C7">
        <w:t>, to je na podlagi doslej veljavnega</w:t>
      </w:r>
      <w:r w:rsidR="00433F1A">
        <w:t xml:space="preserve"> Odloka o programu</w:t>
      </w:r>
      <w:r w:rsidR="00433F1A" w:rsidRPr="00433F1A">
        <w:t xml:space="preserve"> opremljanja stavbnih zemljišč in merilih za odmero komunalnega prispevka za kanalizacijo komunalnih odpadnih vod, ki je bila zgrajena v obdobju 2008-2013 in bo zgrajena v obdobju 2014-2015 v občini Cerklje na Gorenjskem</w:t>
      </w:r>
      <w:r w:rsidR="009B3010">
        <w:t xml:space="preserve"> </w:t>
      </w:r>
      <w:r w:rsidR="00433F1A">
        <w:t>(Uradni vestnik občine Cerklje na  Gorenjskem št. 1/14, 2/15 in 3/15)</w:t>
      </w:r>
      <w:r w:rsidR="00957AC0">
        <w:t xml:space="preserve"> kar se v odločbi izrecno navede</w:t>
      </w:r>
      <w:r w:rsidR="00433F1A">
        <w:t>.</w:t>
      </w:r>
      <w:r>
        <w:t>«</w:t>
      </w:r>
    </w:p>
    <w:p w14:paraId="6FCDDB99" w14:textId="77777777" w:rsidR="00957AC0" w:rsidRDefault="00957AC0" w:rsidP="00113910">
      <w:pPr>
        <w:jc w:val="both"/>
      </w:pPr>
    </w:p>
    <w:p w14:paraId="476E6E66" w14:textId="54D2CBF6" w:rsidR="00957AC0" w:rsidRDefault="00957AC0" w:rsidP="00113910">
      <w:pPr>
        <w:jc w:val="both"/>
      </w:pPr>
      <w:r>
        <w:t xml:space="preserve">(2) Zavezancem, ki so na podlagi odločb izdanih na prejšnji pravni podlagi, to je na podlagi doslej veljavnega odloka, že prejeli soglasje o priključitvi s strani izvajalca gospodarske javne službe Komunale Kranj, javno podjetje, d.o.o., se razlika v odmeri komunalnega prispevka iz izdanih odločb na podlagi tega Odloka vrne po izpolnitvi obveznosti iz 5 odstavka 16. člena odloka.  </w:t>
      </w:r>
    </w:p>
    <w:p w14:paraId="7C768430" w14:textId="77777777" w:rsidR="00B36434" w:rsidRDefault="00433F1A" w:rsidP="006C3637">
      <w:pPr>
        <w:jc w:val="both"/>
      </w:pPr>
      <w:r>
        <w:t xml:space="preserve"> </w:t>
      </w:r>
    </w:p>
    <w:p w14:paraId="240F4417" w14:textId="64F1915D" w:rsidR="00CD43C1" w:rsidRDefault="00113910" w:rsidP="00113910">
      <w:pPr>
        <w:jc w:val="both"/>
      </w:pPr>
      <w:r>
        <w:t>Vs</w:t>
      </w:r>
      <w:r w:rsidR="00B967E5">
        <w:t xml:space="preserve">i </w:t>
      </w:r>
      <w:r>
        <w:t>členi</w:t>
      </w:r>
      <w:r w:rsidR="00433F1A">
        <w:t xml:space="preserve"> v Odloku </w:t>
      </w:r>
      <w:r w:rsidR="00433F1A" w:rsidRPr="00433F1A">
        <w:t>o spremembah in dopolnitvah programa opremljanja stavbnih zemljišč in merilih za odmero komunalnega prispevka za kanalizacijo komunalnih odpadnih vod, ki je bila zgrajena v obdobju 2008-2013 in bo zgrajena v obdobju 2014-2015 v občini Cerklje na Gorenjskem</w:t>
      </w:r>
      <w:r w:rsidR="00433F1A">
        <w:t xml:space="preserve"> se smiselno preštevilči</w:t>
      </w:r>
      <w:r w:rsidR="001365C7">
        <w:t>jo</w:t>
      </w:r>
      <w:r w:rsidR="00433F1A">
        <w:t>.</w:t>
      </w:r>
    </w:p>
    <w:p w14:paraId="7D2BB79E" w14:textId="77777777" w:rsidR="00954EC5" w:rsidRDefault="00954EC5" w:rsidP="00FD1106"/>
    <w:p w14:paraId="297E921C" w14:textId="22628CE1" w:rsidR="00CD43C1" w:rsidRDefault="004C4033" w:rsidP="00CD43C1">
      <w:pPr>
        <w:jc w:val="center"/>
      </w:pPr>
      <w:r>
        <w:t>8</w:t>
      </w:r>
      <w:r w:rsidR="00CD43C1">
        <w:t>. člen</w:t>
      </w:r>
    </w:p>
    <w:p w14:paraId="77B8012E" w14:textId="77777777" w:rsidR="005E6029" w:rsidRDefault="005E6029" w:rsidP="00FD1106"/>
    <w:p w14:paraId="691226B6" w14:textId="77777777" w:rsidR="00FD1106" w:rsidRDefault="00FD1106" w:rsidP="00E51236">
      <w:pPr>
        <w:jc w:val="both"/>
      </w:pPr>
      <w:r>
        <w:t xml:space="preserve">Ta odlok začne veljati </w:t>
      </w:r>
      <w:r w:rsidR="00E51236">
        <w:t xml:space="preserve">naslednji </w:t>
      </w:r>
      <w:r w:rsidR="00FC3228">
        <w:t xml:space="preserve">dan po objavi v </w:t>
      </w:r>
      <w:r w:rsidR="000A22BF">
        <w:t>Uradnem</w:t>
      </w:r>
      <w:r w:rsidR="000A22BF" w:rsidRPr="000A22BF">
        <w:t xml:space="preserve"> </w:t>
      </w:r>
      <w:r w:rsidR="00795CC8">
        <w:t>vestniku Občine Cerklje na Gorenjskem</w:t>
      </w:r>
      <w:r>
        <w:t>.</w:t>
      </w:r>
    </w:p>
    <w:p w14:paraId="78640E9F" w14:textId="77777777" w:rsidR="00FD1106" w:rsidRDefault="00FD1106" w:rsidP="00FD1106"/>
    <w:p w14:paraId="35E7809F" w14:textId="77777777" w:rsidR="00F94770" w:rsidRDefault="00F94770" w:rsidP="00A67678"/>
    <w:p w14:paraId="45AF9BB7" w14:textId="42BE5778" w:rsidR="00FD1106" w:rsidRDefault="0086611F" w:rsidP="00A67678">
      <w:r w:rsidRPr="00F94770">
        <w:t>Številka:</w:t>
      </w:r>
      <w:r w:rsidR="00F94770" w:rsidRPr="00F94770">
        <w:t xml:space="preserve"> 032-05/2014-44 </w:t>
      </w:r>
      <w:r w:rsidRPr="00F94770">
        <w:t xml:space="preserve">                   </w:t>
      </w:r>
      <w:r w:rsidR="00753DBE" w:rsidRPr="00F94770">
        <w:t xml:space="preserve">                         </w:t>
      </w:r>
      <w:r w:rsidR="00F94770">
        <w:t xml:space="preserve">    </w:t>
      </w:r>
      <w:r w:rsidR="00753DBE">
        <w:t xml:space="preserve">Občina </w:t>
      </w:r>
      <w:r w:rsidR="008C5F02">
        <w:t>Cerklje na Gorenjskem</w:t>
      </w:r>
    </w:p>
    <w:p w14:paraId="7CF5A188" w14:textId="4744C1F8" w:rsidR="00FD1106" w:rsidRDefault="0086611F" w:rsidP="00FD1106">
      <w:r>
        <w:t xml:space="preserve">Datum: </w:t>
      </w:r>
      <w:r w:rsidR="00F94770">
        <w:t xml:space="preserve">11.09.2015 </w:t>
      </w:r>
      <w:r>
        <w:t xml:space="preserve">   </w:t>
      </w:r>
      <w:r w:rsidR="00753DBE">
        <w:t xml:space="preserve">                                           </w:t>
      </w:r>
      <w:r w:rsidR="005C4948">
        <w:t xml:space="preserve">                              </w:t>
      </w:r>
      <w:r w:rsidR="00753DBE">
        <w:t>Župan</w:t>
      </w:r>
    </w:p>
    <w:p w14:paraId="7642C761" w14:textId="5BB12CFE" w:rsidR="00281D59" w:rsidRDefault="005C4948" w:rsidP="004C5835">
      <w:pPr>
        <w:ind w:left="5664"/>
      </w:pPr>
      <w:r w:rsidRPr="005C4948">
        <w:t xml:space="preserve"> </w:t>
      </w:r>
      <w:r w:rsidR="00113910">
        <w:t xml:space="preserve">    </w:t>
      </w:r>
      <w:r w:rsidR="00F94770">
        <w:t xml:space="preserve">   </w:t>
      </w:r>
      <w:r w:rsidR="008C5F02">
        <w:t>Franc Čebulj</w:t>
      </w:r>
      <w:r w:rsidR="00F94770">
        <w:t xml:space="preserve"> l.r.</w:t>
      </w:r>
    </w:p>
    <w:p w14:paraId="4B784013" w14:textId="77777777" w:rsidR="00D81292" w:rsidRDefault="00D81292" w:rsidP="00D81292"/>
    <w:sectPr w:rsidR="00D81292" w:rsidSect="00F7449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6766F" w14:textId="77777777" w:rsidR="00D35390" w:rsidRDefault="00D35390" w:rsidP="00F22781">
      <w:r>
        <w:separator/>
      </w:r>
    </w:p>
  </w:endnote>
  <w:endnote w:type="continuationSeparator" w:id="0">
    <w:p w14:paraId="578F9B46" w14:textId="77777777" w:rsidR="00D35390" w:rsidRDefault="00D35390" w:rsidP="00F2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F354F" w14:textId="77777777" w:rsidR="00C71F68" w:rsidRDefault="003A7695" w:rsidP="00281D5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C71F6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3ED04B9" w14:textId="77777777" w:rsidR="00C71F68" w:rsidRDefault="00C71F68" w:rsidP="00281D5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0F83D" w14:textId="77777777" w:rsidR="00C71F68" w:rsidRDefault="003A7695" w:rsidP="00281D5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C71F68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5324D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F8FF733" w14:textId="77777777" w:rsidR="00C71F68" w:rsidRDefault="00C71F68" w:rsidP="00281D5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5BC77" w14:textId="77777777" w:rsidR="00D35390" w:rsidRDefault="00D35390" w:rsidP="00F22781">
      <w:r>
        <w:separator/>
      </w:r>
    </w:p>
  </w:footnote>
  <w:footnote w:type="continuationSeparator" w:id="0">
    <w:p w14:paraId="60F0E7EC" w14:textId="77777777" w:rsidR="00D35390" w:rsidRDefault="00D35390" w:rsidP="00F2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Verdana" w:hAnsi="Verdana"/>
      </w:rPr>
    </w:lvl>
  </w:abstractNum>
  <w:abstractNum w:abstractNumId="2" w15:restartNumberingAfterBreak="0">
    <w:nsid w:val="0C815E35"/>
    <w:multiLevelType w:val="hybridMultilevel"/>
    <w:tmpl w:val="D7EC0992"/>
    <w:lvl w:ilvl="0" w:tplc="AE6E3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670B"/>
    <w:multiLevelType w:val="hybridMultilevel"/>
    <w:tmpl w:val="11AEBA3E"/>
    <w:lvl w:ilvl="0" w:tplc="92B46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30CB"/>
    <w:multiLevelType w:val="hybridMultilevel"/>
    <w:tmpl w:val="2B8CE318"/>
    <w:lvl w:ilvl="0" w:tplc="6B84069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5B95"/>
    <w:multiLevelType w:val="hybridMultilevel"/>
    <w:tmpl w:val="0158FF10"/>
    <w:lvl w:ilvl="0" w:tplc="F9D03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2008C"/>
    <w:multiLevelType w:val="hybridMultilevel"/>
    <w:tmpl w:val="B3D0B362"/>
    <w:lvl w:ilvl="0" w:tplc="327C0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334F"/>
    <w:multiLevelType w:val="hybridMultilevel"/>
    <w:tmpl w:val="43C2BC14"/>
    <w:lvl w:ilvl="0" w:tplc="E5F8E6F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Bitstream Vera San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6393"/>
    <w:multiLevelType w:val="hybridMultilevel"/>
    <w:tmpl w:val="83446DB0"/>
    <w:lvl w:ilvl="0" w:tplc="90129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2C5A3658"/>
    <w:multiLevelType w:val="hybridMultilevel"/>
    <w:tmpl w:val="05A03F82"/>
    <w:lvl w:ilvl="0" w:tplc="F9D03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11166"/>
    <w:multiLevelType w:val="hybridMultilevel"/>
    <w:tmpl w:val="5E96393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7F7D9C"/>
    <w:multiLevelType w:val="hybridMultilevel"/>
    <w:tmpl w:val="29D08CCE"/>
    <w:lvl w:ilvl="0" w:tplc="F9D03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71AE0"/>
    <w:multiLevelType w:val="hybridMultilevel"/>
    <w:tmpl w:val="6758FFA4"/>
    <w:lvl w:ilvl="0" w:tplc="F9D03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2002B"/>
    <w:multiLevelType w:val="hybridMultilevel"/>
    <w:tmpl w:val="55F05E64"/>
    <w:lvl w:ilvl="0" w:tplc="9C9205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6580A"/>
    <w:multiLevelType w:val="hybridMultilevel"/>
    <w:tmpl w:val="5B8808A0"/>
    <w:lvl w:ilvl="0" w:tplc="F9D03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D19FA"/>
    <w:multiLevelType w:val="hybridMultilevel"/>
    <w:tmpl w:val="82427F82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6929DD"/>
    <w:multiLevelType w:val="hybridMultilevel"/>
    <w:tmpl w:val="AD16A32E"/>
    <w:lvl w:ilvl="0" w:tplc="F9D03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213C7"/>
    <w:multiLevelType w:val="hybridMultilevel"/>
    <w:tmpl w:val="1FB857B6"/>
    <w:lvl w:ilvl="0" w:tplc="6582A74C">
      <w:start w:val="1"/>
      <w:numFmt w:val="decimal"/>
      <w:lvlText w:val="(%1)"/>
      <w:lvlJc w:val="left"/>
      <w:pPr>
        <w:ind w:left="420" w:hanging="42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E7B00"/>
    <w:multiLevelType w:val="hybridMultilevel"/>
    <w:tmpl w:val="EB501258"/>
    <w:lvl w:ilvl="0" w:tplc="5AC24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63945"/>
    <w:multiLevelType w:val="hybridMultilevel"/>
    <w:tmpl w:val="96C46982"/>
    <w:lvl w:ilvl="0" w:tplc="AE6E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F33C41"/>
    <w:multiLevelType w:val="hybridMultilevel"/>
    <w:tmpl w:val="8D8E1134"/>
    <w:lvl w:ilvl="0" w:tplc="F9D031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F288C"/>
    <w:multiLevelType w:val="hybridMultilevel"/>
    <w:tmpl w:val="9F642880"/>
    <w:lvl w:ilvl="0" w:tplc="5AC24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02D9B"/>
    <w:multiLevelType w:val="hybridMultilevel"/>
    <w:tmpl w:val="9494633E"/>
    <w:lvl w:ilvl="0" w:tplc="F9D03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B934EE"/>
    <w:multiLevelType w:val="hybridMultilevel"/>
    <w:tmpl w:val="98C8CF66"/>
    <w:lvl w:ilvl="0" w:tplc="F9D03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007942"/>
    <w:multiLevelType w:val="hybridMultilevel"/>
    <w:tmpl w:val="58148CFE"/>
    <w:lvl w:ilvl="0" w:tplc="F9D03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F13615"/>
    <w:multiLevelType w:val="hybridMultilevel"/>
    <w:tmpl w:val="219489DA"/>
    <w:lvl w:ilvl="0" w:tplc="E5F8E6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itstream Vera Sans" w:hAnsi="Times New Roman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6" w15:restartNumberingAfterBreak="0">
    <w:nsid w:val="712277B8"/>
    <w:multiLevelType w:val="hybridMultilevel"/>
    <w:tmpl w:val="2496F8D2"/>
    <w:lvl w:ilvl="0" w:tplc="E5F8E6FA">
      <w:numFmt w:val="bullet"/>
      <w:lvlText w:val="-"/>
      <w:lvlJc w:val="left"/>
      <w:pPr>
        <w:ind w:left="360" w:hanging="360"/>
      </w:pPr>
      <w:rPr>
        <w:rFonts w:ascii="Times New Roman" w:eastAsia="Bitstream Vera San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BC65CF"/>
    <w:multiLevelType w:val="multilevel"/>
    <w:tmpl w:val="83446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8" w15:restartNumberingAfterBreak="0">
    <w:nsid w:val="7D294F83"/>
    <w:multiLevelType w:val="hybridMultilevel"/>
    <w:tmpl w:val="1AD24870"/>
    <w:lvl w:ilvl="0" w:tplc="E5F8E6F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Bitstream Vera San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25"/>
  </w:num>
  <w:num w:numId="5">
    <w:abstractNumId w:val="2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24"/>
  </w:num>
  <w:num w:numId="13">
    <w:abstractNumId w:val="10"/>
  </w:num>
  <w:num w:numId="14">
    <w:abstractNumId w:val="12"/>
  </w:num>
  <w:num w:numId="15">
    <w:abstractNumId w:val="22"/>
  </w:num>
  <w:num w:numId="16">
    <w:abstractNumId w:val="15"/>
  </w:num>
  <w:num w:numId="17">
    <w:abstractNumId w:val="5"/>
  </w:num>
  <w:num w:numId="18">
    <w:abstractNumId w:val="11"/>
  </w:num>
  <w:num w:numId="19">
    <w:abstractNumId w:val="18"/>
  </w:num>
  <w:num w:numId="20">
    <w:abstractNumId w:val="17"/>
  </w:num>
  <w:num w:numId="21">
    <w:abstractNumId w:val="14"/>
  </w:num>
  <w:num w:numId="22">
    <w:abstractNumId w:val="23"/>
  </w:num>
  <w:num w:numId="23">
    <w:abstractNumId w:val="16"/>
  </w:num>
  <w:num w:numId="24">
    <w:abstractNumId w:val="9"/>
  </w:num>
  <w:num w:numId="25">
    <w:abstractNumId w:val="20"/>
  </w:num>
  <w:num w:numId="26">
    <w:abstractNumId w:val="3"/>
  </w:num>
  <w:num w:numId="27">
    <w:abstractNumId w:val="2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06"/>
    <w:rsid w:val="00004C96"/>
    <w:rsid w:val="000058A9"/>
    <w:rsid w:val="0001364E"/>
    <w:rsid w:val="00024055"/>
    <w:rsid w:val="00024591"/>
    <w:rsid w:val="00026508"/>
    <w:rsid w:val="00027BDF"/>
    <w:rsid w:val="00032004"/>
    <w:rsid w:val="00034593"/>
    <w:rsid w:val="00034C61"/>
    <w:rsid w:val="00040257"/>
    <w:rsid w:val="000476D0"/>
    <w:rsid w:val="00050080"/>
    <w:rsid w:val="00051741"/>
    <w:rsid w:val="00054B89"/>
    <w:rsid w:val="0006509A"/>
    <w:rsid w:val="00070F7B"/>
    <w:rsid w:val="0007159D"/>
    <w:rsid w:val="00072CD5"/>
    <w:rsid w:val="0007787C"/>
    <w:rsid w:val="00077CB1"/>
    <w:rsid w:val="000845CF"/>
    <w:rsid w:val="000915A5"/>
    <w:rsid w:val="00094A69"/>
    <w:rsid w:val="00097668"/>
    <w:rsid w:val="000A22BF"/>
    <w:rsid w:val="000A3426"/>
    <w:rsid w:val="000A3498"/>
    <w:rsid w:val="000A423F"/>
    <w:rsid w:val="000A682A"/>
    <w:rsid w:val="000B5B0F"/>
    <w:rsid w:val="000C3FEA"/>
    <w:rsid w:val="000C47D3"/>
    <w:rsid w:val="000C7BD5"/>
    <w:rsid w:val="000D0E00"/>
    <w:rsid w:val="000D3017"/>
    <w:rsid w:val="000D41B8"/>
    <w:rsid w:val="000D57AC"/>
    <w:rsid w:val="000D6A19"/>
    <w:rsid w:val="000E25C9"/>
    <w:rsid w:val="000E3350"/>
    <w:rsid w:val="000E73D3"/>
    <w:rsid w:val="000F0ABE"/>
    <w:rsid w:val="000F2D25"/>
    <w:rsid w:val="000F789E"/>
    <w:rsid w:val="00106D7D"/>
    <w:rsid w:val="00110C78"/>
    <w:rsid w:val="00113910"/>
    <w:rsid w:val="00116D05"/>
    <w:rsid w:val="00117521"/>
    <w:rsid w:val="00117C84"/>
    <w:rsid w:val="00123ADD"/>
    <w:rsid w:val="00127EB0"/>
    <w:rsid w:val="001305C7"/>
    <w:rsid w:val="0013441A"/>
    <w:rsid w:val="00135278"/>
    <w:rsid w:val="001365C7"/>
    <w:rsid w:val="00140BBC"/>
    <w:rsid w:val="00144989"/>
    <w:rsid w:val="00150CE7"/>
    <w:rsid w:val="00150D9B"/>
    <w:rsid w:val="0015324D"/>
    <w:rsid w:val="00154003"/>
    <w:rsid w:val="00154968"/>
    <w:rsid w:val="0015597E"/>
    <w:rsid w:val="001564D4"/>
    <w:rsid w:val="00156934"/>
    <w:rsid w:val="00157B84"/>
    <w:rsid w:val="001620BD"/>
    <w:rsid w:val="00163143"/>
    <w:rsid w:val="001674E2"/>
    <w:rsid w:val="0016784A"/>
    <w:rsid w:val="0017335E"/>
    <w:rsid w:val="00180682"/>
    <w:rsid w:val="00183392"/>
    <w:rsid w:val="001850FB"/>
    <w:rsid w:val="00190402"/>
    <w:rsid w:val="00193C58"/>
    <w:rsid w:val="00196E37"/>
    <w:rsid w:val="00197710"/>
    <w:rsid w:val="001A0B5D"/>
    <w:rsid w:val="001A0B61"/>
    <w:rsid w:val="001A2AAD"/>
    <w:rsid w:val="001A5F8D"/>
    <w:rsid w:val="001B2793"/>
    <w:rsid w:val="001B36BE"/>
    <w:rsid w:val="001B4130"/>
    <w:rsid w:val="001B4CF6"/>
    <w:rsid w:val="001B5D52"/>
    <w:rsid w:val="001C0977"/>
    <w:rsid w:val="001D1343"/>
    <w:rsid w:val="001D3B78"/>
    <w:rsid w:val="001D4C9D"/>
    <w:rsid w:val="001D547B"/>
    <w:rsid w:val="001D6509"/>
    <w:rsid w:val="001E1BA9"/>
    <w:rsid w:val="001E47CF"/>
    <w:rsid w:val="001E527E"/>
    <w:rsid w:val="001E54A4"/>
    <w:rsid w:val="001E69BC"/>
    <w:rsid w:val="001E7102"/>
    <w:rsid w:val="001F0EA2"/>
    <w:rsid w:val="001F3D37"/>
    <w:rsid w:val="001F4BB7"/>
    <w:rsid w:val="00200365"/>
    <w:rsid w:val="00200533"/>
    <w:rsid w:val="00200987"/>
    <w:rsid w:val="0020516F"/>
    <w:rsid w:val="00214B20"/>
    <w:rsid w:val="00214C09"/>
    <w:rsid w:val="002177AD"/>
    <w:rsid w:val="00217BBF"/>
    <w:rsid w:val="002254DF"/>
    <w:rsid w:val="002310EF"/>
    <w:rsid w:val="002369BE"/>
    <w:rsid w:val="0024157E"/>
    <w:rsid w:val="00244090"/>
    <w:rsid w:val="002451E3"/>
    <w:rsid w:val="0024783E"/>
    <w:rsid w:val="00255BF7"/>
    <w:rsid w:val="00261635"/>
    <w:rsid w:val="002633DD"/>
    <w:rsid w:val="00266B44"/>
    <w:rsid w:val="0026759C"/>
    <w:rsid w:val="00276E75"/>
    <w:rsid w:val="002805E0"/>
    <w:rsid w:val="00281D59"/>
    <w:rsid w:val="002821DD"/>
    <w:rsid w:val="0028401D"/>
    <w:rsid w:val="00290BE4"/>
    <w:rsid w:val="00292A08"/>
    <w:rsid w:val="00295E10"/>
    <w:rsid w:val="00297014"/>
    <w:rsid w:val="002A0620"/>
    <w:rsid w:val="002A19C6"/>
    <w:rsid w:val="002A3C21"/>
    <w:rsid w:val="002A4635"/>
    <w:rsid w:val="002A62D7"/>
    <w:rsid w:val="002B2E98"/>
    <w:rsid w:val="002B6585"/>
    <w:rsid w:val="002B6F74"/>
    <w:rsid w:val="002C15A2"/>
    <w:rsid w:val="002C1810"/>
    <w:rsid w:val="002C1A00"/>
    <w:rsid w:val="002C2A31"/>
    <w:rsid w:val="002C3574"/>
    <w:rsid w:val="002C366B"/>
    <w:rsid w:val="002D1F2C"/>
    <w:rsid w:val="002E30F6"/>
    <w:rsid w:val="002E4463"/>
    <w:rsid w:val="002E77F2"/>
    <w:rsid w:val="002F1203"/>
    <w:rsid w:val="002F2131"/>
    <w:rsid w:val="003010F5"/>
    <w:rsid w:val="00303918"/>
    <w:rsid w:val="00303A56"/>
    <w:rsid w:val="00310B8E"/>
    <w:rsid w:val="00314A09"/>
    <w:rsid w:val="00315EF9"/>
    <w:rsid w:val="00320F9C"/>
    <w:rsid w:val="0032195D"/>
    <w:rsid w:val="0032207F"/>
    <w:rsid w:val="00324A0C"/>
    <w:rsid w:val="0032532F"/>
    <w:rsid w:val="00325F3B"/>
    <w:rsid w:val="003264FA"/>
    <w:rsid w:val="00331487"/>
    <w:rsid w:val="003315C2"/>
    <w:rsid w:val="00331AD8"/>
    <w:rsid w:val="00333B27"/>
    <w:rsid w:val="00333BB2"/>
    <w:rsid w:val="003347A1"/>
    <w:rsid w:val="00341A14"/>
    <w:rsid w:val="0034383D"/>
    <w:rsid w:val="003465C4"/>
    <w:rsid w:val="00357D50"/>
    <w:rsid w:val="003620B8"/>
    <w:rsid w:val="00370DFD"/>
    <w:rsid w:val="0037174F"/>
    <w:rsid w:val="00372BF6"/>
    <w:rsid w:val="00374830"/>
    <w:rsid w:val="00381A56"/>
    <w:rsid w:val="0038247C"/>
    <w:rsid w:val="0038254F"/>
    <w:rsid w:val="00385459"/>
    <w:rsid w:val="0038686F"/>
    <w:rsid w:val="003871B3"/>
    <w:rsid w:val="00387485"/>
    <w:rsid w:val="003875E2"/>
    <w:rsid w:val="00392C00"/>
    <w:rsid w:val="00396CD7"/>
    <w:rsid w:val="00396DBB"/>
    <w:rsid w:val="003A378F"/>
    <w:rsid w:val="003A67AD"/>
    <w:rsid w:val="003A7695"/>
    <w:rsid w:val="003B1B13"/>
    <w:rsid w:val="003C28CA"/>
    <w:rsid w:val="003C4307"/>
    <w:rsid w:val="003C4407"/>
    <w:rsid w:val="003C4A7B"/>
    <w:rsid w:val="003C4C19"/>
    <w:rsid w:val="003C6B85"/>
    <w:rsid w:val="003D0735"/>
    <w:rsid w:val="003D42DD"/>
    <w:rsid w:val="003D6035"/>
    <w:rsid w:val="003D7C38"/>
    <w:rsid w:val="003E0A71"/>
    <w:rsid w:val="003E2EB0"/>
    <w:rsid w:val="003E2FFE"/>
    <w:rsid w:val="003F036F"/>
    <w:rsid w:val="003F243C"/>
    <w:rsid w:val="003F5975"/>
    <w:rsid w:val="003F62A8"/>
    <w:rsid w:val="00402707"/>
    <w:rsid w:val="00403EE9"/>
    <w:rsid w:val="004068D7"/>
    <w:rsid w:val="004075AF"/>
    <w:rsid w:val="00407DCD"/>
    <w:rsid w:val="0041090B"/>
    <w:rsid w:val="004111BE"/>
    <w:rsid w:val="00412F76"/>
    <w:rsid w:val="0041490F"/>
    <w:rsid w:val="00420E37"/>
    <w:rsid w:val="004222EA"/>
    <w:rsid w:val="00431068"/>
    <w:rsid w:val="00432B33"/>
    <w:rsid w:val="00433A22"/>
    <w:rsid w:val="00433F1A"/>
    <w:rsid w:val="004341DF"/>
    <w:rsid w:val="00435B81"/>
    <w:rsid w:val="0043630B"/>
    <w:rsid w:val="004430D8"/>
    <w:rsid w:val="00450EA8"/>
    <w:rsid w:val="0045188A"/>
    <w:rsid w:val="00456175"/>
    <w:rsid w:val="004561EF"/>
    <w:rsid w:val="00456253"/>
    <w:rsid w:val="00457E61"/>
    <w:rsid w:val="004605DA"/>
    <w:rsid w:val="00463DF4"/>
    <w:rsid w:val="004714A8"/>
    <w:rsid w:val="00475CF8"/>
    <w:rsid w:val="00477864"/>
    <w:rsid w:val="00477A0E"/>
    <w:rsid w:val="00483C2D"/>
    <w:rsid w:val="00485857"/>
    <w:rsid w:val="00486135"/>
    <w:rsid w:val="00486E8D"/>
    <w:rsid w:val="00492927"/>
    <w:rsid w:val="00494F96"/>
    <w:rsid w:val="00496BA5"/>
    <w:rsid w:val="004978D8"/>
    <w:rsid w:val="00497C23"/>
    <w:rsid w:val="004A7560"/>
    <w:rsid w:val="004C4033"/>
    <w:rsid w:val="004C49BB"/>
    <w:rsid w:val="004C5835"/>
    <w:rsid w:val="004D5441"/>
    <w:rsid w:val="004E00D9"/>
    <w:rsid w:val="004E1BF5"/>
    <w:rsid w:val="004E4BE7"/>
    <w:rsid w:val="004E571B"/>
    <w:rsid w:val="004E61B0"/>
    <w:rsid w:val="004F4D5E"/>
    <w:rsid w:val="005128B5"/>
    <w:rsid w:val="005131FA"/>
    <w:rsid w:val="00514007"/>
    <w:rsid w:val="0051596B"/>
    <w:rsid w:val="00522946"/>
    <w:rsid w:val="00526453"/>
    <w:rsid w:val="00526B6D"/>
    <w:rsid w:val="005273D8"/>
    <w:rsid w:val="00536B9F"/>
    <w:rsid w:val="005422F3"/>
    <w:rsid w:val="00543670"/>
    <w:rsid w:val="00546144"/>
    <w:rsid w:val="00552C78"/>
    <w:rsid w:val="005532B5"/>
    <w:rsid w:val="0056033E"/>
    <w:rsid w:val="00560502"/>
    <w:rsid w:val="00566E8F"/>
    <w:rsid w:val="005729BD"/>
    <w:rsid w:val="0058036E"/>
    <w:rsid w:val="0058458A"/>
    <w:rsid w:val="00585C66"/>
    <w:rsid w:val="005867BF"/>
    <w:rsid w:val="005907EE"/>
    <w:rsid w:val="00591A05"/>
    <w:rsid w:val="00594E2D"/>
    <w:rsid w:val="0059555B"/>
    <w:rsid w:val="00596389"/>
    <w:rsid w:val="005A24A0"/>
    <w:rsid w:val="005A292B"/>
    <w:rsid w:val="005A2F15"/>
    <w:rsid w:val="005A6D2E"/>
    <w:rsid w:val="005B0033"/>
    <w:rsid w:val="005B2A66"/>
    <w:rsid w:val="005B32BD"/>
    <w:rsid w:val="005B641B"/>
    <w:rsid w:val="005B7B66"/>
    <w:rsid w:val="005C2809"/>
    <w:rsid w:val="005C3653"/>
    <w:rsid w:val="005C476D"/>
    <w:rsid w:val="005C4948"/>
    <w:rsid w:val="005C783D"/>
    <w:rsid w:val="005D0921"/>
    <w:rsid w:val="005D12E8"/>
    <w:rsid w:val="005D2AED"/>
    <w:rsid w:val="005D2FB2"/>
    <w:rsid w:val="005D76A2"/>
    <w:rsid w:val="005E0B26"/>
    <w:rsid w:val="005E34F8"/>
    <w:rsid w:val="005E6029"/>
    <w:rsid w:val="005F1416"/>
    <w:rsid w:val="005F20EA"/>
    <w:rsid w:val="005F72B3"/>
    <w:rsid w:val="005F7F95"/>
    <w:rsid w:val="00601BE8"/>
    <w:rsid w:val="006027CD"/>
    <w:rsid w:val="006028D6"/>
    <w:rsid w:val="006041BA"/>
    <w:rsid w:val="00604EF2"/>
    <w:rsid w:val="00607A3F"/>
    <w:rsid w:val="00613805"/>
    <w:rsid w:val="00614B68"/>
    <w:rsid w:val="00627984"/>
    <w:rsid w:val="00631C72"/>
    <w:rsid w:val="006322B1"/>
    <w:rsid w:val="00632F45"/>
    <w:rsid w:val="00640A1B"/>
    <w:rsid w:val="00641B4A"/>
    <w:rsid w:val="00641E99"/>
    <w:rsid w:val="00644094"/>
    <w:rsid w:val="0064520F"/>
    <w:rsid w:val="00646E28"/>
    <w:rsid w:val="00654FB5"/>
    <w:rsid w:val="006651B6"/>
    <w:rsid w:val="00666C63"/>
    <w:rsid w:val="006707DB"/>
    <w:rsid w:val="006769B9"/>
    <w:rsid w:val="006843E6"/>
    <w:rsid w:val="006846B1"/>
    <w:rsid w:val="00685B42"/>
    <w:rsid w:val="006B0CE5"/>
    <w:rsid w:val="006B1C61"/>
    <w:rsid w:val="006B2A6B"/>
    <w:rsid w:val="006B6DB7"/>
    <w:rsid w:val="006C3637"/>
    <w:rsid w:val="006C664F"/>
    <w:rsid w:val="006D0CAA"/>
    <w:rsid w:val="006D1545"/>
    <w:rsid w:val="006D3CEE"/>
    <w:rsid w:val="006D50D6"/>
    <w:rsid w:val="006D6545"/>
    <w:rsid w:val="006D7442"/>
    <w:rsid w:val="006D7CE7"/>
    <w:rsid w:val="006E1629"/>
    <w:rsid w:val="006E5F40"/>
    <w:rsid w:val="006F6D6C"/>
    <w:rsid w:val="0070185E"/>
    <w:rsid w:val="007046E8"/>
    <w:rsid w:val="007139B1"/>
    <w:rsid w:val="00721DBE"/>
    <w:rsid w:val="00725749"/>
    <w:rsid w:val="00726C84"/>
    <w:rsid w:val="007364F8"/>
    <w:rsid w:val="00736550"/>
    <w:rsid w:val="00736EE3"/>
    <w:rsid w:val="007454C6"/>
    <w:rsid w:val="00753DBE"/>
    <w:rsid w:val="00755AF4"/>
    <w:rsid w:val="00761001"/>
    <w:rsid w:val="00763E9C"/>
    <w:rsid w:val="00764E03"/>
    <w:rsid w:val="0076514D"/>
    <w:rsid w:val="007656AA"/>
    <w:rsid w:val="00767D05"/>
    <w:rsid w:val="00774524"/>
    <w:rsid w:val="0077519C"/>
    <w:rsid w:val="00776FF3"/>
    <w:rsid w:val="007802A2"/>
    <w:rsid w:val="00790AD0"/>
    <w:rsid w:val="00794067"/>
    <w:rsid w:val="00795CC8"/>
    <w:rsid w:val="00795F3F"/>
    <w:rsid w:val="007A7762"/>
    <w:rsid w:val="007B12EC"/>
    <w:rsid w:val="007B1F36"/>
    <w:rsid w:val="007B453C"/>
    <w:rsid w:val="007B6ED1"/>
    <w:rsid w:val="007D23A4"/>
    <w:rsid w:val="007D6FC0"/>
    <w:rsid w:val="007D762D"/>
    <w:rsid w:val="007D77E9"/>
    <w:rsid w:val="007E1296"/>
    <w:rsid w:val="007E513A"/>
    <w:rsid w:val="007F32B5"/>
    <w:rsid w:val="00800555"/>
    <w:rsid w:val="008012B8"/>
    <w:rsid w:val="0080163C"/>
    <w:rsid w:val="0080202F"/>
    <w:rsid w:val="00803834"/>
    <w:rsid w:val="00807D1D"/>
    <w:rsid w:val="0081126E"/>
    <w:rsid w:val="00817344"/>
    <w:rsid w:val="00821F7D"/>
    <w:rsid w:val="008227DC"/>
    <w:rsid w:val="0082673C"/>
    <w:rsid w:val="00826850"/>
    <w:rsid w:val="0082748E"/>
    <w:rsid w:val="00834F69"/>
    <w:rsid w:val="00844230"/>
    <w:rsid w:val="0085142A"/>
    <w:rsid w:val="00854850"/>
    <w:rsid w:val="008577EF"/>
    <w:rsid w:val="00863D3D"/>
    <w:rsid w:val="0086611F"/>
    <w:rsid w:val="008722D5"/>
    <w:rsid w:val="008801CC"/>
    <w:rsid w:val="008807AD"/>
    <w:rsid w:val="008817E4"/>
    <w:rsid w:val="00884BB8"/>
    <w:rsid w:val="00885790"/>
    <w:rsid w:val="00886BAF"/>
    <w:rsid w:val="0089048E"/>
    <w:rsid w:val="008A00C1"/>
    <w:rsid w:val="008A0997"/>
    <w:rsid w:val="008A15EF"/>
    <w:rsid w:val="008A20E7"/>
    <w:rsid w:val="008B2191"/>
    <w:rsid w:val="008B75BF"/>
    <w:rsid w:val="008C59C3"/>
    <w:rsid w:val="008C5F02"/>
    <w:rsid w:val="008C6CE3"/>
    <w:rsid w:val="008D5986"/>
    <w:rsid w:val="008E59CE"/>
    <w:rsid w:val="008E7DA6"/>
    <w:rsid w:val="008F11B6"/>
    <w:rsid w:val="008F4EFF"/>
    <w:rsid w:val="008F67E8"/>
    <w:rsid w:val="00912418"/>
    <w:rsid w:val="00913FEC"/>
    <w:rsid w:val="009143F4"/>
    <w:rsid w:val="0091708B"/>
    <w:rsid w:val="00924880"/>
    <w:rsid w:val="009249F7"/>
    <w:rsid w:val="00925748"/>
    <w:rsid w:val="00935C36"/>
    <w:rsid w:val="00940F4B"/>
    <w:rsid w:val="00941951"/>
    <w:rsid w:val="00941F3D"/>
    <w:rsid w:val="00944011"/>
    <w:rsid w:val="00944FE2"/>
    <w:rsid w:val="00950593"/>
    <w:rsid w:val="00954EC5"/>
    <w:rsid w:val="00957AC0"/>
    <w:rsid w:val="009600FD"/>
    <w:rsid w:val="009628D9"/>
    <w:rsid w:val="00965EEA"/>
    <w:rsid w:val="00970851"/>
    <w:rsid w:val="0097297D"/>
    <w:rsid w:val="00972DEA"/>
    <w:rsid w:val="009735F3"/>
    <w:rsid w:val="00973C56"/>
    <w:rsid w:val="00990094"/>
    <w:rsid w:val="0099019B"/>
    <w:rsid w:val="009914DA"/>
    <w:rsid w:val="00991E21"/>
    <w:rsid w:val="00992364"/>
    <w:rsid w:val="009938D8"/>
    <w:rsid w:val="009A0A3C"/>
    <w:rsid w:val="009A28F6"/>
    <w:rsid w:val="009A58DD"/>
    <w:rsid w:val="009A73FA"/>
    <w:rsid w:val="009B3010"/>
    <w:rsid w:val="009B629B"/>
    <w:rsid w:val="009C0697"/>
    <w:rsid w:val="009C1BCF"/>
    <w:rsid w:val="009C2966"/>
    <w:rsid w:val="009C2C2F"/>
    <w:rsid w:val="009D1B7D"/>
    <w:rsid w:val="009D243C"/>
    <w:rsid w:val="009D7769"/>
    <w:rsid w:val="009F3527"/>
    <w:rsid w:val="009F4CBE"/>
    <w:rsid w:val="009F5DB3"/>
    <w:rsid w:val="009F6B79"/>
    <w:rsid w:val="00A02174"/>
    <w:rsid w:val="00A04A64"/>
    <w:rsid w:val="00A05A70"/>
    <w:rsid w:val="00A1605A"/>
    <w:rsid w:val="00A17961"/>
    <w:rsid w:val="00A20ED4"/>
    <w:rsid w:val="00A30940"/>
    <w:rsid w:val="00A31B59"/>
    <w:rsid w:val="00A332E1"/>
    <w:rsid w:val="00A40958"/>
    <w:rsid w:val="00A40DAB"/>
    <w:rsid w:val="00A43079"/>
    <w:rsid w:val="00A4605F"/>
    <w:rsid w:val="00A47507"/>
    <w:rsid w:val="00A51019"/>
    <w:rsid w:val="00A60457"/>
    <w:rsid w:val="00A63C5C"/>
    <w:rsid w:val="00A65FE8"/>
    <w:rsid w:val="00A6730D"/>
    <w:rsid w:val="00A67678"/>
    <w:rsid w:val="00A759C1"/>
    <w:rsid w:val="00A815B3"/>
    <w:rsid w:val="00A81EDE"/>
    <w:rsid w:val="00A832C8"/>
    <w:rsid w:val="00A84644"/>
    <w:rsid w:val="00A95BEF"/>
    <w:rsid w:val="00A96913"/>
    <w:rsid w:val="00AA4331"/>
    <w:rsid w:val="00AA49A2"/>
    <w:rsid w:val="00AA4D1C"/>
    <w:rsid w:val="00AD01B5"/>
    <w:rsid w:val="00AD045E"/>
    <w:rsid w:val="00AD4416"/>
    <w:rsid w:val="00AE10BB"/>
    <w:rsid w:val="00AE22A5"/>
    <w:rsid w:val="00AE2A10"/>
    <w:rsid w:val="00AE76A1"/>
    <w:rsid w:val="00AF6C10"/>
    <w:rsid w:val="00AF6DF9"/>
    <w:rsid w:val="00B01045"/>
    <w:rsid w:val="00B05126"/>
    <w:rsid w:val="00B13DC4"/>
    <w:rsid w:val="00B1561A"/>
    <w:rsid w:val="00B201AE"/>
    <w:rsid w:val="00B232B8"/>
    <w:rsid w:val="00B26566"/>
    <w:rsid w:val="00B306BF"/>
    <w:rsid w:val="00B318B5"/>
    <w:rsid w:val="00B36434"/>
    <w:rsid w:val="00B3759F"/>
    <w:rsid w:val="00B403A7"/>
    <w:rsid w:val="00B4134E"/>
    <w:rsid w:val="00B41DD5"/>
    <w:rsid w:val="00B427F6"/>
    <w:rsid w:val="00B536F7"/>
    <w:rsid w:val="00B622D4"/>
    <w:rsid w:val="00B661B6"/>
    <w:rsid w:val="00B6686F"/>
    <w:rsid w:val="00B7559D"/>
    <w:rsid w:val="00B76675"/>
    <w:rsid w:val="00B84D21"/>
    <w:rsid w:val="00B86A4C"/>
    <w:rsid w:val="00B87DBE"/>
    <w:rsid w:val="00B9102A"/>
    <w:rsid w:val="00B9341B"/>
    <w:rsid w:val="00B967E5"/>
    <w:rsid w:val="00BB0969"/>
    <w:rsid w:val="00BB1E9D"/>
    <w:rsid w:val="00BB2A53"/>
    <w:rsid w:val="00BB740B"/>
    <w:rsid w:val="00BC0ACE"/>
    <w:rsid w:val="00BC2D2D"/>
    <w:rsid w:val="00BD1272"/>
    <w:rsid w:val="00BD798A"/>
    <w:rsid w:val="00BE4533"/>
    <w:rsid w:val="00BE53E3"/>
    <w:rsid w:val="00BF1E4C"/>
    <w:rsid w:val="00BF4E96"/>
    <w:rsid w:val="00C00BE4"/>
    <w:rsid w:val="00C07BC5"/>
    <w:rsid w:val="00C11EE7"/>
    <w:rsid w:val="00C132D9"/>
    <w:rsid w:val="00C1595E"/>
    <w:rsid w:val="00C24DAC"/>
    <w:rsid w:val="00C30C6D"/>
    <w:rsid w:val="00C30F82"/>
    <w:rsid w:val="00C331F3"/>
    <w:rsid w:val="00C335FB"/>
    <w:rsid w:val="00C3400A"/>
    <w:rsid w:val="00C3441E"/>
    <w:rsid w:val="00C368FD"/>
    <w:rsid w:val="00C37619"/>
    <w:rsid w:val="00C416BC"/>
    <w:rsid w:val="00C4294F"/>
    <w:rsid w:val="00C51E86"/>
    <w:rsid w:val="00C56493"/>
    <w:rsid w:val="00C56EC6"/>
    <w:rsid w:val="00C63C23"/>
    <w:rsid w:val="00C6499A"/>
    <w:rsid w:val="00C65FA2"/>
    <w:rsid w:val="00C71F68"/>
    <w:rsid w:val="00C74116"/>
    <w:rsid w:val="00C7637C"/>
    <w:rsid w:val="00C83C87"/>
    <w:rsid w:val="00C8476C"/>
    <w:rsid w:val="00C93243"/>
    <w:rsid w:val="00C93B85"/>
    <w:rsid w:val="00CA3F6F"/>
    <w:rsid w:val="00CA4770"/>
    <w:rsid w:val="00CA4E90"/>
    <w:rsid w:val="00CA6BB6"/>
    <w:rsid w:val="00CA7746"/>
    <w:rsid w:val="00CB53A2"/>
    <w:rsid w:val="00CC1887"/>
    <w:rsid w:val="00CC3C3F"/>
    <w:rsid w:val="00CC6BD8"/>
    <w:rsid w:val="00CD3DFC"/>
    <w:rsid w:val="00CD43C1"/>
    <w:rsid w:val="00CD4441"/>
    <w:rsid w:val="00CD4585"/>
    <w:rsid w:val="00CE0DA3"/>
    <w:rsid w:val="00CE1E13"/>
    <w:rsid w:val="00CE51EB"/>
    <w:rsid w:val="00CE51F2"/>
    <w:rsid w:val="00CE7A96"/>
    <w:rsid w:val="00CF14B8"/>
    <w:rsid w:val="00CF469C"/>
    <w:rsid w:val="00CF6636"/>
    <w:rsid w:val="00D00DA6"/>
    <w:rsid w:val="00D10E1D"/>
    <w:rsid w:val="00D1121C"/>
    <w:rsid w:val="00D1716D"/>
    <w:rsid w:val="00D22A65"/>
    <w:rsid w:val="00D23FA9"/>
    <w:rsid w:val="00D2783B"/>
    <w:rsid w:val="00D3256C"/>
    <w:rsid w:val="00D35390"/>
    <w:rsid w:val="00D41C6E"/>
    <w:rsid w:val="00D4328E"/>
    <w:rsid w:val="00D45275"/>
    <w:rsid w:val="00D45778"/>
    <w:rsid w:val="00D45F5E"/>
    <w:rsid w:val="00D5254B"/>
    <w:rsid w:val="00D57826"/>
    <w:rsid w:val="00D61BC2"/>
    <w:rsid w:val="00D626E1"/>
    <w:rsid w:val="00D6602B"/>
    <w:rsid w:val="00D73D09"/>
    <w:rsid w:val="00D75E5F"/>
    <w:rsid w:val="00D81292"/>
    <w:rsid w:val="00D841D3"/>
    <w:rsid w:val="00D862AC"/>
    <w:rsid w:val="00D8730D"/>
    <w:rsid w:val="00D92D90"/>
    <w:rsid w:val="00D96C33"/>
    <w:rsid w:val="00DA2FC8"/>
    <w:rsid w:val="00DA5F6F"/>
    <w:rsid w:val="00DA692D"/>
    <w:rsid w:val="00DB354A"/>
    <w:rsid w:val="00DB424B"/>
    <w:rsid w:val="00DB7D0B"/>
    <w:rsid w:val="00DC1F2A"/>
    <w:rsid w:val="00DC61D2"/>
    <w:rsid w:val="00DC661A"/>
    <w:rsid w:val="00DC7E58"/>
    <w:rsid w:val="00DD075D"/>
    <w:rsid w:val="00DD122B"/>
    <w:rsid w:val="00DD2544"/>
    <w:rsid w:val="00DD3A43"/>
    <w:rsid w:val="00DD41B3"/>
    <w:rsid w:val="00DD4A9D"/>
    <w:rsid w:val="00DD6EC8"/>
    <w:rsid w:val="00DE00BA"/>
    <w:rsid w:val="00DE0954"/>
    <w:rsid w:val="00DE30B0"/>
    <w:rsid w:val="00DF6197"/>
    <w:rsid w:val="00E009F0"/>
    <w:rsid w:val="00E0365E"/>
    <w:rsid w:val="00E064DB"/>
    <w:rsid w:val="00E076D3"/>
    <w:rsid w:val="00E1008C"/>
    <w:rsid w:val="00E10E3F"/>
    <w:rsid w:val="00E110BE"/>
    <w:rsid w:val="00E13B57"/>
    <w:rsid w:val="00E14015"/>
    <w:rsid w:val="00E1690C"/>
    <w:rsid w:val="00E17ADD"/>
    <w:rsid w:val="00E2220F"/>
    <w:rsid w:val="00E245AC"/>
    <w:rsid w:val="00E31143"/>
    <w:rsid w:val="00E356CB"/>
    <w:rsid w:val="00E409DD"/>
    <w:rsid w:val="00E4558A"/>
    <w:rsid w:val="00E500E8"/>
    <w:rsid w:val="00E50C1C"/>
    <w:rsid w:val="00E51236"/>
    <w:rsid w:val="00E51FD8"/>
    <w:rsid w:val="00E62704"/>
    <w:rsid w:val="00E646A0"/>
    <w:rsid w:val="00E65743"/>
    <w:rsid w:val="00E67A73"/>
    <w:rsid w:val="00E67C75"/>
    <w:rsid w:val="00E74CC5"/>
    <w:rsid w:val="00E75EB1"/>
    <w:rsid w:val="00E77959"/>
    <w:rsid w:val="00E8778D"/>
    <w:rsid w:val="00E914E1"/>
    <w:rsid w:val="00E925CD"/>
    <w:rsid w:val="00E92AA0"/>
    <w:rsid w:val="00E93819"/>
    <w:rsid w:val="00E94E31"/>
    <w:rsid w:val="00E96FBD"/>
    <w:rsid w:val="00EA32B3"/>
    <w:rsid w:val="00EA4F16"/>
    <w:rsid w:val="00EA5528"/>
    <w:rsid w:val="00EB2A58"/>
    <w:rsid w:val="00EB3CA6"/>
    <w:rsid w:val="00EB472D"/>
    <w:rsid w:val="00EB491B"/>
    <w:rsid w:val="00EB7DCD"/>
    <w:rsid w:val="00EC1C8A"/>
    <w:rsid w:val="00EC39A8"/>
    <w:rsid w:val="00EC754A"/>
    <w:rsid w:val="00ED4623"/>
    <w:rsid w:val="00ED5A65"/>
    <w:rsid w:val="00ED64A6"/>
    <w:rsid w:val="00EE1409"/>
    <w:rsid w:val="00EF1B95"/>
    <w:rsid w:val="00EF29A1"/>
    <w:rsid w:val="00F01773"/>
    <w:rsid w:val="00F06DB6"/>
    <w:rsid w:val="00F10DF3"/>
    <w:rsid w:val="00F10F93"/>
    <w:rsid w:val="00F11FBE"/>
    <w:rsid w:val="00F22781"/>
    <w:rsid w:val="00F31C04"/>
    <w:rsid w:val="00F32017"/>
    <w:rsid w:val="00F321F1"/>
    <w:rsid w:val="00F33764"/>
    <w:rsid w:val="00F36B6A"/>
    <w:rsid w:val="00F469F2"/>
    <w:rsid w:val="00F55B31"/>
    <w:rsid w:val="00F61BAE"/>
    <w:rsid w:val="00F71672"/>
    <w:rsid w:val="00F72188"/>
    <w:rsid w:val="00F74492"/>
    <w:rsid w:val="00F87871"/>
    <w:rsid w:val="00F91C7F"/>
    <w:rsid w:val="00F9443E"/>
    <w:rsid w:val="00F94770"/>
    <w:rsid w:val="00F95070"/>
    <w:rsid w:val="00FA0A82"/>
    <w:rsid w:val="00FA0E3F"/>
    <w:rsid w:val="00FA5209"/>
    <w:rsid w:val="00FB00AB"/>
    <w:rsid w:val="00FB18A6"/>
    <w:rsid w:val="00FB1B84"/>
    <w:rsid w:val="00FB3733"/>
    <w:rsid w:val="00FB4346"/>
    <w:rsid w:val="00FB74A8"/>
    <w:rsid w:val="00FC016F"/>
    <w:rsid w:val="00FC106B"/>
    <w:rsid w:val="00FC18F5"/>
    <w:rsid w:val="00FC2E51"/>
    <w:rsid w:val="00FC3226"/>
    <w:rsid w:val="00FC3228"/>
    <w:rsid w:val="00FC3DCC"/>
    <w:rsid w:val="00FC5DBD"/>
    <w:rsid w:val="00FD10E8"/>
    <w:rsid w:val="00FD1106"/>
    <w:rsid w:val="00FD18E7"/>
    <w:rsid w:val="00FD6C9B"/>
    <w:rsid w:val="00FE3399"/>
    <w:rsid w:val="00FE6C9F"/>
    <w:rsid w:val="00FE7F39"/>
    <w:rsid w:val="00FF044E"/>
    <w:rsid w:val="00FF0FA0"/>
    <w:rsid w:val="00FF1755"/>
    <w:rsid w:val="00FF39F3"/>
    <w:rsid w:val="00FF513C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CE9EE"/>
  <w15:docId w15:val="{216FE73D-6E23-4834-A41B-DC1F23EF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202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57D50"/>
    <w:pPr>
      <w:widowControl w:val="0"/>
      <w:suppressAutoHyphens/>
      <w:spacing w:after="120"/>
      <w:jc w:val="both"/>
    </w:pPr>
    <w:rPr>
      <w:rFonts w:eastAsia="Arial Unicode MS"/>
    </w:rPr>
  </w:style>
  <w:style w:type="paragraph" w:customStyle="1" w:styleId="WW-Privzeto">
    <w:name w:val="WW-Privzeto"/>
    <w:rsid w:val="00CE0DA3"/>
    <w:pPr>
      <w:suppressAutoHyphens/>
      <w:autoSpaceDE w:val="0"/>
    </w:pPr>
    <w:rPr>
      <w:rFonts w:cs="Tahoma"/>
      <w:sz w:val="24"/>
      <w:szCs w:val="24"/>
      <w:lang w:eastAsia="ar-SA"/>
    </w:rPr>
  </w:style>
  <w:style w:type="paragraph" w:styleId="Noga">
    <w:name w:val="footer"/>
    <w:basedOn w:val="Navaden"/>
    <w:rsid w:val="00281D5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81D59"/>
  </w:style>
  <w:style w:type="paragraph" w:styleId="Besedilooblaka">
    <w:name w:val="Balloon Text"/>
    <w:basedOn w:val="Navaden"/>
    <w:semiHidden/>
    <w:rsid w:val="00F469F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875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75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75E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75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75E2"/>
    <w:rPr>
      <w:b/>
      <w:bCs/>
    </w:rPr>
  </w:style>
  <w:style w:type="paragraph" w:styleId="Revizija">
    <w:name w:val="Revision"/>
    <w:hidden/>
    <w:uiPriority w:val="99"/>
    <w:semiHidden/>
    <w:rsid w:val="00310B8E"/>
    <w:rPr>
      <w:sz w:val="24"/>
      <w:szCs w:val="24"/>
    </w:rPr>
  </w:style>
  <w:style w:type="character" w:styleId="Hiperpovezava">
    <w:name w:val="Hyperlink"/>
    <w:uiPriority w:val="99"/>
    <w:rsid w:val="0026759C"/>
    <w:rPr>
      <w:color w:val="000080"/>
      <w:u w:val="single"/>
    </w:rPr>
  </w:style>
  <w:style w:type="paragraph" w:styleId="Odstavekseznama">
    <w:name w:val="List Paragraph"/>
    <w:basedOn w:val="Navaden"/>
    <w:uiPriority w:val="34"/>
    <w:qFormat/>
    <w:rsid w:val="007D23A4"/>
    <w:pPr>
      <w:ind w:left="720"/>
      <w:contextualSpacing/>
    </w:pPr>
  </w:style>
  <w:style w:type="paragraph" w:customStyle="1" w:styleId="HTML-oblikovano1">
    <w:name w:val="HTML-oblikovano1"/>
    <w:basedOn w:val="Navaden"/>
    <w:rsid w:val="00795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6CEA-2E53-45DB-B5E0-5FF038FA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5647</Characters>
  <Application>Microsoft Office Word</Application>
  <DocSecurity>4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prostorskem načrtovanju /ZPNačrt/ (Ur</vt:lpstr>
    </vt:vector>
  </TitlesOfParts>
  <Company>IPSUM D.O.O.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prostorskem načrtovanju /ZPNačrt/ (Ur</dc:title>
  <dc:creator>Uporabnik</dc:creator>
  <cp:lastModifiedBy>Jana</cp:lastModifiedBy>
  <cp:revision>2</cp:revision>
  <cp:lastPrinted>2015-09-11T09:43:00Z</cp:lastPrinted>
  <dcterms:created xsi:type="dcterms:W3CDTF">2015-09-11T10:19:00Z</dcterms:created>
  <dcterms:modified xsi:type="dcterms:W3CDTF">2015-09-11T10:19:00Z</dcterms:modified>
</cp:coreProperties>
</file>