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81" w:rsidRPr="009649F2" w:rsidRDefault="00895A81">
      <w:pPr>
        <w:rPr>
          <w:b/>
          <w:u w:val="single"/>
        </w:rPr>
      </w:pPr>
      <w:bookmarkStart w:id="0" w:name="_GoBack"/>
      <w:bookmarkEnd w:id="0"/>
      <w:r w:rsidRPr="009649F2">
        <w:rPr>
          <w:b/>
          <w:u w:val="single"/>
        </w:rPr>
        <w:t xml:space="preserve">Gradivo za </w:t>
      </w:r>
      <w:r w:rsidR="00AB3E93" w:rsidRPr="009649F2">
        <w:rPr>
          <w:b/>
          <w:u w:val="single"/>
        </w:rPr>
        <w:t xml:space="preserve">sejo </w:t>
      </w:r>
      <w:r w:rsidR="001D6B0C">
        <w:rPr>
          <w:b/>
          <w:u w:val="single"/>
        </w:rPr>
        <w:t xml:space="preserve">Mestnega </w:t>
      </w:r>
      <w:r w:rsidR="00AB3E93" w:rsidRPr="009649F2">
        <w:rPr>
          <w:b/>
          <w:u w:val="single"/>
        </w:rPr>
        <w:t xml:space="preserve">sveta </w:t>
      </w:r>
      <w:r w:rsidR="001D6B0C">
        <w:rPr>
          <w:b/>
          <w:u w:val="single"/>
        </w:rPr>
        <w:t>Mestne o</w:t>
      </w:r>
      <w:r w:rsidR="00AB3E93" w:rsidRPr="009649F2">
        <w:rPr>
          <w:b/>
          <w:u w:val="single"/>
        </w:rPr>
        <w:t xml:space="preserve">bčine </w:t>
      </w:r>
      <w:r w:rsidR="001D6B0C">
        <w:rPr>
          <w:b/>
          <w:u w:val="single"/>
        </w:rPr>
        <w:t>Ptuj</w:t>
      </w:r>
      <w:r w:rsidR="00AB3E93" w:rsidRPr="009649F2">
        <w:rPr>
          <w:b/>
          <w:u w:val="single"/>
        </w:rPr>
        <w:t>, dne</w:t>
      </w:r>
      <w:r w:rsidRPr="009649F2">
        <w:rPr>
          <w:b/>
          <w:u w:val="single"/>
        </w:rPr>
        <w:t xml:space="preserve"> </w:t>
      </w:r>
      <w:r w:rsidR="001D6B0C">
        <w:rPr>
          <w:b/>
          <w:u w:val="single"/>
        </w:rPr>
        <w:t>2</w:t>
      </w:r>
      <w:r w:rsidRPr="009649F2">
        <w:rPr>
          <w:b/>
          <w:u w:val="single"/>
        </w:rPr>
        <w:t>1</w:t>
      </w:r>
      <w:r w:rsidR="001D6B0C">
        <w:rPr>
          <w:b/>
          <w:u w:val="single"/>
        </w:rPr>
        <w:t>.11</w:t>
      </w:r>
      <w:r w:rsidRPr="009649F2">
        <w:rPr>
          <w:b/>
          <w:u w:val="single"/>
        </w:rPr>
        <w:t>.2016:</w:t>
      </w:r>
    </w:p>
    <w:p w:rsidR="00AB3E93" w:rsidRDefault="00AB3E93">
      <w:pPr>
        <w:rPr>
          <w:rFonts w:ascii="Arial" w:hAnsi="Arial" w:cs="Arial"/>
          <w:b/>
          <w:sz w:val="24"/>
          <w:szCs w:val="24"/>
        </w:rPr>
      </w:pPr>
    </w:p>
    <w:p w:rsidR="00895A81" w:rsidRPr="00895A81" w:rsidRDefault="00895A81">
      <w:pPr>
        <w:rPr>
          <w:rFonts w:ascii="Arial" w:hAnsi="Arial" w:cs="Arial"/>
          <w:b/>
          <w:sz w:val="24"/>
          <w:szCs w:val="24"/>
        </w:rPr>
      </w:pPr>
      <w:r w:rsidRPr="00895A81">
        <w:rPr>
          <w:rFonts w:ascii="Arial" w:hAnsi="Arial" w:cs="Arial"/>
          <w:b/>
          <w:sz w:val="24"/>
          <w:szCs w:val="24"/>
        </w:rPr>
        <w:t xml:space="preserve">CELOSTNA PROMETNA STRATEGIJA </w:t>
      </w:r>
      <w:r w:rsidR="001D6B0C">
        <w:rPr>
          <w:rFonts w:ascii="Arial" w:hAnsi="Arial" w:cs="Arial"/>
          <w:b/>
          <w:sz w:val="24"/>
          <w:szCs w:val="24"/>
        </w:rPr>
        <w:t xml:space="preserve">MESTNE </w:t>
      </w:r>
      <w:r w:rsidRPr="00895A81">
        <w:rPr>
          <w:rFonts w:ascii="Arial" w:hAnsi="Arial" w:cs="Arial"/>
          <w:b/>
          <w:sz w:val="24"/>
          <w:szCs w:val="24"/>
        </w:rPr>
        <w:t xml:space="preserve">OBČINE </w:t>
      </w:r>
      <w:r w:rsidR="001D6B0C">
        <w:rPr>
          <w:rFonts w:ascii="Arial" w:hAnsi="Arial" w:cs="Arial"/>
          <w:b/>
          <w:sz w:val="24"/>
          <w:szCs w:val="24"/>
        </w:rPr>
        <w:t>PTUJ</w:t>
      </w:r>
    </w:p>
    <w:p w:rsidR="00895A81" w:rsidRDefault="0036258D" w:rsidP="00895A81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Mestna o</w:t>
      </w:r>
      <w:r w:rsidR="00895A81">
        <w:rPr>
          <w:rFonts w:ascii="Arial" w:hAnsi="Arial" w:cs="Arial"/>
          <w:bCs/>
          <w:color w:val="000000"/>
        </w:rPr>
        <w:t xml:space="preserve">bčina </w:t>
      </w:r>
      <w:r>
        <w:rPr>
          <w:rFonts w:ascii="Arial" w:hAnsi="Arial" w:cs="Arial"/>
          <w:bCs/>
          <w:color w:val="000000"/>
        </w:rPr>
        <w:t>Ptuj</w:t>
      </w:r>
      <w:r w:rsidR="00AB3E93">
        <w:rPr>
          <w:rFonts w:ascii="Arial" w:hAnsi="Arial" w:cs="Arial"/>
          <w:bCs/>
          <w:color w:val="000000"/>
        </w:rPr>
        <w:t xml:space="preserve"> </w:t>
      </w:r>
      <w:r w:rsidR="00895A81">
        <w:rPr>
          <w:rFonts w:ascii="Arial" w:hAnsi="Arial" w:cs="Arial"/>
          <w:bCs/>
          <w:color w:val="000000"/>
        </w:rPr>
        <w:t xml:space="preserve">je bila uspešna na javnem razpisu za sofinanciranje operacij Celostne prometne strategije v okviru Operativnega programa za izvajanje Evropske kohezijske politike v obdobju 2014-2020 s projektom »Celostna prometna strategija </w:t>
      </w:r>
      <w:r>
        <w:rPr>
          <w:rFonts w:ascii="Arial" w:hAnsi="Arial" w:cs="Arial"/>
          <w:bCs/>
          <w:color w:val="000000"/>
        </w:rPr>
        <w:t>Mestne o</w:t>
      </w:r>
      <w:r w:rsidR="00895A81">
        <w:rPr>
          <w:rFonts w:ascii="Arial" w:hAnsi="Arial" w:cs="Arial"/>
          <w:bCs/>
          <w:color w:val="000000"/>
        </w:rPr>
        <w:t xml:space="preserve">bčine </w:t>
      </w:r>
      <w:r>
        <w:rPr>
          <w:rFonts w:ascii="Arial" w:hAnsi="Arial" w:cs="Arial"/>
          <w:bCs/>
          <w:color w:val="000000"/>
        </w:rPr>
        <w:t>Ptuj« v višini 27</w:t>
      </w:r>
      <w:r w:rsidR="00895A8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850</w:t>
      </w:r>
      <w:r w:rsidR="00895A81">
        <w:rPr>
          <w:rFonts w:ascii="Arial" w:hAnsi="Arial" w:cs="Arial"/>
          <w:bCs/>
          <w:color w:val="000000"/>
        </w:rPr>
        <w:t xml:space="preserve">,00 EUR (brez DDV). </w:t>
      </w:r>
    </w:p>
    <w:p w:rsidR="004F4A87" w:rsidRPr="00DC455A" w:rsidRDefault="00AB3E93" w:rsidP="00895A8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Na podlagi javnega razpisa, ki je sledil je </w:t>
      </w:r>
      <w:r w:rsidR="004F4A87">
        <w:rPr>
          <w:rFonts w:ascii="Arial" w:hAnsi="Arial" w:cs="Arial"/>
          <w:bCs/>
          <w:color w:val="000000"/>
        </w:rPr>
        <w:t xml:space="preserve">za izvajalca, </w:t>
      </w:r>
      <w:r>
        <w:rPr>
          <w:rFonts w:ascii="Arial" w:hAnsi="Arial" w:cs="Arial"/>
          <w:bCs/>
          <w:color w:val="000000"/>
        </w:rPr>
        <w:t xml:space="preserve">kot najugodnejši ponudnik bila izbrana </w:t>
      </w:r>
      <w:r w:rsidR="0036258D">
        <w:rPr>
          <w:rFonts w:ascii="Arial" w:hAnsi="Arial" w:cs="Arial"/>
          <w:bCs/>
          <w:color w:val="000000"/>
        </w:rPr>
        <w:t xml:space="preserve">skupina izvajalcev </w:t>
      </w:r>
      <w:r>
        <w:rPr>
          <w:rFonts w:ascii="Arial" w:hAnsi="Arial" w:cs="Arial"/>
          <w:bCs/>
          <w:color w:val="000000"/>
        </w:rPr>
        <w:t>Fakulteta za gradbeništvo, prometno inženirstvo in arhitekturo, Univerze v Mariboru</w:t>
      </w:r>
      <w:r w:rsidR="0036258D">
        <w:rPr>
          <w:rFonts w:ascii="Arial" w:hAnsi="Arial" w:cs="Arial"/>
          <w:bCs/>
          <w:color w:val="000000"/>
        </w:rPr>
        <w:t xml:space="preserve">, Znanstveno-raziskovalno središče Bistra Ptuj in ZUM urbanizem, planiranje, </w:t>
      </w:r>
      <w:r w:rsidR="0036258D" w:rsidRPr="00DC455A">
        <w:rPr>
          <w:rFonts w:ascii="Arial" w:hAnsi="Arial" w:cs="Arial"/>
          <w:bCs/>
        </w:rPr>
        <w:t>projektiranje d.o.o</w:t>
      </w:r>
      <w:r w:rsidRPr="00DC455A">
        <w:rPr>
          <w:rFonts w:ascii="Arial" w:hAnsi="Arial" w:cs="Arial"/>
          <w:bCs/>
        </w:rPr>
        <w:t>.</w:t>
      </w:r>
    </w:p>
    <w:p w:rsidR="00AB3E93" w:rsidRDefault="003874AA" w:rsidP="00895A81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C455A">
        <w:rPr>
          <w:rFonts w:ascii="Arial" w:hAnsi="Arial" w:cs="Arial"/>
          <w:bCs/>
        </w:rPr>
        <w:t xml:space="preserve">Rok za dokončanje strategije je do </w:t>
      </w:r>
      <w:r w:rsidR="00366631" w:rsidRPr="00DC455A">
        <w:rPr>
          <w:rFonts w:ascii="Arial" w:hAnsi="Arial" w:cs="Arial"/>
          <w:bCs/>
        </w:rPr>
        <w:t>30. 6. 2017.</w:t>
      </w:r>
      <w:r w:rsidR="000A3D58" w:rsidRPr="00DC455A">
        <w:rPr>
          <w:rFonts w:ascii="Arial" w:hAnsi="Arial" w:cs="Arial"/>
          <w:bCs/>
        </w:rPr>
        <w:t xml:space="preserve"> V pripravo bodo poleg zunanjih izvajalcev </w:t>
      </w:r>
      <w:r w:rsidR="000A3D58">
        <w:rPr>
          <w:rFonts w:ascii="Arial" w:hAnsi="Arial" w:cs="Arial"/>
          <w:bCs/>
          <w:color w:val="000000"/>
        </w:rPr>
        <w:t xml:space="preserve">vključeni tudi naročnik Mestna občina Ptuj in ključni deležniki iz lokalnega okolja. </w:t>
      </w:r>
    </w:p>
    <w:p w:rsidR="000A3D58" w:rsidRPr="003874AA" w:rsidRDefault="000A3D58" w:rsidP="00D20E70">
      <w:pPr>
        <w:spacing w:after="0" w:line="36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000000"/>
        </w:rPr>
        <w:t>Struktura širše delovne skupine za pripravo CPS:</w:t>
      </w:r>
    </w:p>
    <w:p w:rsidR="000A3D58" w:rsidRDefault="00D20E70" w:rsidP="000A3D58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noProof/>
          <w:lang w:eastAsia="sl-SI"/>
        </w:rPr>
        <w:drawing>
          <wp:inline distT="0" distB="0" distL="0" distR="0">
            <wp:extent cx="6010704" cy="3017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6796" t="32000" r="19871" b="17129"/>
                    <a:stretch/>
                  </pic:blipFill>
                  <pic:spPr bwMode="auto">
                    <a:xfrm>
                      <a:off x="0" y="0"/>
                      <a:ext cx="6026692" cy="3025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027" w:rsidRDefault="00722027" w:rsidP="00895A81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2202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VSEBINA IN OPIS AKTIVNOSTI</w:t>
      </w:r>
    </w:p>
    <w:p w:rsidR="009649F2" w:rsidRDefault="009649F2" w:rsidP="009649F2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Celostna prometna strategija (v nadaljevanju CPS) je strateški dokument, s katerim občina oriše učinkovito zaporedje ukrepov na področju hoje, kolesarjenja, javnega potniškega prometa</w:t>
      </w:r>
      <w:r w:rsidR="009E463B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motoriziranega prometa</w:t>
      </w:r>
      <w:r w:rsidR="009E463B">
        <w:rPr>
          <w:rFonts w:ascii="Arial" w:hAnsi="Arial" w:cs="Arial"/>
          <w:bCs/>
          <w:color w:val="000000"/>
        </w:rPr>
        <w:t xml:space="preserve"> in celostnega prometnega načrtovanja</w:t>
      </w:r>
      <w:r>
        <w:rPr>
          <w:rFonts w:ascii="Arial" w:hAnsi="Arial" w:cs="Arial"/>
          <w:bCs/>
          <w:color w:val="000000"/>
        </w:rPr>
        <w:t xml:space="preserve">. S pomočjo CPS želi občina </w:t>
      </w:r>
      <w:r w:rsidR="009E463B">
        <w:rPr>
          <w:rFonts w:ascii="Arial" w:hAnsi="Arial" w:cs="Arial"/>
          <w:bCs/>
          <w:color w:val="000000"/>
        </w:rPr>
        <w:t xml:space="preserve">na dolgi rok </w:t>
      </w:r>
      <w:r>
        <w:rPr>
          <w:rFonts w:ascii="Arial" w:hAnsi="Arial" w:cs="Arial"/>
          <w:bCs/>
          <w:color w:val="000000"/>
        </w:rPr>
        <w:t>vzpostaviti trajnostn</w:t>
      </w:r>
      <w:r w:rsidR="0045371A">
        <w:rPr>
          <w:rFonts w:ascii="Arial" w:hAnsi="Arial" w:cs="Arial"/>
          <w:bCs/>
          <w:color w:val="000000"/>
        </w:rPr>
        <w:t>i</w:t>
      </w:r>
      <w:r w:rsidR="009E463B">
        <w:rPr>
          <w:rFonts w:ascii="Arial" w:hAnsi="Arial" w:cs="Arial"/>
          <w:bCs/>
          <w:color w:val="000000"/>
        </w:rPr>
        <w:t xml:space="preserve"> </w:t>
      </w:r>
      <w:r w:rsidR="0045371A">
        <w:rPr>
          <w:rFonts w:ascii="Arial" w:hAnsi="Arial" w:cs="Arial"/>
          <w:bCs/>
          <w:color w:val="000000"/>
        </w:rPr>
        <w:t>prometni sistem</w:t>
      </w:r>
      <w:r>
        <w:rPr>
          <w:rFonts w:ascii="Arial" w:hAnsi="Arial" w:cs="Arial"/>
          <w:bCs/>
          <w:color w:val="000000"/>
        </w:rPr>
        <w:t>, ki bo zagotavljal dosto</w:t>
      </w:r>
      <w:r w:rsidR="009E463B">
        <w:rPr>
          <w:rFonts w:ascii="Arial" w:hAnsi="Arial" w:cs="Arial"/>
          <w:bCs/>
          <w:color w:val="000000"/>
        </w:rPr>
        <w:t>pnost delovnih mest in storitev</w:t>
      </w:r>
      <w:r>
        <w:rPr>
          <w:rFonts w:ascii="Arial" w:hAnsi="Arial" w:cs="Arial"/>
          <w:bCs/>
          <w:color w:val="000000"/>
        </w:rPr>
        <w:t xml:space="preserve">, odpravljal socialno izključenost </w:t>
      </w:r>
      <w:r w:rsidR="009E463B">
        <w:rPr>
          <w:rFonts w:ascii="Arial" w:hAnsi="Arial" w:cs="Arial"/>
          <w:bCs/>
          <w:color w:val="000000"/>
        </w:rPr>
        <w:t>ranljivejših skupin prebivalcev</w:t>
      </w:r>
      <w:r>
        <w:rPr>
          <w:rFonts w:ascii="Arial" w:hAnsi="Arial" w:cs="Arial"/>
          <w:bCs/>
          <w:color w:val="000000"/>
        </w:rPr>
        <w:t xml:space="preserve"> (invalidi, starejši, mladi</w:t>
      </w:r>
      <w:r w:rsidR="009E463B">
        <w:rPr>
          <w:rFonts w:ascii="Arial" w:hAnsi="Arial" w:cs="Arial"/>
          <w:bCs/>
          <w:color w:val="000000"/>
        </w:rPr>
        <w:t xml:space="preserve">, ekonomsko šibki) in </w:t>
      </w:r>
      <w:r>
        <w:rPr>
          <w:rFonts w:ascii="Arial" w:hAnsi="Arial" w:cs="Arial"/>
          <w:bCs/>
          <w:color w:val="000000"/>
        </w:rPr>
        <w:t xml:space="preserve">izboljšal kazalnike na področju onesnaževanja </w:t>
      </w:r>
      <w:r w:rsidR="009E463B">
        <w:rPr>
          <w:rFonts w:ascii="Arial" w:hAnsi="Arial" w:cs="Arial"/>
          <w:bCs/>
          <w:color w:val="000000"/>
        </w:rPr>
        <w:t xml:space="preserve">okolja </w:t>
      </w:r>
      <w:r>
        <w:rPr>
          <w:rFonts w:ascii="Arial" w:hAnsi="Arial" w:cs="Arial"/>
          <w:bCs/>
          <w:color w:val="000000"/>
        </w:rPr>
        <w:t>in prometne varnosti.</w:t>
      </w:r>
    </w:p>
    <w:p w:rsidR="003874AA" w:rsidRPr="00D04B08" w:rsidRDefault="003874AA" w:rsidP="003874AA">
      <w:pPr>
        <w:pStyle w:val="Text"/>
        <w:spacing w:after="0" w:line="360" w:lineRule="auto"/>
        <w:jc w:val="both"/>
        <w:rPr>
          <w:rFonts w:cs="Arial"/>
          <w:lang w:val="sl-SI"/>
        </w:rPr>
      </w:pPr>
      <w:r w:rsidRPr="00D04B08">
        <w:rPr>
          <w:rFonts w:cs="Arial"/>
          <w:bCs/>
          <w:color w:val="000000"/>
          <w:lang w:val="sl-SI"/>
        </w:rPr>
        <w:t>Pomemben predpogoj je celostno prometno načrtovanje, ki v ospredje postavlja ljudi in ne avtomobile</w:t>
      </w:r>
      <w:r>
        <w:rPr>
          <w:rFonts w:cs="Arial"/>
          <w:bCs/>
          <w:color w:val="000000"/>
          <w:lang w:val="sl-SI"/>
        </w:rPr>
        <w:t>, kar pomeni, da sta</w:t>
      </w:r>
      <w:r w:rsidRPr="003874AA">
        <w:rPr>
          <w:rFonts w:cs="Arial"/>
          <w:bCs/>
          <w:color w:val="FF0000"/>
          <w:lang w:val="sl-SI"/>
        </w:rPr>
        <w:t xml:space="preserve"> </w:t>
      </w:r>
      <w:r>
        <w:rPr>
          <w:rFonts w:cs="Arial"/>
          <w:bCs/>
          <w:color w:val="000000"/>
          <w:lang w:val="sl-SI"/>
        </w:rPr>
        <w:t>d</w:t>
      </w:r>
      <w:r w:rsidRPr="00D04B08">
        <w:rPr>
          <w:rFonts w:cs="Arial"/>
          <w:bCs/>
          <w:color w:val="000000"/>
          <w:lang w:val="sl-SI"/>
        </w:rPr>
        <w:t xml:space="preserve">ostopnost in kakovost bivanja pomembnejša od </w:t>
      </w:r>
      <w:r w:rsidRPr="00D04B08">
        <w:rPr>
          <w:rFonts w:cs="Arial"/>
          <w:lang w:val="sl-SI"/>
        </w:rPr>
        <w:t>pretočnosti in hitrosti motoriziranega prometa.</w:t>
      </w:r>
    </w:p>
    <w:p w:rsidR="001D6B0C" w:rsidRDefault="001D6B0C" w:rsidP="00BD3E8C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4B607C" w:rsidRPr="002E2E48" w:rsidRDefault="004B607C" w:rsidP="004B607C">
      <w:pPr>
        <w:rPr>
          <w:rFonts w:ascii="Arial" w:hAnsi="Arial" w:cs="Arial"/>
          <w:b/>
        </w:rPr>
      </w:pPr>
      <w:r w:rsidRPr="002E2E48">
        <w:rPr>
          <w:rFonts w:ascii="Arial" w:hAnsi="Arial" w:cs="Arial"/>
          <w:b/>
        </w:rPr>
        <w:t xml:space="preserve">Razlika med tradicionalnim in celostnim </w:t>
      </w:r>
      <w:r w:rsidR="002E2E48">
        <w:rPr>
          <w:rFonts w:ascii="Arial" w:hAnsi="Arial" w:cs="Arial"/>
          <w:b/>
        </w:rPr>
        <w:t xml:space="preserve">prometnim </w:t>
      </w:r>
      <w:r w:rsidRPr="002E2E48">
        <w:rPr>
          <w:rFonts w:ascii="Arial" w:hAnsi="Arial" w:cs="Arial"/>
          <w:b/>
        </w:rPr>
        <w:t>načrtovanjem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477"/>
        <w:gridCol w:w="3748"/>
      </w:tblGrid>
      <w:tr w:rsidR="004B607C" w:rsidRPr="002053C4" w:rsidTr="002053C4">
        <w:trPr>
          <w:trHeight w:val="583"/>
          <w:jc w:val="center"/>
        </w:trPr>
        <w:tc>
          <w:tcPr>
            <w:tcW w:w="3477" w:type="dxa"/>
            <w:vAlign w:val="center"/>
          </w:tcPr>
          <w:p w:rsidR="004B607C" w:rsidRPr="002053C4" w:rsidRDefault="004B607C" w:rsidP="002E2E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53C4">
              <w:rPr>
                <w:rFonts w:ascii="Arial" w:hAnsi="Arial" w:cs="Arial"/>
                <w:sz w:val="20"/>
                <w:szCs w:val="20"/>
                <w:u w:val="single"/>
              </w:rPr>
              <w:t>Tradicionalno načrtovanje</w:t>
            </w:r>
            <w:r w:rsidR="00212EE1" w:rsidRPr="002053C4">
              <w:rPr>
                <w:rFonts w:ascii="Arial" w:hAnsi="Arial" w:cs="Arial"/>
                <w:sz w:val="20"/>
                <w:szCs w:val="20"/>
                <w:u w:val="single"/>
              </w:rPr>
              <w:t xml:space="preserve"> prometa</w:t>
            </w:r>
          </w:p>
        </w:tc>
        <w:tc>
          <w:tcPr>
            <w:tcW w:w="3748" w:type="dxa"/>
            <w:vAlign w:val="center"/>
          </w:tcPr>
          <w:p w:rsidR="004B607C" w:rsidRPr="002053C4" w:rsidRDefault="004B607C" w:rsidP="002E2E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53C4">
              <w:rPr>
                <w:rFonts w:ascii="Arial" w:hAnsi="Arial" w:cs="Arial"/>
                <w:sz w:val="20"/>
                <w:szCs w:val="20"/>
                <w:u w:val="single"/>
              </w:rPr>
              <w:t>Celostno načrtovanje</w:t>
            </w:r>
            <w:r w:rsidR="00212EE1" w:rsidRPr="002053C4">
              <w:rPr>
                <w:rFonts w:ascii="Arial" w:hAnsi="Arial" w:cs="Arial"/>
                <w:sz w:val="20"/>
                <w:szCs w:val="20"/>
                <w:u w:val="single"/>
              </w:rPr>
              <w:t xml:space="preserve"> prometa</w:t>
            </w:r>
          </w:p>
        </w:tc>
      </w:tr>
      <w:tr w:rsidR="004B607C" w:rsidRPr="002053C4" w:rsidTr="002053C4">
        <w:trPr>
          <w:trHeight w:val="583"/>
          <w:jc w:val="center"/>
        </w:trPr>
        <w:tc>
          <w:tcPr>
            <w:tcW w:w="3477" w:type="dxa"/>
            <w:vAlign w:val="center"/>
          </w:tcPr>
          <w:p w:rsidR="004B607C" w:rsidRPr="002053C4" w:rsidRDefault="004B607C" w:rsidP="00350B4C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Osrednji predmet obravnave je infrastruktura</w:t>
            </w:r>
          </w:p>
        </w:tc>
        <w:tc>
          <w:tcPr>
            <w:tcW w:w="3748" w:type="dxa"/>
            <w:vAlign w:val="center"/>
          </w:tcPr>
          <w:p w:rsidR="004B607C" w:rsidRPr="002053C4" w:rsidRDefault="004B607C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Infrastruktura je eden od načinov doseganj</w:t>
            </w:r>
            <w:r w:rsidR="00212EE1" w:rsidRPr="002053C4">
              <w:rPr>
                <w:rFonts w:ascii="Arial" w:hAnsi="Arial" w:cs="Arial"/>
                <w:sz w:val="20"/>
                <w:szCs w:val="20"/>
              </w:rPr>
              <w:t>a</w:t>
            </w:r>
            <w:r w:rsidRPr="002053C4">
              <w:rPr>
                <w:rFonts w:ascii="Arial" w:hAnsi="Arial" w:cs="Arial"/>
                <w:sz w:val="20"/>
                <w:szCs w:val="20"/>
              </w:rPr>
              <w:t xml:space="preserve"> širših ciljev </w:t>
            </w:r>
          </w:p>
        </w:tc>
      </w:tr>
      <w:tr w:rsidR="00BD3E8C" w:rsidRPr="002053C4" w:rsidTr="002053C4">
        <w:trPr>
          <w:trHeight w:val="583"/>
          <w:jc w:val="center"/>
        </w:trPr>
        <w:tc>
          <w:tcPr>
            <w:tcW w:w="3477" w:type="dxa"/>
            <w:vAlign w:val="center"/>
          </w:tcPr>
          <w:p w:rsidR="00BD3E8C" w:rsidRPr="002053C4" w:rsidRDefault="00BD3E8C" w:rsidP="00350B4C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Osrednja cilja sta pretočnost in hitrost</w:t>
            </w:r>
          </w:p>
        </w:tc>
        <w:tc>
          <w:tcPr>
            <w:tcW w:w="3748" w:type="dxa"/>
            <w:vAlign w:val="center"/>
          </w:tcPr>
          <w:p w:rsidR="00BD3E8C" w:rsidRPr="002053C4" w:rsidRDefault="00BD3E8C" w:rsidP="00350B4C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Osrednja cilja sta dostopnost in kakovost bivanja</w:t>
            </w:r>
          </w:p>
        </w:tc>
      </w:tr>
      <w:tr w:rsidR="00212EE1" w:rsidRPr="002053C4" w:rsidTr="002053C4">
        <w:trPr>
          <w:trHeight w:val="583"/>
          <w:jc w:val="center"/>
        </w:trPr>
        <w:tc>
          <w:tcPr>
            <w:tcW w:w="3477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Osredotočenost na avtomobile</w:t>
            </w:r>
          </w:p>
        </w:tc>
        <w:tc>
          <w:tcPr>
            <w:tcW w:w="3748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Osredotočenost na človeka</w:t>
            </w:r>
          </w:p>
        </w:tc>
      </w:tr>
      <w:tr w:rsidR="00212EE1" w:rsidRPr="002053C4" w:rsidTr="002053C4">
        <w:trPr>
          <w:trHeight w:val="583"/>
          <w:jc w:val="center"/>
        </w:trPr>
        <w:tc>
          <w:tcPr>
            <w:tcW w:w="3477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Projektno načrtovanje</w:t>
            </w:r>
          </w:p>
        </w:tc>
        <w:tc>
          <w:tcPr>
            <w:tcW w:w="3748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Strateško in ciljno načrtovanje</w:t>
            </w:r>
          </w:p>
        </w:tc>
      </w:tr>
      <w:tr w:rsidR="00212EE1" w:rsidRPr="002053C4" w:rsidTr="002053C4">
        <w:trPr>
          <w:trHeight w:val="583"/>
          <w:jc w:val="center"/>
        </w:trPr>
        <w:tc>
          <w:tcPr>
            <w:tcW w:w="3477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Netransparentno odločanje</w:t>
            </w:r>
          </w:p>
        </w:tc>
        <w:tc>
          <w:tcPr>
            <w:tcW w:w="3748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Transparentno odločanje z vključevanjem javnosti</w:t>
            </w:r>
          </w:p>
        </w:tc>
      </w:tr>
      <w:tr w:rsidR="00212EE1" w:rsidRPr="002053C4" w:rsidTr="002053C4">
        <w:trPr>
          <w:trHeight w:val="583"/>
          <w:jc w:val="center"/>
        </w:trPr>
        <w:tc>
          <w:tcPr>
            <w:tcW w:w="3477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Zadovoljevanje prometnega povpraševanja</w:t>
            </w:r>
          </w:p>
        </w:tc>
        <w:tc>
          <w:tcPr>
            <w:tcW w:w="3748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Upravljanje prometnega povpraševanja</w:t>
            </w:r>
          </w:p>
        </w:tc>
      </w:tr>
      <w:tr w:rsidR="00212EE1" w:rsidRPr="002053C4" w:rsidTr="002053C4">
        <w:trPr>
          <w:trHeight w:val="583"/>
          <w:jc w:val="center"/>
        </w:trPr>
        <w:tc>
          <w:tcPr>
            <w:tcW w:w="3477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Investicijsko intenzivno načrtovanje</w:t>
            </w:r>
          </w:p>
        </w:tc>
        <w:tc>
          <w:tcPr>
            <w:tcW w:w="3748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Stroškovno učinkovito načrtovanje</w:t>
            </w:r>
          </w:p>
        </w:tc>
      </w:tr>
      <w:tr w:rsidR="00212EE1" w:rsidRPr="002053C4" w:rsidTr="002053C4">
        <w:trPr>
          <w:trHeight w:val="583"/>
          <w:jc w:val="center"/>
        </w:trPr>
        <w:tc>
          <w:tcPr>
            <w:tcW w:w="3477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Izbor prometnih projektov brez strateških presoj</w:t>
            </w:r>
          </w:p>
        </w:tc>
        <w:tc>
          <w:tcPr>
            <w:tcW w:w="3748" w:type="dxa"/>
            <w:vAlign w:val="center"/>
          </w:tcPr>
          <w:p w:rsidR="00212EE1" w:rsidRPr="002053C4" w:rsidRDefault="00212EE1" w:rsidP="00212EE1">
            <w:pPr>
              <w:rPr>
                <w:rFonts w:ascii="Arial" w:hAnsi="Arial" w:cs="Arial"/>
                <w:sz w:val="20"/>
                <w:szCs w:val="20"/>
              </w:rPr>
            </w:pPr>
            <w:r w:rsidRPr="002053C4">
              <w:rPr>
                <w:rFonts w:ascii="Arial" w:hAnsi="Arial" w:cs="Arial"/>
                <w:sz w:val="20"/>
                <w:szCs w:val="20"/>
              </w:rPr>
              <w:t>Strateške presoje možnosti glede na zastavljene cilje</w:t>
            </w:r>
          </w:p>
        </w:tc>
      </w:tr>
    </w:tbl>
    <w:p w:rsidR="004B607C" w:rsidRDefault="004B607C" w:rsidP="009649F2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E463B" w:rsidRDefault="00722027" w:rsidP="00895A81">
      <w:pPr>
        <w:spacing w:line="360" w:lineRule="auto"/>
        <w:jc w:val="both"/>
        <w:rPr>
          <w:rFonts w:ascii="Arial" w:hAnsi="Arial" w:cs="Arial"/>
        </w:rPr>
      </w:pPr>
      <w:r w:rsidRPr="00935560">
        <w:rPr>
          <w:rFonts w:ascii="Arial" w:hAnsi="Arial" w:cs="Arial"/>
        </w:rPr>
        <w:lastRenderedPageBreak/>
        <w:t xml:space="preserve">CPS mora biti izdelana skladno s Smernicami za pripravo Celostne prometne strategije, </w:t>
      </w:r>
      <w:r w:rsidR="009E463B">
        <w:rPr>
          <w:rFonts w:ascii="Arial" w:hAnsi="Arial" w:cs="Arial"/>
        </w:rPr>
        <w:t xml:space="preserve">ki jih je leta 2012 izdalo </w:t>
      </w:r>
      <w:r w:rsidRPr="00935560">
        <w:rPr>
          <w:rFonts w:ascii="Arial" w:hAnsi="Arial" w:cs="Arial"/>
        </w:rPr>
        <w:t>Ministrstvo za infrastrukturo in prostor</w:t>
      </w:r>
      <w:r w:rsidR="009E463B">
        <w:rPr>
          <w:rFonts w:ascii="Arial" w:hAnsi="Arial" w:cs="Arial"/>
        </w:rPr>
        <w:t>.</w:t>
      </w:r>
    </w:p>
    <w:p w:rsidR="00BD3E8C" w:rsidRDefault="00895A81" w:rsidP="00895A81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Proces priprave CPS bo obsegal več sklopov, od analize stanja, oblikovanja scenarijev, identifikacije priložnosti, opredelitve prioritet, izb</w:t>
      </w:r>
      <w:r w:rsidR="00BD3E8C">
        <w:rPr>
          <w:rFonts w:ascii="Arial" w:hAnsi="Arial" w:cs="Arial"/>
          <w:bCs/>
          <w:color w:val="000000"/>
        </w:rPr>
        <w:t>ire ukrepov do sprejema CPS na Mestnem svetu Mestne o</w:t>
      </w:r>
      <w:r>
        <w:rPr>
          <w:rFonts w:ascii="Arial" w:hAnsi="Arial" w:cs="Arial"/>
          <w:bCs/>
          <w:color w:val="000000"/>
        </w:rPr>
        <w:t xml:space="preserve">bčine </w:t>
      </w:r>
      <w:r w:rsidR="00BD3E8C">
        <w:rPr>
          <w:rFonts w:ascii="Arial" w:hAnsi="Arial" w:cs="Arial"/>
          <w:bCs/>
          <w:color w:val="000000"/>
        </w:rPr>
        <w:t>Ptuj.</w:t>
      </w:r>
    </w:p>
    <w:p w:rsidR="00895A81" w:rsidRPr="00DC455A" w:rsidRDefault="00895A81" w:rsidP="00895A81">
      <w:pPr>
        <w:spacing w:line="360" w:lineRule="auto"/>
        <w:jc w:val="both"/>
        <w:rPr>
          <w:rFonts w:ascii="Arial" w:hAnsi="Arial" w:cs="Arial"/>
          <w:bCs/>
        </w:rPr>
      </w:pPr>
      <w:r w:rsidRPr="00DC455A">
        <w:rPr>
          <w:rFonts w:ascii="Arial" w:hAnsi="Arial" w:cs="Arial"/>
          <w:bCs/>
        </w:rPr>
        <w:t>Sprejet</w:t>
      </w:r>
      <w:r w:rsidR="00BD3E8C" w:rsidRPr="00DC455A">
        <w:rPr>
          <w:rFonts w:ascii="Arial" w:hAnsi="Arial" w:cs="Arial"/>
          <w:bCs/>
        </w:rPr>
        <w:t>a</w:t>
      </w:r>
      <w:r w:rsidRPr="00DC455A">
        <w:rPr>
          <w:rFonts w:ascii="Arial" w:hAnsi="Arial" w:cs="Arial"/>
          <w:bCs/>
        </w:rPr>
        <w:t xml:space="preserve"> </w:t>
      </w:r>
      <w:r w:rsidR="00BD3E8C" w:rsidRPr="00DC455A">
        <w:rPr>
          <w:rFonts w:ascii="Arial" w:hAnsi="Arial" w:cs="Arial"/>
          <w:bCs/>
        </w:rPr>
        <w:t xml:space="preserve">strategija </w:t>
      </w:r>
      <w:r w:rsidRPr="00DC455A">
        <w:rPr>
          <w:rFonts w:ascii="Arial" w:hAnsi="Arial" w:cs="Arial"/>
          <w:bCs/>
        </w:rPr>
        <w:t xml:space="preserve">bo tudi osnova za kandidiranje na razpisih </w:t>
      </w:r>
      <w:r w:rsidR="00526FBB" w:rsidRPr="00DC455A">
        <w:rPr>
          <w:rFonts w:ascii="Arial" w:hAnsi="Arial" w:cs="Arial"/>
          <w:bCs/>
        </w:rPr>
        <w:t xml:space="preserve">mehanizma CTN in na ostalih razpisih </w:t>
      </w:r>
      <w:r w:rsidRPr="00DC455A">
        <w:rPr>
          <w:rFonts w:ascii="Arial" w:hAnsi="Arial" w:cs="Arial"/>
          <w:bCs/>
        </w:rPr>
        <w:t xml:space="preserve">s področja trajnostne mobilnosti, </w:t>
      </w:r>
      <w:r w:rsidR="00526FBB" w:rsidRPr="00DC455A">
        <w:rPr>
          <w:rFonts w:ascii="Arial" w:hAnsi="Arial" w:cs="Arial"/>
          <w:bCs/>
        </w:rPr>
        <w:t xml:space="preserve">ki jih bo razpisalo Ministrstvo za infrastrukturo </w:t>
      </w:r>
      <w:r w:rsidR="00366631" w:rsidRPr="00DC455A">
        <w:rPr>
          <w:rFonts w:ascii="Arial" w:hAnsi="Arial" w:cs="Arial"/>
          <w:bCs/>
        </w:rPr>
        <w:t xml:space="preserve">(MZI) </w:t>
      </w:r>
      <w:r w:rsidR="00526FBB" w:rsidRPr="00DC455A">
        <w:rPr>
          <w:rFonts w:ascii="Arial" w:hAnsi="Arial" w:cs="Arial"/>
          <w:bCs/>
        </w:rPr>
        <w:t>in</w:t>
      </w:r>
      <w:r w:rsidRPr="00DC455A">
        <w:rPr>
          <w:rFonts w:ascii="Arial" w:hAnsi="Arial" w:cs="Arial"/>
          <w:bCs/>
        </w:rPr>
        <w:t xml:space="preserve"> bodo objavljeni predvidoma v drugi polovici leta 2017.</w:t>
      </w:r>
    </w:p>
    <w:p w:rsidR="00DC455A" w:rsidRDefault="00DC455A" w:rsidP="00895A8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22027" w:rsidRPr="00722027" w:rsidRDefault="00722027" w:rsidP="00895A8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722027">
        <w:rPr>
          <w:rFonts w:ascii="Arial" w:hAnsi="Arial" w:cs="Arial"/>
          <w:b/>
          <w:bCs/>
          <w:color w:val="000000"/>
        </w:rPr>
        <w:t>Aktivnosti po fazah</w:t>
      </w:r>
    </w:p>
    <w:p w:rsidR="00895A81" w:rsidRDefault="00895A81" w:rsidP="00722027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Trenutno se priprava strategije nahaja v fazi</w:t>
      </w:r>
      <w:r w:rsidR="0044579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namenjen</w:t>
      </w:r>
      <w:r w:rsidR="00445792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analizi stanja</w:t>
      </w:r>
      <w:r w:rsidR="00445792">
        <w:rPr>
          <w:rFonts w:ascii="Arial" w:hAnsi="Arial" w:cs="Arial"/>
          <w:bCs/>
          <w:color w:val="000000"/>
        </w:rPr>
        <w:t xml:space="preserve"> in </w:t>
      </w:r>
      <w:r>
        <w:rPr>
          <w:rFonts w:ascii="Arial" w:hAnsi="Arial" w:cs="Arial"/>
          <w:bCs/>
          <w:color w:val="000000"/>
        </w:rPr>
        <w:t>oblikovanju scenarijev</w:t>
      </w:r>
      <w:r w:rsidR="00445792">
        <w:rPr>
          <w:rFonts w:ascii="Arial" w:hAnsi="Arial" w:cs="Arial"/>
          <w:bCs/>
          <w:color w:val="000000"/>
        </w:rPr>
        <w:t xml:space="preserve"> ter </w:t>
      </w:r>
      <w:r w:rsidR="00445792" w:rsidRPr="00DC455A">
        <w:rPr>
          <w:rFonts w:ascii="Arial" w:hAnsi="Arial" w:cs="Arial"/>
          <w:bCs/>
        </w:rPr>
        <w:t>opredelitvi vizije in prioritet</w:t>
      </w:r>
      <w:r w:rsidRPr="00DC455A">
        <w:rPr>
          <w:rFonts w:ascii="Arial" w:hAnsi="Arial" w:cs="Arial"/>
          <w:bCs/>
        </w:rPr>
        <w:t>. V mesec</w:t>
      </w:r>
      <w:r w:rsidR="00445792" w:rsidRPr="00DC455A">
        <w:rPr>
          <w:rFonts w:ascii="Arial" w:hAnsi="Arial" w:cs="Arial"/>
          <w:bCs/>
        </w:rPr>
        <w:t>u</w:t>
      </w:r>
      <w:r w:rsidRPr="00DC455A">
        <w:rPr>
          <w:rFonts w:ascii="Arial" w:hAnsi="Arial" w:cs="Arial"/>
          <w:bCs/>
        </w:rPr>
        <w:t xml:space="preserve"> </w:t>
      </w:r>
      <w:r w:rsidR="00445792" w:rsidRPr="00DC455A">
        <w:rPr>
          <w:rFonts w:ascii="Arial" w:hAnsi="Arial" w:cs="Arial"/>
          <w:bCs/>
        </w:rPr>
        <w:t xml:space="preserve">novembru </w:t>
      </w:r>
      <w:r w:rsidRPr="00DC455A">
        <w:rPr>
          <w:rFonts w:ascii="Arial" w:hAnsi="Arial" w:cs="Arial"/>
          <w:bCs/>
        </w:rPr>
        <w:t xml:space="preserve">bo k sodelovanju </w:t>
      </w:r>
      <w:r w:rsidR="00526FBB" w:rsidRPr="00DC455A">
        <w:rPr>
          <w:rFonts w:ascii="Arial" w:hAnsi="Arial" w:cs="Arial"/>
          <w:bCs/>
        </w:rPr>
        <w:t xml:space="preserve">ponovno </w:t>
      </w:r>
      <w:r w:rsidRPr="00DC455A">
        <w:rPr>
          <w:rFonts w:ascii="Arial" w:hAnsi="Arial" w:cs="Arial"/>
          <w:bCs/>
        </w:rPr>
        <w:t xml:space="preserve">povabljena tudi širša </w:t>
      </w:r>
      <w:r>
        <w:rPr>
          <w:rFonts w:ascii="Arial" w:hAnsi="Arial" w:cs="Arial"/>
          <w:bCs/>
          <w:color w:val="000000"/>
        </w:rPr>
        <w:t xml:space="preserve">javnost in ključni deležniki iz lokalnega okolja (predstavniki invalidov, starostnikov, društev, javnega prometa, vzgojno izobraževalnih ustanov, policije, redarstva…), ki bodo lahko </w:t>
      </w:r>
      <w:r w:rsidR="00445792">
        <w:rPr>
          <w:rFonts w:ascii="Arial" w:hAnsi="Arial" w:cs="Arial"/>
          <w:bCs/>
          <w:color w:val="000000"/>
        </w:rPr>
        <w:t xml:space="preserve">preko </w:t>
      </w:r>
      <w:r>
        <w:rPr>
          <w:rFonts w:ascii="Arial" w:hAnsi="Arial" w:cs="Arial"/>
          <w:bCs/>
          <w:color w:val="000000"/>
        </w:rPr>
        <w:t>različn</w:t>
      </w:r>
      <w:r w:rsidR="00445792">
        <w:rPr>
          <w:rFonts w:ascii="Arial" w:hAnsi="Arial" w:cs="Arial"/>
          <w:bCs/>
          <w:color w:val="000000"/>
        </w:rPr>
        <w:t>ih</w:t>
      </w:r>
      <w:r>
        <w:rPr>
          <w:rFonts w:ascii="Arial" w:hAnsi="Arial" w:cs="Arial"/>
          <w:bCs/>
          <w:color w:val="000000"/>
        </w:rPr>
        <w:t xml:space="preserve"> </w:t>
      </w:r>
      <w:r w:rsidR="00445792">
        <w:rPr>
          <w:rFonts w:ascii="Arial" w:hAnsi="Arial" w:cs="Arial"/>
          <w:bCs/>
          <w:color w:val="000000"/>
        </w:rPr>
        <w:t xml:space="preserve">anket, vprašalnikov in intervjujev </w:t>
      </w:r>
      <w:r>
        <w:rPr>
          <w:rFonts w:ascii="Arial" w:hAnsi="Arial" w:cs="Arial"/>
          <w:bCs/>
          <w:color w:val="000000"/>
        </w:rPr>
        <w:t>izrazili svoje mnenje in predloge</w:t>
      </w:r>
      <w:r w:rsidR="00722027">
        <w:rPr>
          <w:rFonts w:ascii="Arial" w:hAnsi="Arial" w:cs="Arial"/>
          <w:bCs/>
          <w:color w:val="000000"/>
        </w:rPr>
        <w:t xml:space="preserve"> o prometnih </w:t>
      </w:r>
      <w:r w:rsidR="00445792">
        <w:rPr>
          <w:rFonts w:ascii="Arial" w:hAnsi="Arial" w:cs="Arial"/>
          <w:bCs/>
          <w:color w:val="000000"/>
        </w:rPr>
        <w:t xml:space="preserve">izzivih in </w:t>
      </w:r>
      <w:r w:rsidR="00722027">
        <w:rPr>
          <w:rFonts w:ascii="Arial" w:hAnsi="Arial" w:cs="Arial"/>
          <w:bCs/>
          <w:color w:val="000000"/>
        </w:rPr>
        <w:t xml:space="preserve">rešitvah v </w:t>
      </w:r>
      <w:r w:rsidR="00445792">
        <w:rPr>
          <w:rFonts w:ascii="Arial" w:hAnsi="Arial" w:cs="Arial"/>
          <w:bCs/>
          <w:color w:val="000000"/>
        </w:rPr>
        <w:t>Mestni občini Ptuj.</w:t>
      </w:r>
    </w:p>
    <w:p w:rsidR="00366631" w:rsidRPr="00DC455A" w:rsidRDefault="00366631" w:rsidP="00722027">
      <w:pPr>
        <w:spacing w:line="360" w:lineRule="auto"/>
        <w:jc w:val="both"/>
        <w:rPr>
          <w:rFonts w:ascii="Arial" w:hAnsi="Arial" w:cs="Arial"/>
          <w:bCs/>
        </w:rPr>
      </w:pPr>
      <w:r w:rsidRPr="00DC455A">
        <w:rPr>
          <w:rFonts w:ascii="Arial" w:hAnsi="Arial" w:cs="Arial"/>
          <w:bCs/>
        </w:rPr>
        <w:t>Do 25. 10. 2016 smo na MZI oddali že drugo fazno poročilo, ki je pr</w:t>
      </w:r>
      <w:r w:rsidR="0015101A" w:rsidRPr="00DC455A">
        <w:rPr>
          <w:rFonts w:ascii="Arial" w:hAnsi="Arial" w:cs="Arial"/>
          <w:bCs/>
        </w:rPr>
        <w:t>vo poročilo z zahtevkom za izplačilo (v višini 13.925,00 EUR brez ddv). Prvo poročilo se je nanašalo na poročanje o ustreznosti postopka izbire izvajalca za izdelavo CPS.</w:t>
      </w:r>
    </w:p>
    <w:p w:rsidR="00DC455A" w:rsidRDefault="00DC455A" w:rsidP="00722027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EF4254" w:rsidRPr="008005E5" w:rsidRDefault="00EF4254" w:rsidP="00722027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005E5">
        <w:rPr>
          <w:rFonts w:ascii="Arial" w:hAnsi="Arial" w:cs="Arial"/>
          <w:b/>
          <w:bCs/>
          <w:color w:val="000000"/>
        </w:rPr>
        <w:t>Fazni načrt priprave Celostne prometne strategije</w:t>
      </w:r>
      <w:r w:rsidR="008005E5">
        <w:rPr>
          <w:rFonts w:ascii="Arial" w:hAnsi="Arial" w:cs="Arial"/>
          <w:b/>
          <w:bCs/>
          <w:color w:val="000000"/>
        </w:rPr>
        <w:t xml:space="preserve"> Mestne občine Ptuj</w:t>
      </w:r>
      <w:r w:rsidRPr="008005E5">
        <w:rPr>
          <w:rFonts w:ascii="Arial" w:hAnsi="Arial" w:cs="Arial"/>
          <w:b/>
          <w:bCs/>
          <w:color w:val="000000"/>
        </w:rPr>
        <w:t>:</w:t>
      </w:r>
    </w:p>
    <w:p w:rsidR="00EF4254" w:rsidRDefault="00BF3BD7" w:rsidP="00BF3BD7">
      <w:pPr>
        <w:spacing w:line="360" w:lineRule="auto"/>
        <w:ind w:left="3600" w:hanging="3600"/>
        <w:jc w:val="both"/>
        <w:rPr>
          <w:rFonts w:ascii="Arial" w:hAnsi="Arial" w:cs="Arial"/>
          <w:bCs/>
          <w:iCs/>
        </w:rPr>
      </w:pPr>
      <w:r w:rsidRPr="008005E5">
        <w:rPr>
          <w:rFonts w:ascii="Arial" w:hAnsi="Arial" w:cs="Arial"/>
          <w:bCs/>
          <w:i/>
          <w:iCs/>
          <w:u w:val="single"/>
        </w:rPr>
        <w:t>1. faza (postavitev temeljev)</w:t>
      </w:r>
      <w:r w:rsidRPr="00BF3BD7">
        <w:rPr>
          <w:rFonts w:ascii="Arial" w:hAnsi="Arial" w:cs="Arial"/>
          <w:b/>
          <w:bCs/>
          <w:iCs/>
        </w:rPr>
        <w:tab/>
      </w:r>
      <w:r w:rsidRPr="00BF3BD7">
        <w:rPr>
          <w:rFonts w:ascii="Arial" w:hAnsi="Arial" w:cs="Arial"/>
          <w:bCs/>
          <w:iCs/>
        </w:rPr>
        <w:t>Ustanovitev delovne skupine</w:t>
      </w:r>
      <w:r>
        <w:rPr>
          <w:rFonts w:ascii="Arial" w:hAnsi="Arial" w:cs="Arial"/>
          <w:bCs/>
          <w:iCs/>
        </w:rPr>
        <w:t xml:space="preserve">; </w:t>
      </w:r>
      <w:r w:rsidR="00212EE1">
        <w:rPr>
          <w:rFonts w:ascii="Arial" w:hAnsi="Arial" w:cs="Arial"/>
          <w:bCs/>
          <w:iCs/>
        </w:rPr>
        <w:t xml:space="preserve">Izvedba </w:t>
      </w:r>
      <w:r w:rsidRPr="00BF3BD7">
        <w:rPr>
          <w:rFonts w:ascii="Arial" w:hAnsi="Arial" w:cs="Arial"/>
          <w:bCs/>
          <w:iCs/>
        </w:rPr>
        <w:t>samoocen</w:t>
      </w:r>
      <w:r w:rsidR="00212EE1">
        <w:rPr>
          <w:rFonts w:ascii="Arial" w:hAnsi="Arial" w:cs="Arial"/>
          <w:bCs/>
          <w:iCs/>
        </w:rPr>
        <w:t>e</w:t>
      </w:r>
      <w:r w:rsidR="00D56020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  <w:r w:rsidRPr="00BF3BD7">
        <w:rPr>
          <w:rFonts w:ascii="Arial" w:hAnsi="Arial" w:cs="Arial"/>
          <w:bCs/>
          <w:iCs/>
        </w:rPr>
        <w:t>Priprava podrobnega časovnega</w:t>
      </w:r>
      <w:r w:rsidR="00212EE1">
        <w:rPr>
          <w:rFonts w:ascii="Arial" w:hAnsi="Arial" w:cs="Arial"/>
          <w:bCs/>
          <w:iCs/>
        </w:rPr>
        <w:t xml:space="preserve">, vsebinskega in komunikacijskega </w:t>
      </w:r>
      <w:r w:rsidRPr="00BF3BD7">
        <w:rPr>
          <w:rFonts w:ascii="Arial" w:hAnsi="Arial" w:cs="Arial"/>
          <w:bCs/>
          <w:iCs/>
        </w:rPr>
        <w:t xml:space="preserve">načrta </w:t>
      </w:r>
      <w:r w:rsidR="00212EE1">
        <w:rPr>
          <w:rFonts w:ascii="Arial" w:hAnsi="Arial" w:cs="Arial"/>
          <w:bCs/>
          <w:iCs/>
        </w:rPr>
        <w:t>izdelave</w:t>
      </w:r>
      <w:r w:rsidRPr="00BF3BD7">
        <w:rPr>
          <w:rFonts w:ascii="Arial" w:hAnsi="Arial" w:cs="Arial"/>
          <w:bCs/>
          <w:iCs/>
        </w:rPr>
        <w:t xml:space="preserve"> CPS</w:t>
      </w:r>
      <w:r w:rsidR="00D56020">
        <w:rPr>
          <w:rFonts w:ascii="Arial" w:hAnsi="Arial" w:cs="Arial"/>
          <w:bCs/>
          <w:iCs/>
        </w:rPr>
        <w:t>;</w:t>
      </w:r>
      <w:r w:rsidR="00212EE1">
        <w:rPr>
          <w:rFonts w:ascii="Arial" w:hAnsi="Arial" w:cs="Arial"/>
          <w:bCs/>
          <w:iCs/>
        </w:rPr>
        <w:t xml:space="preserve"> Ocena vpliva širšega okvira; </w:t>
      </w:r>
      <w:r>
        <w:rPr>
          <w:rFonts w:ascii="Arial" w:hAnsi="Arial" w:cs="Arial"/>
          <w:bCs/>
          <w:iCs/>
        </w:rPr>
        <w:t xml:space="preserve"> </w:t>
      </w:r>
    </w:p>
    <w:p w:rsidR="00BF3BD7" w:rsidRDefault="00BF3BD7" w:rsidP="00EF4254">
      <w:pPr>
        <w:spacing w:line="360" w:lineRule="auto"/>
        <w:ind w:left="3600" w:hanging="3600"/>
        <w:jc w:val="both"/>
        <w:rPr>
          <w:rFonts w:ascii="Arial" w:hAnsi="Arial" w:cs="Arial"/>
          <w:bCs/>
          <w:iCs/>
        </w:rPr>
      </w:pPr>
      <w:r w:rsidRPr="008005E5">
        <w:rPr>
          <w:rFonts w:ascii="Arial" w:hAnsi="Arial" w:cs="Arial"/>
          <w:bCs/>
          <w:i/>
          <w:iCs/>
          <w:u w:val="single"/>
        </w:rPr>
        <w:lastRenderedPageBreak/>
        <w:t>2. faza (analiza stanja)</w:t>
      </w:r>
      <w:r>
        <w:rPr>
          <w:rFonts w:ascii="Arial" w:hAnsi="Arial" w:cs="Arial"/>
          <w:bCs/>
          <w:iCs/>
        </w:rPr>
        <w:tab/>
      </w:r>
      <w:r w:rsidRPr="00BF3BD7">
        <w:rPr>
          <w:rFonts w:ascii="Arial" w:hAnsi="Arial" w:cs="Arial"/>
          <w:bCs/>
          <w:iCs/>
        </w:rPr>
        <w:t>Analiza obstoječih dokumentov in dokumentov v pripravi</w:t>
      </w:r>
      <w:r w:rsidR="00D56020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  <w:r w:rsidRPr="00BF3BD7">
        <w:rPr>
          <w:rFonts w:ascii="Arial" w:hAnsi="Arial" w:cs="Arial"/>
          <w:bCs/>
          <w:iCs/>
        </w:rPr>
        <w:t>Inventarizacija podatkov in analiza ka</w:t>
      </w:r>
      <w:r w:rsidR="009649F2">
        <w:rPr>
          <w:rFonts w:ascii="Arial" w:hAnsi="Arial" w:cs="Arial"/>
          <w:bCs/>
          <w:iCs/>
        </w:rPr>
        <w:t>k</w:t>
      </w:r>
      <w:r w:rsidRPr="00BF3BD7">
        <w:rPr>
          <w:rFonts w:ascii="Arial" w:hAnsi="Arial" w:cs="Arial"/>
          <w:bCs/>
          <w:iCs/>
        </w:rPr>
        <w:t>o</w:t>
      </w:r>
      <w:r w:rsidR="009649F2">
        <w:rPr>
          <w:rFonts w:ascii="Arial" w:hAnsi="Arial" w:cs="Arial"/>
          <w:bCs/>
          <w:iCs/>
        </w:rPr>
        <w:t>vo</w:t>
      </w:r>
      <w:r w:rsidRPr="00BF3BD7">
        <w:rPr>
          <w:rFonts w:ascii="Arial" w:hAnsi="Arial" w:cs="Arial"/>
          <w:bCs/>
          <w:iCs/>
        </w:rPr>
        <w:t>sti</w:t>
      </w:r>
      <w:r w:rsidR="00D56020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  <w:r w:rsidRPr="00BF3BD7">
        <w:rPr>
          <w:rFonts w:ascii="Arial" w:hAnsi="Arial" w:cs="Arial"/>
          <w:bCs/>
          <w:iCs/>
        </w:rPr>
        <w:t>Demografski in socialni trendi</w:t>
      </w:r>
      <w:r w:rsidR="00D56020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A</w:t>
      </w:r>
      <w:r w:rsidRPr="00BF3BD7">
        <w:rPr>
          <w:rFonts w:ascii="Arial" w:hAnsi="Arial" w:cs="Arial"/>
          <w:bCs/>
          <w:iCs/>
        </w:rPr>
        <w:t>naliza stanja mobilnosti s terenskim</w:t>
      </w:r>
      <w:r w:rsidR="00EF4254">
        <w:rPr>
          <w:rFonts w:ascii="Arial" w:hAnsi="Arial" w:cs="Arial"/>
          <w:bCs/>
          <w:iCs/>
        </w:rPr>
        <w:t>i</w:t>
      </w:r>
      <w:r w:rsidRPr="00BF3BD7">
        <w:rPr>
          <w:rFonts w:ascii="Arial" w:hAnsi="Arial" w:cs="Arial"/>
          <w:bCs/>
          <w:iCs/>
        </w:rPr>
        <w:t xml:space="preserve"> ogled</w:t>
      </w:r>
      <w:r w:rsidR="00EF4254">
        <w:rPr>
          <w:rFonts w:ascii="Arial" w:hAnsi="Arial" w:cs="Arial"/>
          <w:bCs/>
          <w:iCs/>
        </w:rPr>
        <w:t>i</w:t>
      </w:r>
      <w:r w:rsidRPr="00BF3BD7">
        <w:rPr>
          <w:rFonts w:ascii="Arial" w:hAnsi="Arial" w:cs="Arial"/>
          <w:bCs/>
          <w:iCs/>
        </w:rPr>
        <w:t xml:space="preserve"> </w:t>
      </w:r>
      <w:r w:rsidR="00EF4254">
        <w:rPr>
          <w:rFonts w:ascii="Arial" w:hAnsi="Arial" w:cs="Arial"/>
          <w:bCs/>
          <w:iCs/>
        </w:rPr>
        <w:t xml:space="preserve">površin za </w:t>
      </w:r>
      <w:r w:rsidRPr="00BF3BD7">
        <w:rPr>
          <w:rFonts w:ascii="Arial" w:hAnsi="Arial" w:cs="Arial"/>
          <w:bCs/>
          <w:iCs/>
        </w:rPr>
        <w:t>pešce</w:t>
      </w:r>
      <w:r w:rsidR="00D56020">
        <w:rPr>
          <w:rFonts w:ascii="Arial" w:hAnsi="Arial" w:cs="Arial"/>
          <w:bCs/>
          <w:iCs/>
        </w:rPr>
        <w:t>;</w:t>
      </w:r>
      <w:r w:rsidR="009649F2">
        <w:rPr>
          <w:rFonts w:ascii="Arial" w:hAnsi="Arial" w:cs="Arial"/>
          <w:bCs/>
          <w:iCs/>
        </w:rPr>
        <w:t xml:space="preserve"> </w:t>
      </w:r>
      <w:r w:rsidR="00EF4254">
        <w:rPr>
          <w:rFonts w:ascii="Arial" w:hAnsi="Arial" w:cs="Arial"/>
          <w:bCs/>
          <w:iCs/>
        </w:rPr>
        <w:t xml:space="preserve">kolesarski </w:t>
      </w:r>
      <w:r w:rsidR="00212EE1">
        <w:rPr>
          <w:rFonts w:ascii="Arial" w:hAnsi="Arial" w:cs="Arial"/>
          <w:bCs/>
          <w:iCs/>
        </w:rPr>
        <w:t>promet</w:t>
      </w:r>
      <w:r w:rsidR="00EF4254">
        <w:rPr>
          <w:rFonts w:ascii="Arial" w:hAnsi="Arial" w:cs="Arial"/>
          <w:bCs/>
          <w:iCs/>
        </w:rPr>
        <w:t xml:space="preserve">, </w:t>
      </w:r>
      <w:r w:rsidR="001A0B0E">
        <w:rPr>
          <w:rFonts w:ascii="Arial" w:hAnsi="Arial" w:cs="Arial"/>
          <w:bCs/>
          <w:iCs/>
        </w:rPr>
        <w:t>javni potniški promet in</w:t>
      </w:r>
      <w:r w:rsidR="00EF4254">
        <w:rPr>
          <w:rFonts w:ascii="Arial" w:hAnsi="Arial" w:cs="Arial"/>
          <w:bCs/>
          <w:iCs/>
        </w:rPr>
        <w:t xml:space="preserve"> motoriziran individualni promet (odvijanje prometa in mirujoči promet); D</w:t>
      </w:r>
      <w:r w:rsidRPr="00BF3BD7">
        <w:rPr>
          <w:rFonts w:ascii="Arial" w:hAnsi="Arial" w:cs="Arial"/>
          <w:bCs/>
          <w:iCs/>
        </w:rPr>
        <w:t>ostopnost do pomembnih ciljev</w:t>
      </w:r>
      <w:r w:rsidR="00D56020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:rsidR="008005E5" w:rsidRDefault="008005E5" w:rsidP="00D56020">
      <w:pPr>
        <w:spacing w:line="360" w:lineRule="auto"/>
        <w:ind w:left="3600" w:hanging="3600"/>
        <w:jc w:val="both"/>
        <w:rPr>
          <w:rFonts w:ascii="Arial" w:hAnsi="Arial" w:cs="Arial"/>
          <w:bCs/>
          <w:iCs/>
        </w:rPr>
      </w:pPr>
      <w:r w:rsidRPr="008005E5">
        <w:rPr>
          <w:rFonts w:ascii="Arial" w:hAnsi="Arial" w:cs="Arial"/>
          <w:bCs/>
          <w:i/>
          <w:iCs/>
          <w:u w:val="single"/>
        </w:rPr>
        <w:t>3</w:t>
      </w:r>
      <w:r w:rsidR="00BF3BD7" w:rsidRPr="008005E5">
        <w:rPr>
          <w:rFonts w:ascii="Arial" w:hAnsi="Arial" w:cs="Arial"/>
          <w:bCs/>
          <w:i/>
          <w:iCs/>
          <w:u w:val="single"/>
        </w:rPr>
        <w:t>. faza (opredelitev vizije in prioritet)</w:t>
      </w:r>
      <w:r w:rsidR="00BF3BD7" w:rsidRPr="00BF3BD7">
        <w:rPr>
          <w:rFonts w:ascii="Arial" w:hAnsi="Arial" w:cs="Arial"/>
          <w:bCs/>
          <w:iCs/>
        </w:rPr>
        <w:tab/>
        <w:t>Oris želenega stanja in opredelitev vizije</w:t>
      </w:r>
      <w:r w:rsidR="00D56020">
        <w:rPr>
          <w:rFonts w:ascii="Arial" w:hAnsi="Arial" w:cs="Arial"/>
          <w:bCs/>
          <w:iCs/>
        </w:rPr>
        <w:t>;</w:t>
      </w:r>
      <w:r w:rsidR="00BF3BD7">
        <w:rPr>
          <w:rFonts w:ascii="Arial" w:hAnsi="Arial" w:cs="Arial"/>
          <w:bCs/>
          <w:iCs/>
        </w:rPr>
        <w:t xml:space="preserve"> </w:t>
      </w:r>
      <w:r w:rsidR="00BF3BD7" w:rsidRPr="00BF3BD7">
        <w:rPr>
          <w:rFonts w:ascii="Arial" w:hAnsi="Arial" w:cs="Arial"/>
          <w:bCs/>
          <w:iCs/>
        </w:rPr>
        <w:t>Oblikovanje stratešk</w:t>
      </w:r>
      <w:r>
        <w:rPr>
          <w:rFonts w:ascii="Arial" w:hAnsi="Arial" w:cs="Arial"/>
          <w:bCs/>
          <w:iCs/>
        </w:rPr>
        <w:t xml:space="preserve">ih ciljev in določitev ciljnih </w:t>
      </w:r>
      <w:r w:rsidR="00BF3BD7" w:rsidRPr="00BF3BD7">
        <w:rPr>
          <w:rFonts w:ascii="Arial" w:hAnsi="Arial" w:cs="Arial"/>
          <w:bCs/>
          <w:iCs/>
        </w:rPr>
        <w:t>vrednosti</w:t>
      </w:r>
      <w:r w:rsidR="00D56020">
        <w:rPr>
          <w:rFonts w:ascii="Arial" w:hAnsi="Arial" w:cs="Arial"/>
          <w:bCs/>
          <w:iCs/>
        </w:rPr>
        <w:t>;</w:t>
      </w:r>
      <w:r w:rsidR="001A0B0E">
        <w:rPr>
          <w:rFonts w:ascii="Arial" w:hAnsi="Arial" w:cs="Arial"/>
          <w:bCs/>
          <w:iCs/>
        </w:rPr>
        <w:t xml:space="preserve"> Uskladitev pričakovanj in opredelitev prioritet;</w:t>
      </w:r>
      <w:r w:rsidR="00D56020">
        <w:rPr>
          <w:rFonts w:ascii="Arial" w:hAnsi="Arial" w:cs="Arial"/>
          <w:bCs/>
          <w:iCs/>
        </w:rPr>
        <w:t xml:space="preserve"> </w:t>
      </w:r>
    </w:p>
    <w:p w:rsidR="00BF3BD7" w:rsidRPr="00BF3BD7" w:rsidRDefault="008005E5" w:rsidP="00D56020">
      <w:pPr>
        <w:spacing w:line="360" w:lineRule="auto"/>
        <w:ind w:left="3600" w:hanging="3600"/>
        <w:jc w:val="both"/>
        <w:rPr>
          <w:rFonts w:ascii="Arial" w:hAnsi="Arial" w:cs="Arial"/>
          <w:bCs/>
          <w:iCs/>
        </w:rPr>
      </w:pPr>
      <w:r w:rsidRPr="008005E5">
        <w:rPr>
          <w:rFonts w:ascii="Arial" w:hAnsi="Arial" w:cs="Arial"/>
          <w:bCs/>
          <w:i/>
          <w:iCs/>
          <w:u w:val="single"/>
        </w:rPr>
        <w:t>4</w:t>
      </w:r>
      <w:r w:rsidR="00BF3BD7" w:rsidRPr="008005E5">
        <w:rPr>
          <w:rFonts w:ascii="Arial" w:hAnsi="Arial" w:cs="Arial"/>
          <w:bCs/>
          <w:i/>
          <w:iCs/>
          <w:u w:val="single"/>
        </w:rPr>
        <w:t>. faza (izbira ukrepov)</w:t>
      </w:r>
      <w:r w:rsidR="00BF3BD7" w:rsidRPr="00BF3BD7">
        <w:rPr>
          <w:rFonts w:ascii="Arial" w:hAnsi="Arial" w:cs="Arial"/>
          <w:bCs/>
          <w:iCs/>
        </w:rPr>
        <w:tab/>
        <w:t>S</w:t>
      </w:r>
      <w:r w:rsidR="001A0B0E">
        <w:rPr>
          <w:rFonts w:ascii="Arial" w:hAnsi="Arial" w:cs="Arial"/>
          <w:bCs/>
          <w:iCs/>
        </w:rPr>
        <w:t>estavljanje s</w:t>
      </w:r>
      <w:r w:rsidR="00BF3BD7" w:rsidRPr="00BF3BD7">
        <w:rPr>
          <w:rFonts w:ascii="Arial" w:hAnsi="Arial" w:cs="Arial"/>
          <w:bCs/>
          <w:iCs/>
        </w:rPr>
        <w:t>vež</w:t>
      </w:r>
      <w:r w:rsidR="001A0B0E">
        <w:rPr>
          <w:rFonts w:ascii="Arial" w:hAnsi="Arial" w:cs="Arial"/>
          <w:bCs/>
          <w:iCs/>
        </w:rPr>
        <w:t>njev</w:t>
      </w:r>
      <w:r w:rsidR="00BF3BD7" w:rsidRPr="00BF3BD7">
        <w:rPr>
          <w:rFonts w:ascii="Arial" w:hAnsi="Arial" w:cs="Arial"/>
          <w:bCs/>
          <w:iCs/>
        </w:rPr>
        <w:t xml:space="preserve"> ukrepov</w:t>
      </w:r>
      <w:r>
        <w:rPr>
          <w:rFonts w:ascii="Arial" w:hAnsi="Arial" w:cs="Arial"/>
          <w:bCs/>
          <w:iCs/>
        </w:rPr>
        <w:t xml:space="preserve"> po vsebinskih sklopih (5 stebrov): peš promet, kolesarski promet, javni potniški promet, motorni promet, celostno prometno načrtovanje</w:t>
      </w:r>
      <w:r w:rsidR="007A709E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  <w:r w:rsidR="00BF3BD7" w:rsidRPr="00BF3BD7">
        <w:rPr>
          <w:rFonts w:ascii="Arial" w:hAnsi="Arial" w:cs="Arial"/>
          <w:bCs/>
          <w:iCs/>
        </w:rPr>
        <w:t>Pregled izvedljivosti ukrepov</w:t>
      </w:r>
      <w:r w:rsidR="007A709E">
        <w:rPr>
          <w:rFonts w:ascii="Arial" w:hAnsi="Arial" w:cs="Arial"/>
          <w:bCs/>
          <w:iCs/>
        </w:rPr>
        <w:t>;</w:t>
      </w:r>
    </w:p>
    <w:p w:rsidR="00BF3BD7" w:rsidRPr="00BF3BD7" w:rsidRDefault="008005E5" w:rsidP="00D56020">
      <w:pPr>
        <w:spacing w:line="360" w:lineRule="auto"/>
        <w:ind w:left="3600" w:hanging="3600"/>
        <w:jc w:val="both"/>
        <w:rPr>
          <w:rFonts w:ascii="Arial" w:hAnsi="Arial" w:cs="Arial"/>
          <w:bCs/>
          <w:iCs/>
        </w:rPr>
      </w:pPr>
      <w:r w:rsidRPr="008005E5">
        <w:rPr>
          <w:rFonts w:ascii="Arial" w:hAnsi="Arial" w:cs="Arial"/>
          <w:bCs/>
          <w:i/>
          <w:iCs/>
          <w:u w:val="single"/>
        </w:rPr>
        <w:t>5</w:t>
      </w:r>
      <w:r w:rsidR="00BF3BD7" w:rsidRPr="008005E5">
        <w:rPr>
          <w:rFonts w:ascii="Arial" w:hAnsi="Arial" w:cs="Arial"/>
          <w:bCs/>
          <w:i/>
          <w:iCs/>
          <w:u w:val="single"/>
        </w:rPr>
        <w:t>. faza (načrtovanj</w:t>
      </w:r>
      <w:r w:rsidR="001A0B0E">
        <w:rPr>
          <w:rFonts w:ascii="Arial" w:hAnsi="Arial" w:cs="Arial"/>
          <w:bCs/>
          <w:i/>
          <w:iCs/>
          <w:u w:val="single"/>
        </w:rPr>
        <w:t>e</w:t>
      </w:r>
      <w:r w:rsidR="00BF3BD7" w:rsidRPr="008005E5">
        <w:rPr>
          <w:rFonts w:ascii="Arial" w:hAnsi="Arial" w:cs="Arial"/>
          <w:bCs/>
          <w:i/>
          <w:iCs/>
          <w:u w:val="single"/>
        </w:rPr>
        <w:t xml:space="preserve"> izvajanja)</w:t>
      </w:r>
      <w:r w:rsidR="00BF3BD7" w:rsidRPr="00BF3BD7">
        <w:rPr>
          <w:rFonts w:ascii="Arial" w:hAnsi="Arial" w:cs="Arial"/>
          <w:bCs/>
          <w:iCs/>
        </w:rPr>
        <w:tab/>
        <w:t>Priprava akcijskega načrta</w:t>
      </w:r>
      <w:r w:rsidR="007A709E">
        <w:rPr>
          <w:rFonts w:ascii="Arial" w:hAnsi="Arial" w:cs="Arial"/>
          <w:bCs/>
          <w:iCs/>
        </w:rPr>
        <w:t>, ki bo vključeval vsebinsko, terminsko</w:t>
      </w:r>
      <w:r w:rsidR="001A0B0E">
        <w:rPr>
          <w:rFonts w:ascii="Arial" w:hAnsi="Arial" w:cs="Arial"/>
          <w:bCs/>
          <w:iCs/>
        </w:rPr>
        <w:t xml:space="preserve"> in </w:t>
      </w:r>
      <w:r w:rsidR="007A709E">
        <w:rPr>
          <w:rFonts w:ascii="Arial" w:hAnsi="Arial" w:cs="Arial"/>
          <w:bCs/>
          <w:iCs/>
        </w:rPr>
        <w:t xml:space="preserve">finančno </w:t>
      </w:r>
      <w:r w:rsidR="001A0B0E">
        <w:rPr>
          <w:rFonts w:ascii="Arial" w:hAnsi="Arial" w:cs="Arial"/>
          <w:bCs/>
          <w:iCs/>
        </w:rPr>
        <w:t xml:space="preserve">opredelitev </w:t>
      </w:r>
      <w:r w:rsidR="007A709E">
        <w:rPr>
          <w:rFonts w:ascii="Arial" w:hAnsi="Arial" w:cs="Arial"/>
          <w:bCs/>
          <w:iCs/>
        </w:rPr>
        <w:t>ukrepov za 3 do 5 letno časovno obdobje</w:t>
      </w:r>
      <w:r w:rsidR="001A0B0E">
        <w:rPr>
          <w:rFonts w:ascii="Arial" w:hAnsi="Arial" w:cs="Arial"/>
          <w:bCs/>
          <w:iCs/>
        </w:rPr>
        <w:t>, vključno z dodelitvijo odgovornosti in virov</w:t>
      </w:r>
      <w:r w:rsidR="007A709E">
        <w:rPr>
          <w:rFonts w:ascii="Arial" w:hAnsi="Arial" w:cs="Arial"/>
          <w:bCs/>
          <w:iCs/>
        </w:rPr>
        <w:t>.</w:t>
      </w:r>
      <w:r w:rsidR="00BF3BD7" w:rsidRPr="00BF3BD7">
        <w:rPr>
          <w:rFonts w:ascii="Arial" w:hAnsi="Arial" w:cs="Arial"/>
          <w:bCs/>
          <w:iCs/>
        </w:rPr>
        <w:tab/>
      </w:r>
    </w:p>
    <w:p w:rsidR="00BF3BD7" w:rsidRDefault="008005E5" w:rsidP="007A709E">
      <w:pPr>
        <w:spacing w:line="360" w:lineRule="auto"/>
        <w:ind w:left="3600" w:hanging="3600"/>
        <w:jc w:val="both"/>
        <w:rPr>
          <w:rFonts w:ascii="Arial" w:hAnsi="Arial" w:cs="Arial"/>
          <w:bCs/>
          <w:iCs/>
        </w:rPr>
      </w:pPr>
      <w:r w:rsidRPr="008005E5">
        <w:rPr>
          <w:rFonts w:ascii="Arial" w:hAnsi="Arial" w:cs="Arial"/>
          <w:bCs/>
          <w:i/>
          <w:iCs/>
          <w:u w:val="single"/>
        </w:rPr>
        <w:t>6</w:t>
      </w:r>
      <w:r w:rsidR="00BF3BD7" w:rsidRPr="008005E5">
        <w:rPr>
          <w:rFonts w:ascii="Arial" w:hAnsi="Arial" w:cs="Arial"/>
          <w:bCs/>
          <w:i/>
          <w:iCs/>
          <w:u w:val="single"/>
        </w:rPr>
        <w:t>. faza (vzpostavitev nadzora)</w:t>
      </w:r>
      <w:r w:rsidR="00BF3BD7" w:rsidRPr="00BF3BD7">
        <w:rPr>
          <w:rFonts w:ascii="Arial" w:hAnsi="Arial" w:cs="Arial"/>
          <w:bCs/>
          <w:iCs/>
        </w:rPr>
        <w:tab/>
        <w:t xml:space="preserve">Načrt vzpostavitve </w:t>
      </w:r>
      <w:r w:rsidR="001A0B0E">
        <w:rPr>
          <w:rFonts w:ascii="Arial" w:hAnsi="Arial" w:cs="Arial"/>
          <w:bCs/>
          <w:iCs/>
        </w:rPr>
        <w:t>spremljanja in vrednotenja</w:t>
      </w:r>
      <w:r w:rsidR="004B110F">
        <w:rPr>
          <w:rFonts w:ascii="Arial" w:hAnsi="Arial" w:cs="Arial"/>
          <w:bCs/>
          <w:iCs/>
        </w:rPr>
        <w:t xml:space="preserve"> izvajanja CPS</w:t>
      </w:r>
      <w:r w:rsidR="00D56020">
        <w:rPr>
          <w:rFonts w:ascii="Arial" w:hAnsi="Arial" w:cs="Arial"/>
          <w:bCs/>
          <w:iCs/>
        </w:rPr>
        <w:t>;</w:t>
      </w:r>
      <w:r w:rsidR="004B110F">
        <w:rPr>
          <w:rFonts w:ascii="Arial" w:hAnsi="Arial" w:cs="Arial"/>
          <w:bCs/>
          <w:iCs/>
        </w:rPr>
        <w:t xml:space="preserve"> Nujno za učinkovito spremljanje izvajanja CPS;</w:t>
      </w:r>
      <w:r w:rsidR="00D56020">
        <w:rPr>
          <w:rFonts w:ascii="Arial" w:hAnsi="Arial" w:cs="Arial"/>
          <w:bCs/>
          <w:iCs/>
        </w:rPr>
        <w:t xml:space="preserve"> </w:t>
      </w:r>
    </w:p>
    <w:p w:rsidR="00BF3BD7" w:rsidRPr="00BF3BD7" w:rsidRDefault="008005E5" w:rsidP="004B110F">
      <w:pPr>
        <w:spacing w:line="360" w:lineRule="auto"/>
        <w:ind w:left="3600" w:hanging="3600"/>
        <w:jc w:val="both"/>
        <w:rPr>
          <w:rFonts w:ascii="Arial" w:hAnsi="Arial" w:cs="Arial"/>
          <w:bCs/>
          <w:iCs/>
        </w:rPr>
      </w:pPr>
      <w:r w:rsidRPr="008005E5">
        <w:rPr>
          <w:rFonts w:ascii="Arial" w:hAnsi="Arial" w:cs="Arial"/>
          <w:bCs/>
          <w:i/>
          <w:iCs/>
          <w:u w:val="single"/>
        </w:rPr>
        <w:t>7</w:t>
      </w:r>
      <w:r w:rsidR="00BF3BD7" w:rsidRPr="008005E5">
        <w:rPr>
          <w:rFonts w:ascii="Arial" w:hAnsi="Arial" w:cs="Arial"/>
          <w:bCs/>
          <w:i/>
          <w:iCs/>
          <w:u w:val="single"/>
        </w:rPr>
        <w:t>. faza (sprejem</w:t>
      </w:r>
      <w:r w:rsidR="00EF4254" w:rsidRPr="008005E5">
        <w:rPr>
          <w:rFonts w:ascii="Arial" w:hAnsi="Arial" w:cs="Arial"/>
          <w:bCs/>
          <w:i/>
          <w:iCs/>
          <w:u w:val="single"/>
        </w:rPr>
        <w:t xml:space="preserve"> </w:t>
      </w:r>
      <w:r w:rsidR="004B110F">
        <w:rPr>
          <w:rFonts w:ascii="Arial" w:hAnsi="Arial" w:cs="Arial"/>
          <w:bCs/>
          <w:i/>
          <w:iCs/>
          <w:u w:val="single"/>
        </w:rPr>
        <w:t>Strategije</w:t>
      </w:r>
      <w:r w:rsidR="00BF3BD7" w:rsidRPr="008005E5">
        <w:rPr>
          <w:rFonts w:ascii="Arial" w:hAnsi="Arial" w:cs="Arial"/>
          <w:bCs/>
          <w:i/>
          <w:iCs/>
          <w:u w:val="single"/>
        </w:rPr>
        <w:t>)</w:t>
      </w:r>
      <w:r w:rsidR="00BF3BD7" w:rsidRPr="00BF3BD7">
        <w:rPr>
          <w:rFonts w:ascii="Arial" w:hAnsi="Arial" w:cs="Arial"/>
          <w:bCs/>
          <w:iCs/>
        </w:rPr>
        <w:tab/>
      </w:r>
      <w:r w:rsidR="004B110F">
        <w:rPr>
          <w:rFonts w:ascii="Arial" w:hAnsi="Arial" w:cs="Arial"/>
          <w:bCs/>
          <w:iCs/>
        </w:rPr>
        <w:t>Politična podpora strateškega dokumenta vključno z akcijskim načrtom je ključna za dejansko izvajanje predvidenih ukrepov. Nujno je, da ob tem Strategiji zagotovimo široko podporo javnosti.</w:t>
      </w:r>
    </w:p>
    <w:p w:rsidR="004B110F" w:rsidRDefault="008005E5" w:rsidP="004B110F">
      <w:pPr>
        <w:spacing w:line="360" w:lineRule="auto"/>
        <w:ind w:left="3600" w:hanging="3600"/>
        <w:jc w:val="both"/>
        <w:rPr>
          <w:rFonts w:ascii="Arial" w:hAnsi="Arial" w:cs="Arial"/>
          <w:bCs/>
          <w:iCs/>
        </w:rPr>
      </w:pPr>
      <w:r w:rsidRPr="008005E5">
        <w:rPr>
          <w:rFonts w:ascii="Arial" w:hAnsi="Arial" w:cs="Arial"/>
          <w:bCs/>
          <w:i/>
          <w:iCs/>
          <w:u w:val="single"/>
        </w:rPr>
        <w:t>8</w:t>
      </w:r>
      <w:r w:rsidR="00BF3BD7" w:rsidRPr="008005E5">
        <w:rPr>
          <w:rFonts w:ascii="Arial" w:hAnsi="Arial" w:cs="Arial"/>
          <w:bCs/>
          <w:i/>
          <w:iCs/>
          <w:u w:val="single"/>
        </w:rPr>
        <w:t>. faza (</w:t>
      </w:r>
      <w:r w:rsidR="004B110F">
        <w:rPr>
          <w:rFonts w:ascii="Arial" w:hAnsi="Arial" w:cs="Arial"/>
          <w:bCs/>
          <w:i/>
          <w:iCs/>
          <w:u w:val="single"/>
        </w:rPr>
        <w:t>a</w:t>
      </w:r>
      <w:r w:rsidR="00EF4254" w:rsidRPr="008005E5">
        <w:rPr>
          <w:rFonts w:ascii="Arial" w:hAnsi="Arial" w:cs="Arial"/>
          <w:bCs/>
          <w:i/>
          <w:iCs/>
          <w:u w:val="single"/>
        </w:rPr>
        <w:t xml:space="preserve">ktivnosti </w:t>
      </w:r>
      <w:r w:rsidR="00BF3BD7" w:rsidRPr="008005E5">
        <w:rPr>
          <w:rFonts w:ascii="Arial" w:hAnsi="Arial" w:cs="Arial"/>
          <w:bCs/>
          <w:i/>
          <w:iCs/>
          <w:u w:val="single"/>
        </w:rPr>
        <w:t>po sprejemu)</w:t>
      </w:r>
      <w:r w:rsidR="00BF3BD7" w:rsidRPr="00BF3BD7">
        <w:rPr>
          <w:rFonts w:ascii="Arial" w:hAnsi="Arial" w:cs="Arial"/>
          <w:bCs/>
          <w:iCs/>
        </w:rPr>
        <w:tab/>
      </w:r>
      <w:r w:rsidR="004B110F">
        <w:rPr>
          <w:rFonts w:ascii="Arial" w:hAnsi="Arial" w:cs="Arial"/>
          <w:bCs/>
          <w:iCs/>
        </w:rPr>
        <w:t>Pričetek izvajanja aktivnosti in dogovor o projektnem komuniciranju; Obveščanje in ozaveščanje javnosti;</w:t>
      </w:r>
    </w:p>
    <w:p w:rsidR="00BF3BD7" w:rsidRPr="00BF3BD7" w:rsidRDefault="008005E5" w:rsidP="00D56020">
      <w:pPr>
        <w:spacing w:line="360" w:lineRule="auto"/>
        <w:ind w:left="3600" w:hanging="3600"/>
        <w:jc w:val="both"/>
        <w:rPr>
          <w:rFonts w:ascii="Arial" w:hAnsi="Arial" w:cs="Arial"/>
          <w:bCs/>
          <w:iCs/>
        </w:rPr>
      </w:pPr>
      <w:r w:rsidRPr="008005E5">
        <w:rPr>
          <w:rFonts w:ascii="Arial" w:hAnsi="Arial" w:cs="Arial"/>
          <w:bCs/>
          <w:i/>
          <w:iCs/>
          <w:u w:val="single"/>
        </w:rPr>
        <w:lastRenderedPageBreak/>
        <w:t>9</w:t>
      </w:r>
      <w:r w:rsidR="00EF4254" w:rsidRPr="008005E5">
        <w:rPr>
          <w:rFonts w:ascii="Arial" w:hAnsi="Arial" w:cs="Arial"/>
          <w:bCs/>
          <w:i/>
          <w:iCs/>
          <w:u w:val="single"/>
        </w:rPr>
        <w:t xml:space="preserve">. </w:t>
      </w:r>
      <w:r w:rsidRPr="008005E5">
        <w:rPr>
          <w:rFonts w:ascii="Arial" w:hAnsi="Arial" w:cs="Arial"/>
          <w:bCs/>
          <w:i/>
          <w:iCs/>
          <w:u w:val="single"/>
        </w:rPr>
        <w:t>faza (vključevanje javnosti)</w:t>
      </w:r>
      <w:r w:rsidR="00BF3BD7" w:rsidRPr="00BF3BD7">
        <w:rPr>
          <w:rFonts w:ascii="Arial" w:hAnsi="Arial" w:cs="Arial"/>
          <w:bCs/>
          <w:iCs/>
        </w:rPr>
        <w:tab/>
      </w:r>
      <w:r w:rsidR="004B110F">
        <w:rPr>
          <w:rFonts w:ascii="Arial" w:hAnsi="Arial" w:cs="Arial"/>
          <w:bCs/>
          <w:iCs/>
        </w:rPr>
        <w:t>Organizacija številnih javnih razprav, delavnic, anket</w:t>
      </w:r>
      <w:r w:rsidR="00CE615E">
        <w:rPr>
          <w:rFonts w:ascii="Arial" w:hAnsi="Arial" w:cs="Arial"/>
          <w:bCs/>
          <w:iCs/>
        </w:rPr>
        <w:t xml:space="preserve"> ipd.;</w:t>
      </w:r>
    </w:p>
    <w:p w:rsidR="00CE615E" w:rsidRPr="002053C4" w:rsidRDefault="002053C4" w:rsidP="00722027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2053C4">
        <w:rPr>
          <w:rFonts w:ascii="Arial" w:hAnsi="Arial" w:cs="Arial"/>
          <w:b/>
          <w:bCs/>
          <w:color w:val="000000"/>
        </w:rPr>
        <w:t>Časovni načrt izdelave CPS:</w:t>
      </w:r>
    </w:p>
    <w:p w:rsidR="002053C4" w:rsidRDefault="002053C4" w:rsidP="00722027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41507D">
        <w:rPr>
          <w:rFonts w:ascii="Arial" w:hAnsi="Arial" w:cs="Arial"/>
          <w:b/>
          <w:bCs/>
          <w:noProof/>
          <w:color w:val="000000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18415</wp:posOffset>
            </wp:positionV>
            <wp:extent cx="1828800" cy="233235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r="50903" b="1396"/>
                    <a:stretch/>
                  </pic:blipFill>
                  <pic:spPr bwMode="auto">
                    <a:xfrm>
                      <a:off x="0" y="0"/>
                      <a:ext cx="1828800" cy="233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507D">
        <w:rPr>
          <w:rFonts w:ascii="Arial" w:hAnsi="Arial" w:cs="Arial"/>
          <w:b/>
          <w:bCs/>
          <w:noProof/>
          <w:color w:val="000000"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18415</wp:posOffset>
            </wp:positionV>
            <wp:extent cx="4259305" cy="2332355"/>
            <wp:effectExtent l="0" t="0" r="825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30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07D" w:rsidRDefault="0041507D" w:rsidP="00722027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1507D" w:rsidRDefault="0041507D" w:rsidP="00722027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1507D" w:rsidRDefault="0041507D" w:rsidP="00722027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1507D" w:rsidRDefault="0041507D" w:rsidP="00722027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1507D" w:rsidRDefault="0041507D" w:rsidP="00722027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1507D" w:rsidRDefault="0041507D" w:rsidP="00722027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1507D" w:rsidRDefault="0041507D" w:rsidP="00722027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053C4" w:rsidRDefault="002053C4" w:rsidP="002053C4">
      <w:pPr>
        <w:spacing w:after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Pripravil:</w:t>
      </w:r>
    </w:p>
    <w:p w:rsidR="008005E5" w:rsidRDefault="008005E5" w:rsidP="002053C4">
      <w:pPr>
        <w:spacing w:after="4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v. p. mag. Sebastian Toplak</w:t>
      </w:r>
    </w:p>
    <w:p w:rsidR="008005E5" w:rsidRPr="00722027" w:rsidRDefault="002053C4" w:rsidP="00722027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</w:t>
      </w:r>
      <w:r w:rsidR="008005E5">
        <w:rPr>
          <w:rFonts w:ascii="Arial" w:hAnsi="Arial" w:cs="Arial"/>
          <w:bCs/>
          <w:color w:val="000000"/>
        </w:rPr>
        <w:t>odja projekta</w:t>
      </w:r>
    </w:p>
    <w:sectPr w:rsidR="008005E5" w:rsidRPr="00722027" w:rsidSect="00BD3E8C">
      <w:headerReference w:type="default" r:id="rId10"/>
      <w:footerReference w:type="default" r:id="rId11"/>
      <w:pgSz w:w="12240" w:h="15840"/>
      <w:pgMar w:top="2552" w:right="1440" w:bottom="2268" w:left="1440" w:header="2184" w:footer="2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9E" w:rsidRDefault="007D0F9E" w:rsidP="00895A81">
      <w:pPr>
        <w:spacing w:after="0" w:line="240" w:lineRule="auto"/>
      </w:pPr>
      <w:r>
        <w:separator/>
      </w:r>
    </w:p>
  </w:endnote>
  <w:endnote w:type="continuationSeparator" w:id="0">
    <w:p w:rsidR="007D0F9E" w:rsidRDefault="007D0F9E" w:rsidP="0089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0C" w:rsidRPr="00BD3E8C" w:rsidRDefault="001D6B0C" w:rsidP="001D6B0C">
    <w:pPr>
      <w:pStyle w:val="Noga"/>
      <w:rPr>
        <w:sz w:val="2"/>
        <w:szCs w:val="2"/>
      </w:rPr>
    </w:pPr>
    <w:r w:rsidRPr="00BD3E8C">
      <w:rPr>
        <w:noProof/>
        <w:sz w:val="2"/>
        <w:szCs w:val="2"/>
        <w:lang w:eastAsia="sl-SI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-955682</wp:posOffset>
          </wp:positionH>
          <wp:positionV relativeFrom="paragraph">
            <wp:posOffset>144780</wp:posOffset>
          </wp:positionV>
          <wp:extent cx="7787640" cy="1371523"/>
          <wp:effectExtent l="0" t="0" r="3810" b="635"/>
          <wp:wrapNone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9E" w:rsidRDefault="007D0F9E" w:rsidP="00895A81">
      <w:pPr>
        <w:spacing w:after="0" w:line="240" w:lineRule="auto"/>
      </w:pPr>
      <w:r>
        <w:separator/>
      </w:r>
    </w:p>
  </w:footnote>
  <w:footnote w:type="continuationSeparator" w:id="0">
    <w:p w:rsidR="007D0F9E" w:rsidRDefault="007D0F9E" w:rsidP="0089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81" w:rsidRPr="001D6B0C" w:rsidRDefault="001D6B0C">
    <w:pPr>
      <w:pStyle w:val="Glava"/>
      <w:rPr>
        <w:sz w:val="6"/>
        <w:szCs w:val="6"/>
      </w:rPr>
    </w:pPr>
    <w:r w:rsidRPr="001D6B0C">
      <w:rPr>
        <w:noProof/>
        <w:sz w:val="6"/>
        <w:szCs w:val="6"/>
        <w:lang w:eastAsia="sl-SI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-891540</wp:posOffset>
          </wp:positionH>
          <wp:positionV relativeFrom="margin">
            <wp:posOffset>-2041525</wp:posOffset>
          </wp:positionV>
          <wp:extent cx="7717155" cy="1809750"/>
          <wp:effectExtent l="0" t="0" r="0" b="0"/>
          <wp:wrapTopAndBottom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15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A81"/>
    <w:rsid w:val="0005271B"/>
    <w:rsid w:val="00094F1B"/>
    <w:rsid w:val="000A3D58"/>
    <w:rsid w:val="0015101A"/>
    <w:rsid w:val="00161003"/>
    <w:rsid w:val="001A0B0E"/>
    <w:rsid w:val="001D6B0C"/>
    <w:rsid w:val="001E354A"/>
    <w:rsid w:val="002053C4"/>
    <w:rsid w:val="00212EE1"/>
    <w:rsid w:val="0027669C"/>
    <w:rsid w:val="002E2E48"/>
    <w:rsid w:val="0036258D"/>
    <w:rsid w:val="00366631"/>
    <w:rsid w:val="003874AA"/>
    <w:rsid w:val="003C5217"/>
    <w:rsid w:val="0041507D"/>
    <w:rsid w:val="00445792"/>
    <w:rsid w:val="0045371A"/>
    <w:rsid w:val="004B110F"/>
    <w:rsid w:val="004B607C"/>
    <w:rsid w:val="004D7311"/>
    <w:rsid w:val="004F4A87"/>
    <w:rsid w:val="00516949"/>
    <w:rsid w:val="00526FBB"/>
    <w:rsid w:val="00587B6F"/>
    <w:rsid w:val="005C4844"/>
    <w:rsid w:val="0066780C"/>
    <w:rsid w:val="00722027"/>
    <w:rsid w:val="007A709E"/>
    <w:rsid w:val="007B71E7"/>
    <w:rsid w:val="007D0F9E"/>
    <w:rsid w:val="008005E5"/>
    <w:rsid w:val="00815576"/>
    <w:rsid w:val="00827B04"/>
    <w:rsid w:val="00895A81"/>
    <w:rsid w:val="008F26E3"/>
    <w:rsid w:val="008F6692"/>
    <w:rsid w:val="00956097"/>
    <w:rsid w:val="009649F2"/>
    <w:rsid w:val="00990F55"/>
    <w:rsid w:val="009E463B"/>
    <w:rsid w:val="00AB3E93"/>
    <w:rsid w:val="00B24F59"/>
    <w:rsid w:val="00BD3E8C"/>
    <w:rsid w:val="00BF3BD7"/>
    <w:rsid w:val="00CE615E"/>
    <w:rsid w:val="00D04B08"/>
    <w:rsid w:val="00D20E70"/>
    <w:rsid w:val="00D56020"/>
    <w:rsid w:val="00DC455A"/>
    <w:rsid w:val="00DD693D"/>
    <w:rsid w:val="00DF53EB"/>
    <w:rsid w:val="00EF4254"/>
    <w:rsid w:val="00F06B97"/>
    <w:rsid w:val="00F5251F"/>
    <w:rsid w:val="00F908FF"/>
    <w:rsid w:val="00F97759"/>
    <w:rsid w:val="00FA5A15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4F1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A81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89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A81"/>
    <w:rPr>
      <w:lang w:val="sl-SI"/>
    </w:rPr>
  </w:style>
  <w:style w:type="character" w:styleId="Hiperpovezava">
    <w:name w:val="Hyperlink"/>
    <w:rsid w:val="00722027"/>
    <w:rPr>
      <w:color w:val="000000"/>
    </w:rPr>
  </w:style>
  <w:style w:type="table" w:styleId="Tabelamrea">
    <w:name w:val="Table Grid"/>
    <w:basedOn w:val="Navadnatabela"/>
    <w:uiPriority w:val="39"/>
    <w:rsid w:val="004B607C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link w:val="TextCar"/>
    <w:rsid w:val="00D04B08"/>
    <w:pPr>
      <w:spacing w:after="60" w:line="240" w:lineRule="auto"/>
    </w:pPr>
    <w:rPr>
      <w:rFonts w:ascii="Arial" w:eastAsia="Times New Roman" w:hAnsi="Arial" w:cs="Times New Roman"/>
      <w:kern w:val="16"/>
      <w:szCs w:val="20"/>
      <w:lang w:val="de-DE" w:eastAsia="de-DE"/>
    </w:rPr>
  </w:style>
  <w:style w:type="character" w:customStyle="1" w:styleId="TextCar">
    <w:name w:val="Text Car"/>
    <w:basedOn w:val="Privzetapisavaodstavka"/>
    <w:link w:val="Text"/>
    <w:rsid w:val="00D04B08"/>
    <w:rPr>
      <w:rFonts w:ascii="Arial" w:eastAsia="Times New Roman" w:hAnsi="Arial" w:cs="Times New Roman"/>
      <w:kern w:val="16"/>
      <w:szCs w:val="20"/>
      <w:lang w:val="de-DE" w:eastAsia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F55"/>
    <w:rPr>
      <w:rFonts w:ascii="Segoe UI" w:hAnsi="Segoe UI" w:cs="Segoe UI"/>
      <w:sz w:val="18"/>
      <w:szCs w:val="1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BeeJay</dc:creator>
  <cp:lastModifiedBy>Urška Fajt</cp:lastModifiedBy>
  <cp:revision>3</cp:revision>
  <cp:lastPrinted>2016-11-10T08:36:00Z</cp:lastPrinted>
  <dcterms:created xsi:type="dcterms:W3CDTF">2016-11-09T12:41:00Z</dcterms:created>
  <dcterms:modified xsi:type="dcterms:W3CDTF">2016-11-10T08:36:00Z</dcterms:modified>
</cp:coreProperties>
</file>