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37BB7" w:rsidRPr="00837BB7" w:rsidTr="00DB0742">
        <w:trPr>
          <w:cantSplit/>
          <w:trHeight w:hRule="exact" w:val="846"/>
        </w:trPr>
        <w:tc>
          <w:tcPr>
            <w:tcW w:w="851" w:type="dxa"/>
            <w:vMerge w:val="restart"/>
          </w:tcPr>
          <w:p w:rsidR="00837BB7" w:rsidRPr="00837BB7" w:rsidRDefault="00837BB7" w:rsidP="00473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sl-SI"/>
              </w:rPr>
            </w:pPr>
            <w:bookmarkStart w:id="0" w:name="_GoBack"/>
            <w:bookmarkEnd w:id="0"/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 </w:t>
            </w:r>
            <w:r w:rsidR="00473C4A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D47222" wp14:editId="252B6196">
                  <wp:extent cx="468630" cy="560705"/>
                  <wp:effectExtent l="0" t="0" r="7620" b="0"/>
                  <wp:docPr id="2" name="Slika 2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</w:t>
            </w: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>OBČINA CERKLJE</w:t>
            </w:r>
          </w:p>
          <w:p w:rsidR="00837BB7" w:rsidRPr="00837BB7" w:rsidRDefault="00837BB7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NA GORENJSKEM</w:t>
            </w:r>
          </w:p>
        </w:tc>
      </w:tr>
      <w:tr w:rsidR="00837BB7" w:rsidRPr="00837BB7" w:rsidTr="00DB0742">
        <w:trPr>
          <w:cantSplit/>
          <w:trHeight w:hRule="exact" w:val="294"/>
        </w:trPr>
        <w:tc>
          <w:tcPr>
            <w:tcW w:w="851" w:type="dxa"/>
            <w:vMerge/>
          </w:tcPr>
          <w:p w:rsidR="00837BB7" w:rsidRPr="00837BB7" w:rsidRDefault="00837BB7" w:rsidP="00837B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</w:tcPr>
          <w:p w:rsidR="00837BB7" w:rsidRPr="00837BB7" w:rsidRDefault="006D344F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</w:t>
            </w:r>
          </w:p>
        </w:tc>
      </w:tr>
      <w:tr w:rsidR="00837BB7" w:rsidRPr="00837BB7" w:rsidTr="00DB0742">
        <w:trPr>
          <w:trHeight w:val="281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  <w:t>Trg Davorina Jenka 13, 4207 Cerklje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e-mail:obcinacerklje@siol.net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37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04/28 15 820 </w:t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28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 04/ 28 15 800</w:t>
            </w:r>
          </w:p>
        </w:tc>
      </w:tr>
    </w:tbl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8F0443">
        <w:rPr>
          <w:rFonts w:ascii="Times New Roman" w:eastAsia="Times New Roman" w:hAnsi="Times New Roman" w:cs="Times New Roman"/>
          <w:sz w:val="24"/>
          <w:szCs w:val="24"/>
          <w:lang w:eastAsia="sl-SI"/>
        </w:rPr>
        <w:t>032-03/2018-59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441688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C55A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7C61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F7C7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C55A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7C61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8F0443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</w:p>
    <w:p w:rsidR="00C81D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Pr="00837BB7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</w:t>
      </w: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OBČINE CERKLJE </w:t>
      </w:r>
      <w:r w:rsidR="00B01FE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G</w:t>
      </w:r>
      <w:r w:rsidR="00B01FE5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orenjskem</w:t>
      </w:r>
    </w:p>
    <w:p w:rsidR="00CD4C02" w:rsidRPr="00837BB7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F81645" w:rsidRPr="00837BB7" w:rsidRDefault="007A60EA" w:rsidP="006D344F">
            <w:pPr>
              <w:spacing w:after="21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POROČILO O REALIZACIJI 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NAČRT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RAVNANJA </w:t>
            </w:r>
            <w:r w:rsidR="006D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 PR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EMIČNIM PREMOŽENJEM OBČINE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</w:t>
            </w:r>
            <w:r w:rsidR="00464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RKLJE NA GORENJSKEM ZA LETO 2018</w:t>
            </w:r>
          </w:p>
        </w:tc>
      </w:tr>
      <w:tr w:rsidR="00F81645" w:rsidRPr="00837BB7" w:rsidTr="00CC6E1A">
        <w:tc>
          <w:tcPr>
            <w:tcW w:w="1128" w:type="pct"/>
            <w:vAlign w:val="center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F81645" w:rsidRPr="00837BB7" w:rsidRDefault="00464183" w:rsidP="00C8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641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96. člen Zakona o stvarnem premoženju države in samoupravnih lokalnih skupnosti (Uradni list RS, št. 11/18 in 79/18)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Župan, g. Franc Čebulj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PRIPRAVILA:</w:t>
            </w:r>
          </w:p>
        </w:tc>
        <w:tc>
          <w:tcPr>
            <w:tcW w:w="3872" w:type="pct"/>
          </w:tcPr>
          <w:p w:rsidR="00F81645" w:rsidRPr="00837BB7" w:rsidRDefault="00C55A25" w:rsidP="007F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A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Špela Petrič, </w:t>
            </w:r>
            <w:r w:rsidR="00A644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mag. prav.</w:t>
            </w:r>
            <w:r w:rsidRPr="00C55A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7F7C7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Višja s</w:t>
            </w:r>
            <w:r w:rsidR="00A644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vetovalka za pravne zadeve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NAMEN:</w:t>
            </w:r>
          </w:p>
        </w:tc>
        <w:tc>
          <w:tcPr>
            <w:tcW w:w="3872" w:type="pct"/>
          </w:tcPr>
          <w:p w:rsidR="00F81645" w:rsidRPr="00837BB7" w:rsidRDefault="007A60EA" w:rsidP="006D3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60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Seznanitev s poročilom: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A60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POROČILO</w:t>
            </w:r>
            <w:r w:rsidR="006D344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O REALIZACIJI NAČRTA RAVNANJA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PREMIČNIM PREMOŽENJEM </w:t>
            </w:r>
            <w:r w:rsidR="00050CD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LETO </w:t>
            </w:r>
            <w:r w:rsidR="0046418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2018</w:t>
            </w:r>
          </w:p>
        </w:tc>
      </w:tr>
    </w:tbl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OBRAZLOŽITEV</w:t>
      </w:r>
      <w:r w:rsid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E72160" w:rsidRPr="00837BB7" w:rsidRDefault="00E72160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A60EA" w:rsidRDefault="007A60EA" w:rsidP="007A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60EA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Cerklje na Gorenjskem je:</w:t>
      </w:r>
    </w:p>
    <w:p w:rsidR="00CD4C02" w:rsidRPr="007A60EA" w:rsidRDefault="00CD4C02" w:rsidP="007A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4183" w:rsidRPr="00464183" w:rsidRDefault="00464183" w:rsidP="0046418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>na svoji 20. redni seji dne 26. 1. 2018 sprejel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Načrt ravnanja s premičnim</w:t>
      </w:r>
      <w:r w:rsidRP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premoženjem Občine Cerklje na Gorenjskem za leto 2018, ki je bil objavljen v Uradnem glasilu slovenskih občin, št. 5/2018 z dne 2. 2. 2018.</w:t>
      </w:r>
    </w:p>
    <w:p w:rsidR="00464183" w:rsidRPr="00464183" w:rsidRDefault="00464183" w:rsidP="0046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464183" w:rsidP="0046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60EA" w:rsidRPr="007A60EA">
        <w:rPr>
          <w:rFonts w:ascii="Times New Roman" w:eastAsia="Times New Roman" w:hAnsi="Times New Roman" w:cs="Times New Roman"/>
          <w:sz w:val="24"/>
          <w:szCs w:val="24"/>
          <w:lang w:eastAsia="sl-SI"/>
        </w:rPr>
        <w:t>(v nadaljevanju: Načrt).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64183" w:rsidRPr="00464183" w:rsidRDefault="00464183" w:rsidP="00464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skladu z določbami 2. odstavka 96. člena Zakona o stvarnem premoženju države in samoupravnih lokalnih skupnosti (Uradni list RS, št. 11/18 in 79/18), ki določa, da se za postopke načrtovanja ravnanja s stvarnim premoženjem države in samoupravnih lokalnih skupnosti za leti 2018 in 2019, ki so se začeli po uveljavitvi Zakona o stvarnem premoženju države in samoupravnih lokalnih skupnosti (Uradni list RS, št. 11/18), njihovo vsebino in poročanje o njihovi realizaciji, uporabijo določbe 11., 12., 13., 14. in 15. člena Zakona o stvarnem premoženju države in samoupravnih lokalnih skupnosti (Uradni list RS, št. 86/10, 75/12, 47/13 – ZDU-1G, 50/14, 90/14 – ZDU-1I, 14/15 – ZUUJFO, 76/15), in predpisi, izdani na njihovi podlagi, podaja Občina Cerklje na Gorenjskem Poročilo o realizaciji načrta ravnanja z nepremičnim premoženjem in poročilo o realizaciji načrta ravnanja s premičnim premoženjem, svetu samoupravne lokalne skupnosti skupaj z zaključnim računom proračuna. </w:t>
      </w:r>
    </w:p>
    <w:p w:rsidR="0076029F" w:rsidRDefault="0076029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D344F" w:rsidRPr="00696623" w:rsidRDefault="00DB0BEC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N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>ačrt ravnanja s premičnim p</w:t>
      </w:r>
      <w:r w:rsidR="006D344F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remoženjem vsebuje 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pridobivanja </w:t>
      </w:r>
      <w:r w:rsidR="006D344F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>premičnega premoženja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posamični vrednosti nad 10.000,00 evrov in </w:t>
      </w:r>
      <w:r w:rsidR="006D344F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razpolaganja 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>s premičnim premoženjem</w:t>
      </w:r>
      <w:r w:rsidR="006D344F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posamični vrednosti nad 10.000,00 evrov. </w:t>
      </w:r>
      <w:r w:rsidR="006D344F"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D344F" w:rsidRPr="00696623" w:rsidRDefault="006D344F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44F" w:rsidRDefault="006D344F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s </w:t>
      </w:r>
      <w:r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premičnim premoženjem 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 </w:t>
      </w:r>
      <w:r w:rsidRPr="006966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sprejme svet samoupravne lokalne skupnosti na predlog organa, pristojnega za izvrševanje proračuna samoupravne lokalne skupnosti. </w:t>
      </w:r>
    </w:p>
    <w:p w:rsidR="00DB0BEC" w:rsidRDefault="00DB0BEC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44F" w:rsidRDefault="00DB0BEC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Načrt ravnanja s premičnim premoženjem 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>v posamični vrednosti nad 10.000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,00</w:t>
      </w:r>
      <w:r w:rsidRPr="002739E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evrov</w:t>
      </w:r>
      <w:r w:rsid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bil sestavljen le iz načrta pridobivanja premičnega premoženja, ker 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planira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nakup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motornega vozila, in sicer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razpoložljivih sredstev na proračunski postavki 0</w:t>
      </w:r>
      <w:r w:rsid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>637 konto 420101, v višini do 17.0</w:t>
      </w:r>
      <w:r w:rsidR="006D344F">
        <w:rPr>
          <w:rFonts w:ascii="Times New Roman" w:eastAsia="Times New Roman" w:hAnsi="Times New Roman" w:cs="Times New Roman"/>
          <w:sz w:val="24"/>
          <w:szCs w:val="24"/>
          <w:lang w:eastAsia="sl-SI"/>
        </w:rPr>
        <w:t>00,00 EUR</w:t>
      </w:r>
      <w:r w:rsidR="00A27B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D344F" w:rsidRDefault="006D344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B0BEC" w:rsidRPr="00D7349A" w:rsidRDefault="00D7349A" w:rsidP="000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 prilogo št. 1 je </w:t>
      </w:r>
      <w:r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>priloženo</w:t>
      </w:r>
      <w:r w:rsidR="00A15EDD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Poročilo</w:t>
      </w:r>
      <w:r w:rsidR="006D344F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 realizaciji načrta ravnanja s </w:t>
      </w:r>
      <w:r w:rsidR="00A15EDD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premičnim </w:t>
      </w:r>
      <w:r w:rsidR="0002297B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premoženjem </w:t>
      </w:r>
      <w:r w:rsidR="00E72160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464183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DB0BEC" w:rsidRPr="00D7349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6D344F" w:rsidRPr="00D7349A" w:rsidRDefault="006D344F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618C" w:rsidRDefault="0005618C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Občinskemu svetu Občine Cerklje na Gorenjskem predlagamo, da sprejme naslednji</w:t>
      </w:r>
    </w:p>
    <w:p w:rsidR="00A15EDD" w:rsidRPr="0005618C" w:rsidRDefault="00A15EDD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618C" w:rsidRPr="0005618C" w:rsidRDefault="0005618C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:rsidR="00F81645" w:rsidRPr="00837BB7" w:rsidRDefault="0005618C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Občine Cerklje na Gorenjskem se je seznanil s Poročilom o</w:t>
      </w:r>
      <w:r w:rsid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6D344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realizaciji načrta ravnanja s </w:t>
      </w: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premičnim premoženjem</w:t>
      </w:r>
      <w:r w:rsidR="00B766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1312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 2017</w:t>
      </w: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F81645" w:rsidRDefault="00F81645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</w:p>
    <w:p w:rsidR="00CD4C02" w:rsidRDefault="00CD4C02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29F" w:rsidRPr="00837BB7" w:rsidRDefault="0076029F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5611E4" w:rsidRPr="005611E4" w:rsidRDefault="00F81645" w:rsidP="0056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</w:t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4402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440255">
        <w:rPr>
          <w:rFonts w:ascii="Times New Roman" w:hAnsi="Times New Roman" w:cs="Times New Roman"/>
          <w:sz w:val="24"/>
          <w:szCs w:val="24"/>
        </w:rPr>
        <w:t>FRANC ČEBULJ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44F" w:rsidRDefault="006D344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D344F" w:rsidRDefault="006D344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7349A" w:rsidRDefault="00D7349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0BEC" w:rsidRDefault="00DB0BEC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0BEC" w:rsidRDefault="00DB0BEC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0BEC" w:rsidRDefault="00DB0BEC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B0BEC" w:rsidRPr="00837BB7" w:rsidRDefault="00DB0BEC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29F" w:rsidRPr="003738E5" w:rsidRDefault="0076029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Priloga: </w:t>
      </w:r>
    </w:p>
    <w:p w:rsidR="006D344F" w:rsidRPr="00CD4C02" w:rsidRDefault="00CD4C02" w:rsidP="006D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- </w:t>
      </w:r>
      <w:r w:rsidR="00B7668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 1: </w:t>
      </w:r>
      <w:r w:rsid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>Poročilo</w:t>
      </w:r>
      <w:r w:rsidR="00050CD0" w:rsidRP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o</w:t>
      </w:r>
      <w:r w:rsid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6D344F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realizaciji načrta ravnanja s </w:t>
      </w:r>
      <w:r w:rsidR="00050CD0" w:rsidRP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>premičnim premoženjem</w:t>
      </w:r>
      <w:r w:rsidR="00A644CD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464183">
        <w:rPr>
          <w:rFonts w:ascii="Times New Roman" w:eastAsia="Times New Roman" w:hAnsi="Times New Roman" w:cs="Times New Roman"/>
          <w:sz w:val="20"/>
          <w:szCs w:val="20"/>
          <w:lang w:eastAsia="sl-SI"/>
        </w:rPr>
        <w:t>za leto 2018</w:t>
      </w:r>
    </w:p>
    <w:p w:rsidR="00CD4C02" w:rsidRPr="00CD4C02" w:rsidRDefault="00CD4C02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sectPr w:rsidR="00CD4C02" w:rsidRPr="00CD4C02" w:rsidSect="00C95E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62" w:rsidRDefault="00AC4062">
      <w:pPr>
        <w:spacing w:after="0" w:line="240" w:lineRule="auto"/>
      </w:pPr>
      <w:r>
        <w:separator/>
      </w:r>
    </w:p>
  </w:endnote>
  <w:endnote w:type="continuationSeparator" w:id="0">
    <w:p w:rsidR="00AC4062" w:rsidRDefault="00AC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B36" w:rsidRDefault="00065CBE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65CBE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17B36" w:rsidRDefault="00065CBE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62" w:rsidRDefault="00AC4062">
      <w:pPr>
        <w:spacing w:after="0" w:line="240" w:lineRule="auto"/>
      </w:pPr>
      <w:r>
        <w:separator/>
      </w:r>
    </w:p>
  </w:footnote>
  <w:footnote w:type="continuationSeparator" w:id="0">
    <w:p w:rsidR="00AC4062" w:rsidRDefault="00AC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711"/>
    <w:multiLevelType w:val="hybridMultilevel"/>
    <w:tmpl w:val="B2AE3AFA"/>
    <w:lvl w:ilvl="0" w:tplc="98D49B5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3C1740"/>
    <w:multiLevelType w:val="hybridMultilevel"/>
    <w:tmpl w:val="65AE61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34E4"/>
    <w:multiLevelType w:val="hybridMultilevel"/>
    <w:tmpl w:val="BA5023B8"/>
    <w:lvl w:ilvl="0" w:tplc="98D4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8F9"/>
    <w:multiLevelType w:val="hybridMultilevel"/>
    <w:tmpl w:val="9AF67D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067C2"/>
    <w:multiLevelType w:val="hybridMultilevel"/>
    <w:tmpl w:val="1CBCA00C"/>
    <w:lvl w:ilvl="0" w:tplc="27265ED8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9B7E8F"/>
    <w:multiLevelType w:val="hybridMultilevel"/>
    <w:tmpl w:val="1BEC85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93C92"/>
    <w:multiLevelType w:val="hybridMultilevel"/>
    <w:tmpl w:val="DC8A24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55C33"/>
    <w:multiLevelType w:val="hybridMultilevel"/>
    <w:tmpl w:val="A0EE5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0969"/>
    <w:multiLevelType w:val="hybridMultilevel"/>
    <w:tmpl w:val="53DA2312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D76FB6"/>
    <w:multiLevelType w:val="hybridMultilevel"/>
    <w:tmpl w:val="FF249D10"/>
    <w:lvl w:ilvl="0" w:tplc="793C6D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5"/>
    <w:rsid w:val="0002297B"/>
    <w:rsid w:val="00050CD0"/>
    <w:rsid w:val="0005618C"/>
    <w:rsid w:val="00065CBE"/>
    <w:rsid w:val="00091B61"/>
    <w:rsid w:val="000E61F3"/>
    <w:rsid w:val="00115174"/>
    <w:rsid w:val="00131206"/>
    <w:rsid w:val="00297BD2"/>
    <w:rsid w:val="003738E5"/>
    <w:rsid w:val="00384D11"/>
    <w:rsid w:val="00410BC3"/>
    <w:rsid w:val="00440255"/>
    <w:rsid w:val="00441688"/>
    <w:rsid w:val="00443B3D"/>
    <w:rsid w:val="00464183"/>
    <w:rsid w:val="00473C4A"/>
    <w:rsid w:val="00506369"/>
    <w:rsid w:val="005611E4"/>
    <w:rsid w:val="00614CDE"/>
    <w:rsid w:val="006415D2"/>
    <w:rsid w:val="006D344F"/>
    <w:rsid w:val="006F647E"/>
    <w:rsid w:val="0076029F"/>
    <w:rsid w:val="007A60EA"/>
    <w:rsid w:val="007C61AB"/>
    <w:rsid w:val="007F7C7B"/>
    <w:rsid w:val="00837BB7"/>
    <w:rsid w:val="00851260"/>
    <w:rsid w:val="008A2364"/>
    <w:rsid w:val="008A5080"/>
    <w:rsid w:val="008F0443"/>
    <w:rsid w:val="009068B9"/>
    <w:rsid w:val="00A15EDD"/>
    <w:rsid w:val="00A27BAE"/>
    <w:rsid w:val="00A644CD"/>
    <w:rsid w:val="00AC4062"/>
    <w:rsid w:val="00AF3F4C"/>
    <w:rsid w:val="00B01FE5"/>
    <w:rsid w:val="00B23444"/>
    <w:rsid w:val="00B736FB"/>
    <w:rsid w:val="00B76685"/>
    <w:rsid w:val="00B82D7D"/>
    <w:rsid w:val="00BB3654"/>
    <w:rsid w:val="00C41786"/>
    <w:rsid w:val="00C55A25"/>
    <w:rsid w:val="00C81DB7"/>
    <w:rsid w:val="00C84717"/>
    <w:rsid w:val="00CD4C02"/>
    <w:rsid w:val="00D7349A"/>
    <w:rsid w:val="00DB0BEC"/>
    <w:rsid w:val="00E612D9"/>
    <w:rsid w:val="00E72160"/>
    <w:rsid w:val="00EC0925"/>
    <w:rsid w:val="00EC7C38"/>
    <w:rsid w:val="00F22E19"/>
    <w:rsid w:val="00F41BA0"/>
    <w:rsid w:val="00F46C6C"/>
    <w:rsid w:val="00F81645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B61F-0A19-45DF-BAE4-E50BEF8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37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37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37BB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81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816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8164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4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37BB7"/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E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Jana Jenko</cp:lastModifiedBy>
  <cp:revision>2</cp:revision>
  <cp:lastPrinted>2016-05-18T10:17:00Z</cp:lastPrinted>
  <dcterms:created xsi:type="dcterms:W3CDTF">2019-04-10T08:03:00Z</dcterms:created>
  <dcterms:modified xsi:type="dcterms:W3CDTF">2019-04-10T08:03:00Z</dcterms:modified>
</cp:coreProperties>
</file>