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82" w:rsidRPr="00D90382" w:rsidRDefault="00D90382" w:rsidP="00D90382">
      <w:pPr>
        <w:jc w:val="center"/>
        <w:rPr>
          <w:rFonts w:ascii="Arial" w:hAnsi="Arial" w:cs="Arial"/>
        </w:rPr>
      </w:pPr>
      <w:bookmarkStart w:id="0" w:name="_GoBack"/>
      <w:bookmarkEnd w:id="0"/>
    </w:p>
    <w:p w:rsidR="00D90382" w:rsidRPr="00D90382" w:rsidRDefault="00D90382" w:rsidP="00D90382">
      <w:pPr>
        <w:jc w:val="center"/>
        <w:rPr>
          <w:rFonts w:ascii="Arial" w:hAnsi="Arial" w:cs="Arial"/>
        </w:rPr>
      </w:pPr>
    </w:p>
    <w:p w:rsidR="00D90382" w:rsidRPr="00D90382" w:rsidRDefault="00D90382" w:rsidP="00D90382">
      <w:pPr>
        <w:jc w:val="center"/>
        <w:rPr>
          <w:rFonts w:ascii="Arial" w:hAnsi="Arial" w:cs="Arial"/>
        </w:rPr>
      </w:pPr>
    </w:p>
    <w:p w:rsidR="00D90382" w:rsidRDefault="00D90382" w:rsidP="00D90382">
      <w:pPr>
        <w:jc w:val="center"/>
        <w:rPr>
          <w:rFonts w:ascii="Arial" w:hAnsi="Arial" w:cs="Arial"/>
        </w:rPr>
      </w:pPr>
    </w:p>
    <w:p w:rsidR="001562D4" w:rsidRDefault="001562D4" w:rsidP="00D90382">
      <w:pPr>
        <w:jc w:val="center"/>
        <w:rPr>
          <w:rFonts w:ascii="Arial" w:hAnsi="Arial" w:cs="Arial"/>
        </w:rPr>
      </w:pPr>
    </w:p>
    <w:p w:rsidR="001562D4" w:rsidRDefault="001562D4" w:rsidP="00D90382">
      <w:pPr>
        <w:jc w:val="center"/>
        <w:rPr>
          <w:rFonts w:ascii="Arial" w:hAnsi="Arial" w:cs="Arial"/>
        </w:rPr>
      </w:pPr>
    </w:p>
    <w:p w:rsidR="00D90382" w:rsidRPr="00D90382" w:rsidRDefault="00D90382" w:rsidP="00D90382">
      <w:pPr>
        <w:jc w:val="center"/>
        <w:rPr>
          <w:rFonts w:ascii="Arial" w:hAnsi="Arial" w:cs="Arial"/>
        </w:rPr>
      </w:pPr>
    </w:p>
    <w:p w:rsidR="00D90382" w:rsidRPr="00D90382" w:rsidRDefault="00D90382" w:rsidP="00D90382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D90382">
        <w:rPr>
          <w:rFonts w:ascii="Arial" w:hAnsi="Arial" w:cs="Arial"/>
          <w:sz w:val="36"/>
          <w:szCs w:val="36"/>
        </w:rPr>
        <w:t>GRADIVO K TOČKI  4</w:t>
      </w:r>
    </w:p>
    <w:p w:rsidR="00D90382" w:rsidRPr="00D90382" w:rsidRDefault="00D90382" w:rsidP="00D90382">
      <w:pPr>
        <w:jc w:val="center"/>
        <w:rPr>
          <w:rFonts w:ascii="Arial" w:hAnsi="Arial" w:cs="Arial"/>
          <w:sz w:val="36"/>
          <w:szCs w:val="36"/>
        </w:rPr>
      </w:pPr>
    </w:p>
    <w:p w:rsidR="00D90382" w:rsidRPr="00D90382" w:rsidRDefault="00D90382" w:rsidP="00D90382">
      <w:pPr>
        <w:spacing w:after="210" w:line="360" w:lineRule="atLeast"/>
        <w:jc w:val="center"/>
        <w:rPr>
          <w:rFonts w:ascii="Arial" w:hAnsi="Arial" w:cs="Arial"/>
          <w:sz w:val="36"/>
          <w:szCs w:val="36"/>
        </w:rPr>
      </w:pPr>
    </w:p>
    <w:p w:rsidR="00D90382" w:rsidRPr="00D90382" w:rsidRDefault="00D90382" w:rsidP="00D90382">
      <w:pPr>
        <w:spacing w:after="0" w:line="360" w:lineRule="auto"/>
        <w:ind w:left="567" w:right="1133"/>
        <w:jc w:val="center"/>
        <w:rPr>
          <w:rFonts w:ascii="Arial" w:hAnsi="Arial" w:cs="Arial"/>
          <w:sz w:val="36"/>
          <w:szCs w:val="36"/>
        </w:rPr>
      </w:pPr>
      <w:r w:rsidRPr="00D90382">
        <w:rPr>
          <w:rFonts w:ascii="Arial" w:hAnsi="Arial" w:cs="Arial"/>
          <w:sz w:val="36"/>
          <w:szCs w:val="36"/>
        </w:rPr>
        <w:t>POBUDE IN VPRAŠANJA SVETNIKOV</w:t>
      </w:r>
    </w:p>
    <w:p w:rsidR="00D90382" w:rsidRPr="00D90382" w:rsidRDefault="00D90382" w:rsidP="00D90382">
      <w:pPr>
        <w:spacing w:after="210" w:line="360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D90382"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p w:rsidR="00D90382" w:rsidRPr="00D90382" w:rsidRDefault="00D90382" w:rsidP="00D90382">
      <w:pPr>
        <w:jc w:val="center"/>
        <w:rPr>
          <w:rFonts w:ascii="Arial" w:hAnsi="Arial" w:cs="Arial"/>
        </w:rPr>
      </w:pPr>
    </w:p>
    <w:p w:rsidR="00D90382" w:rsidRPr="00D90382" w:rsidRDefault="00D90382" w:rsidP="00D90382">
      <w:pPr>
        <w:rPr>
          <w:rFonts w:ascii="Arial" w:hAnsi="Arial" w:cs="Arial"/>
        </w:rPr>
      </w:pPr>
    </w:p>
    <w:p w:rsidR="00D90382" w:rsidRPr="00D90382" w:rsidRDefault="00D90382">
      <w:pPr>
        <w:rPr>
          <w:rFonts w:ascii="Arial" w:hAnsi="Arial" w:cs="Arial"/>
        </w:rPr>
      </w:pPr>
      <w:r w:rsidRPr="00D90382">
        <w:rPr>
          <w:rFonts w:ascii="Arial" w:hAnsi="Arial" w:cs="Arial"/>
        </w:rPr>
        <w:br w:type="page"/>
      </w:r>
    </w:p>
    <w:p w:rsidR="00D90382" w:rsidRPr="00D90382" w:rsidRDefault="00D90382" w:rsidP="00D90382">
      <w:pPr>
        <w:rPr>
          <w:rFonts w:ascii="Arial" w:hAnsi="Arial" w:cs="Arial"/>
          <w:b/>
        </w:rPr>
      </w:pPr>
      <w:r w:rsidRPr="00D90382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 wp14:anchorId="63103C99" wp14:editId="00F1B1FF">
            <wp:extent cx="5753100" cy="923925"/>
            <wp:effectExtent l="0" t="0" r="0" b="9525"/>
            <wp:docPr id="1" name="Slika 1" descr="dopisi-03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i-03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82" w:rsidRPr="00D90382" w:rsidRDefault="00D90382" w:rsidP="00D90382">
      <w:pPr>
        <w:rPr>
          <w:rFonts w:ascii="Arial" w:hAnsi="Arial" w:cs="Arial"/>
          <w:b/>
        </w:rPr>
      </w:pPr>
      <w:r w:rsidRPr="00D90382">
        <w:rPr>
          <w:rFonts w:ascii="Arial" w:hAnsi="Arial" w:cs="Arial"/>
          <w:b/>
        </w:rPr>
        <w:t>OBČINSKI SVET</w:t>
      </w:r>
    </w:p>
    <w:p w:rsidR="00D90382" w:rsidRPr="00D90382" w:rsidRDefault="00D90382" w:rsidP="00D90382">
      <w:pPr>
        <w:pStyle w:val="Glava"/>
        <w:rPr>
          <w:rFonts w:ascii="Arial" w:hAnsi="Arial" w:cs="Arial"/>
        </w:rPr>
      </w:pPr>
    </w:p>
    <w:p w:rsidR="00D90382" w:rsidRPr="00D90382" w:rsidRDefault="00D90382" w:rsidP="00D90382">
      <w:pPr>
        <w:pStyle w:val="Glava"/>
        <w:rPr>
          <w:rFonts w:ascii="Arial" w:hAnsi="Arial" w:cs="Arial"/>
        </w:rPr>
      </w:pPr>
    </w:p>
    <w:p w:rsidR="00D90382" w:rsidRPr="00D90382" w:rsidRDefault="00D90382" w:rsidP="00A31B90">
      <w:pPr>
        <w:spacing w:after="0"/>
        <w:rPr>
          <w:rFonts w:ascii="Arial" w:hAnsi="Arial" w:cs="Arial"/>
        </w:rPr>
      </w:pPr>
      <w:r w:rsidRPr="00D90382">
        <w:rPr>
          <w:rFonts w:ascii="Arial" w:hAnsi="Arial" w:cs="Arial"/>
        </w:rPr>
        <w:t>Številka: 900-0011/2019</w:t>
      </w:r>
    </w:p>
    <w:p w:rsidR="00D90382" w:rsidRPr="00D90382" w:rsidRDefault="00D90382" w:rsidP="00A31B90">
      <w:pPr>
        <w:spacing w:after="0"/>
        <w:rPr>
          <w:rFonts w:ascii="Arial" w:hAnsi="Arial" w:cs="Arial"/>
        </w:rPr>
      </w:pPr>
      <w:r w:rsidRPr="00D90382">
        <w:rPr>
          <w:rFonts w:ascii="Arial" w:hAnsi="Arial" w:cs="Arial"/>
        </w:rPr>
        <w:t>Datum:   28.10.2019</w:t>
      </w:r>
    </w:p>
    <w:p w:rsidR="00D90382" w:rsidRPr="00D90382" w:rsidRDefault="00D90382" w:rsidP="00241FCD">
      <w:pPr>
        <w:jc w:val="both"/>
        <w:rPr>
          <w:rFonts w:ascii="Arial" w:hAnsi="Arial" w:cs="Arial"/>
        </w:rPr>
      </w:pPr>
    </w:p>
    <w:p w:rsidR="00D90382" w:rsidRPr="00D90382" w:rsidRDefault="00D90382" w:rsidP="00241FCD">
      <w:pPr>
        <w:jc w:val="both"/>
        <w:rPr>
          <w:rFonts w:ascii="Arial" w:hAnsi="Arial" w:cs="Arial"/>
          <w:b/>
        </w:rPr>
      </w:pPr>
      <w:r w:rsidRPr="00D90382">
        <w:rPr>
          <w:rFonts w:ascii="Arial" w:hAnsi="Arial" w:cs="Arial"/>
          <w:b/>
        </w:rPr>
        <w:t>ODGOVOR NA VPRAŠANJE  SVETNIKA  ANDREJA ČAMAPE NA 6. SEJI DNE, 17.10.2019</w:t>
      </w:r>
    </w:p>
    <w:p w:rsidR="00D90382" w:rsidRPr="00D90382" w:rsidRDefault="00D90382">
      <w:pPr>
        <w:rPr>
          <w:rFonts w:ascii="Arial" w:hAnsi="Arial" w:cs="Arial"/>
          <w:b/>
        </w:rPr>
      </w:pPr>
    </w:p>
    <w:p w:rsidR="00D90382" w:rsidRPr="00D90382" w:rsidRDefault="00D90382">
      <w:pPr>
        <w:rPr>
          <w:rFonts w:ascii="Arial" w:hAnsi="Arial" w:cs="Arial"/>
          <w:b/>
        </w:rPr>
      </w:pPr>
      <w:r w:rsidRPr="00D90382">
        <w:rPr>
          <w:rFonts w:ascii="Arial" w:hAnsi="Arial" w:cs="Arial"/>
          <w:b/>
        </w:rPr>
        <w:t xml:space="preserve">Vprašanje: </w:t>
      </w:r>
    </w:p>
    <w:p w:rsidR="00D90382" w:rsidRPr="00D90382" w:rsidRDefault="00D90382" w:rsidP="00E64AE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Z</w:t>
      </w:r>
      <w:r w:rsidRPr="00D90382">
        <w:rPr>
          <w:rFonts w:ascii="Arial" w:hAnsi="Arial" w:cs="Arial"/>
          <w:bCs/>
        </w:rPr>
        <w:t>anima</w:t>
      </w:r>
      <w:r>
        <w:rPr>
          <w:rFonts w:ascii="Arial" w:hAnsi="Arial" w:cs="Arial"/>
          <w:bCs/>
        </w:rPr>
        <w:t xml:space="preserve"> ga</w:t>
      </w:r>
      <w:r w:rsidRPr="00D90382">
        <w:rPr>
          <w:rFonts w:ascii="Arial" w:hAnsi="Arial" w:cs="Arial"/>
          <w:bCs/>
        </w:rPr>
        <w:t>, ali je prav razumel, da se projekt P+R dela na ključ. Zanima ga je, zakaj so potem v rebalansu proračuna predvidena sredstva v višini 20.000 € za električne polnilnice in se s tem vrednost investicije spet zvišuje.</w:t>
      </w:r>
    </w:p>
    <w:p w:rsidR="00CC51E7" w:rsidRPr="00D90382" w:rsidRDefault="00D90382" w:rsidP="00E64AEC">
      <w:pPr>
        <w:spacing w:line="276" w:lineRule="auto"/>
        <w:jc w:val="both"/>
        <w:rPr>
          <w:rFonts w:ascii="Arial" w:hAnsi="Arial" w:cs="Arial"/>
        </w:rPr>
      </w:pPr>
      <w:r w:rsidRPr="00D90382">
        <w:rPr>
          <w:rFonts w:ascii="Arial" w:hAnsi="Arial" w:cs="Arial"/>
          <w:b/>
        </w:rPr>
        <w:t>Odgovor:</w:t>
      </w:r>
    </w:p>
    <w:p w:rsidR="00E802AD" w:rsidRPr="00D90382" w:rsidRDefault="00E802AD" w:rsidP="00E64AEC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0382">
        <w:rPr>
          <w:rFonts w:ascii="Arial" w:hAnsi="Arial" w:cs="Arial"/>
        </w:rPr>
        <w:t xml:space="preserve">Občina Borovnica je v oktobru 2018 izvedla javno naročilo za izvedbo operacije »Parkirišče pri železniški postaji«. Javno naročilo je vsebovalo tudi postavitev 5 AC polnilnih postaj za električna vozila (PPEV) za napajanje 10 električnih vozil. Javno naročilo ni bilo uspešno, saj </w:t>
      </w:r>
      <w:r w:rsidR="00153916" w:rsidRPr="00D90382">
        <w:rPr>
          <w:rFonts w:ascii="Arial" w:hAnsi="Arial" w:cs="Arial"/>
        </w:rPr>
        <w:t>je</w:t>
      </w:r>
      <w:r w:rsidR="00392F15" w:rsidRPr="00D90382">
        <w:rPr>
          <w:rFonts w:ascii="Arial" w:hAnsi="Arial" w:cs="Arial"/>
        </w:rPr>
        <w:t xml:space="preserve"> najnižja ponudba za </w:t>
      </w:r>
      <w:r w:rsidR="00153916" w:rsidRPr="00D90382">
        <w:rPr>
          <w:rFonts w:ascii="Arial" w:hAnsi="Arial" w:cs="Arial"/>
        </w:rPr>
        <w:t>presegla na ustrezni postavki</w:t>
      </w:r>
      <w:r w:rsidR="00392F15" w:rsidRPr="00D90382">
        <w:rPr>
          <w:rFonts w:ascii="Arial" w:hAnsi="Arial" w:cs="Arial"/>
        </w:rPr>
        <w:t xml:space="preserve"> 416021 Projekt »</w:t>
      </w:r>
      <w:r w:rsidR="00153916" w:rsidRPr="00D90382">
        <w:rPr>
          <w:rFonts w:ascii="Arial" w:hAnsi="Arial" w:cs="Arial"/>
        </w:rPr>
        <w:t xml:space="preserve"> v proračunu Občine Borovnica za leto 2018 zagotovljena sredstva v  višini 413.503,49 €. Komisija za ocenjevanje vlog je Občini Borovnica predlagala, da se javno naročilo ne odda, ker so vse tri vloge nedopustne, kar je Občina Borovnica sprejela. </w:t>
      </w:r>
    </w:p>
    <w:p w:rsidR="00153916" w:rsidRPr="00D90382" w:rsidRDefault="00CE00BF" w:rsidP="00E64AEC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0382">
        <w:rPr>
          <w:rFonts w:ascii="Arial" w:hAnsi="Arial" w:cs="Arial"/>
        </w:rPr>
        <w:t xml:space="preserve">Za izvedbo operacije  je občinska uprava </w:t>
      </w:r>
      <w:r w:rsidR="00153916" w:rsidRPr="00D90382">
        <w:rPr>
          <w:rFonts w:ascii="Arial" w:hAnsi="Arial" w:cs="Arial"/>
        </w:rPr>
        <w:t xml:space="preserve">v proračunu za leto 2019 na postavki </w:t>
      </w:r>
      <w:r w:rsidRPr="00D90382">
        <w:rPr>
          <w:rFonts w:ascii="Arial" w:hAnsi="Arial" w:cs="Arial"/>
        </w:rPr>
        <w:t>416021 Projekt »Parkiraj in pelji« zagotovila 486.086,46 €, kar je občinski svet z izglasovanjem podpor Odloku o proračunu Občine Borovnica za leto 2019 potrdil.</w:t>
      </w:r>
    </w:p>
    <w:p w:rsidR="00CE00BF" w:rsidRPr="00D90382" w:rsidRDefault="00CE00BF" w:rsidP="00E64AEC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0382">
        <w:rPr>
          <w:rFonts w:ascii="Arial" w:hAnsi="Arial" w:cs="Arial"/>
        </w:rPr>
        <w:t>S ciljem pravočasne izvedbe projekta, ki ne bo ogrozila možnost črpanja 250.000 € nepovratnih sredstev, ki si jih je občina zagotovila na osnovi pogodbe o financiranju operacije »Parkirišče pri železniški postaji Borovnica« podpisano med Občino Borovnica in  Ministrstvom za infrastrukturo, je občinska uprava pristopila tudi k zmanjšanju nekaterih parametrov operacije na tehnični minimu</w:t>
      </w:r>
      <w:r w:rsidR="00E64AEC" w:rsidRPr="00D90382">
        <w:rPr>
          <w:rFonts w:ascii="Arial" w:hAnsi="Arial" w:cs="Arial"/>
        </w:rPr>
        <w:t>m, ki še zagotavlja skladnost z določili omenjene pogodbe.</w:t>
      </w:r>
    </w:p>
    <w:p w:rsidR="000E3914" w:rsidRPr="00D90382" w:rsidRDefault="00153916" w:rsidP="00E64AEC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0382">
        <w:rPr>
          <w:rFonts w:ascii="Arial" w:hAnsi="Arial" w:cs="Arial"/>
        </w:rPr>
        <w:t xml:space="preserve">Skladno z zgoraj navedeno pogodbo </w:t>
      </w:r>
      <w:r w:rsidR="00CC51E7" w:rsidRPr="00D90382">
        <w:rPr>
          <w:rFonts w:ascii="Arial" w:hAnsi="Arial" w:cs="Arial"/>
        </w:rPr>
        <w:t xml:space="preserve">mora Občina Borovnica glede napajanja električnih vozil zagotoviti zgolj možnost napajanja za 10 vozil, ne glede na način napajanja ter možnost, da se ostalih 89 parkirnih mest naknadno opremi s sistemi za </w:t>
      </w:r>
      <w:r w:rsidR="000E3914" w:rsidRPr="00D90382">
        <w:rPr>
          <w:rFonts w:ascii="Arial" w:hAnsi="Arial" w:cs="Arial"/>
        </w:rPr>
        <w:t xml:space="preserve">polnjenje električnih vozil.  Pristojni uradnik na MzI g. Tadej Žaucer je eksplicitno pojasnil, da pogodba v tehničnem smislu zagotavljanja napajanja električnih vozil na P+R od občine zahteva le to, da se na 10 parkirnih mestih zagotovi 10 pred vremenskimi vplivi zaščitenih </w:t>
      </w:r>
      <w:r w:rsidR="0002726C" w:rsidRPr="00D90382">
        <w:rPr>
          <w:rFonts w:ascii="Arial" w:hAnsi="Arial" w:cs="Arial"/>
        </w:rPr>
        <w:t>»</w:t>
      </w:r>
      <w:r w:rsidR="000E3914" w:rsidRPr="00D90382">
        <w:rPr>
          <w:rFonts w:ascii="Arial" w:hAnsi="Arial" w:cs="Arial"/>
        </w:rPr>
        <w:t>šuko</w:t>
      </w:r>
      <w:r w:rsidR="0002726C" w:rsidRPr="00D90382">
        <w:rPr>
          <w:rFonts w:ascii="Arial" w:hAnsi="Arial" w:cs="Arial"/>
        </w:rPr>
        <w:t>«</w:t>
      </w:r>
      <w:r w:rsidR="000E3914" w:rsidRPr="00D90382">
        <w:rPr>
          <w:rFonts w:ascii="Arial" w:hAnsi="Arial" w:cs="Arial"/>
        </w:rPr>
        <w:t xml:space="preserve"> vtičnic  z</w:t>
      </w:r>
      <w:r w:rsidR="00E64AEC" w:rsidRPr="00D90382">
        <w:rPr>
          <w:rFonts w:ascii="Arial" w:hAnsi="Arial" w:cs="Arial"/>
        </w:rPr>
        <w:t>a</w:t>
      </w:r>
      <w:r w:rsidR="0002726C" w:rsidRPr="00D90382">
        <w:rPr>
          <w:rFonts w:ascii="Arial" w:hAnsi="Arial" w:cs="Arial"/>
        </w:rPr>
        <w:t xml:space="preserve"> priklop na omrežje 23</w:t>
      </w:r>
      <w:r w:rsidR="000E3914" w:rsidRPr="00D90382">
        <w:rPr>
          <w:rFonts w:ascii="Arial" w:hAnsi="Arial" w:cs="Arial"/>
        </w:rPr>
        <w:t xml:space="preserve">0 V </w:t>
      </w:r>
      <w:r w:rsidR="0002726C" w:rsidRPr="00D90382">
        <w:rPr>
          <w:rFonts w:ascii="Arial" w:hAnsi="Arial" w:cs="Arial"/>
        </w:rPr>
        <w:t xml:space="preserve"> 50 Hz </w:t>
      </w:r>
      <w:r w:rsidR="000E3914" w:rsidRPr="00D90382">
        <w:rPr>
          <w:rFonts w:ascii="Arial" w:hAnsi="Arial" w:cs="Arial"/>
        </w:rPr>
        <w:t xml:space="preserve">oz. </w:t>
      </w:r>
      <w:r w:rsidR="000E3914" w:rsidRPr="00D90382">
        <w:rPr>
          <w:rFonts w:ascii="Arial" w:hAnsi="Arial" w:cs="Arial"/>
        </w:rPr>
        <w:lastRenderedPageBreak/>
        <w:t xml:space="preserve">standardni zunanji priključek za npr. priključitev avtodomov na električno omrežje ter da se napelje kabelska kanalizacije, ki bo na ostalih  parkirnih mestih zagotovila možnost priključitve polnilih postaj za električna vozila. </w:t>
      </w:r>
    </w:p>
    <w:p w:rsidR="000A0B9D" w:rsidRPr="00D90382" w:rsidRDefault="000E3914" w:rsidP="00E64AEC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0382">
        <w:rPr>
          <w:rFonts w:ascii="Arial" w:hAnsi="Arial" w:cs="Arial"/>
        </w:rPr>
        <w:t xml:space="preserve">Skladno s Celostno prometno strategijo Občine Borovnica, ki kot enega od ciljev na področju motornega prometa opredeljuje tudi povečanje deleža vozil z električnimi pogoni, si je na P+R pri železniški postaji Borovnica občina zadala za cilj, da </w:t>
      </w:r>
      <w:r w:rsidR="00CD2F82" w:rsidRPr="00D90382">
        <w:rPr>
          <w:rFonts w:ascii="Arial" w:hAnsi="Arial" w:cs="Arial"/>
        </w:rPr>
        <w:t xml:space="preserve">v okviru tehničnih in finančnih možnosti omogoči  možnost čim bolj kakovostnega napajanja električnih vozil. </w:t>
      </w:r>
    </w:p>
    <w:p w:rsidR="000A0B9D" w:rsidRPr="00D90382" w:rsidRDefault="00CD2F82" w:rsidP="00E64AEC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0382">
        <w:rPr>
          <w:rFonts w:ascii="Arial" w:hAnsi="Arial" w:cs="Arial"/>
        </w:rPr>
        <w:t>Ker je v ta namen mogoče v območjih zaščitene narave in območjih Natura 2000 pridobiti nepovratne subvencije Ekosklada, je občina ločeno od operacije »Parkirišče pri železniški postaji Borovnica« v mesecu aprilu vložila vlogo za sofinanciranje postavitve 5 polnilnih postaj za električna vozila (PPEV), od katerih vsaka omogoča sočasno polnjenje dveh vozil. Predhodno so bile po specifikacijah, navedenih v javnem pozivu Ekosklada (</w:t>
      </w:r>
      <w:hyperlink r:id="rId8" w:history="1">
        <w:r w:rsidRPr="00D90382">
          <w:rPr>
            <w:rStyle w:val="Hiperpovezava"/>
            <w:rFonts w:ascii="Arial" w:hAnsi="Arial" w:cs="Arial"/>
          </w:rPr>
          <w:t>https://www.ekosklad.si/razpisi/prikazi/tenderID=133</w:t>
        </w:r>
      </w:hyperlink>
      <w:r w:rsidRPr="00D90382">
        <w:rPr>
          <w:rFonts w:ascii="Arial" w:hAnsi="Arial" w:cs="Arial"/>
        </w:rPr>
        <w:t xml:space="preserve">), pridobljene tri ponudbe, med katerim je bila najbolj ugodna ponudba Elektro Ljubljana –OVE d. o. o. </w:t>
      </w:r>
    </w:p>
    <w:p w:rsidR="00057C31" w:rsidRPr="00D90382" w:rsidRDefault="00CD2F82" w:rsidP="00E64AEC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0382">
        <w:rPr>
          <w:rFonts w:ascii="Arial" w:hAnsi="Arial" w:cs="Arial"/>
        </w:rPr>
        <w:t xml:space="preserve"> Na tej osnovi je bila konec aprila 2019 </w:t>
      </w:r>
      <w:r w:rsidR="00DA63BA" w:rsidRPr="00D90382">
        <w:rPr>
          <w:rFonts w:ascii="Arial" w:hAnsi="Arial" w:cs="Arial"/>
        </w:rPr>
        <w:t>z Ekosk</w:t>
      </w:r>
      <w:r w:rsidRPr="00D90382">
        <w:rPr>
          <w:rFonts w:ascii="Arial" w:hAnsi="Arial" w:cs="Arial"/>
        </w:rPr>
        <w:t>l</w:t>
      </w:r>
      <w:r w:rsidR="00DA63BA" w:rsidRPr="00D90382">
        <w:rPr>
          <w:rFonts w:ascii="Arial" w:hAnsi="Arial" w:cs="Arial"/>
        </w:rPr>
        <w:t>a</w:t>
      </w:r>
      <w:r w:rsidRPr="00D90382">
        <w:rPr>
          <w:rFonts w:ascii="Arial" w:hAnsi="Arial" w:cs="Arial"/>
        </w:rPr>
        <w:t xml:space="preserve">dom </w:t>
      </w:r>
      <w:r w:rsidR="00DA63BA" w:rsidRPr="00D90382">
        <w:rPr>
          <w:rFonts w:ascii="Arial" w:hAnsi="Arial" w:cs="Arial"/>
        </w:rPr>
        <w:t>sklenjena pogodba, po kateri se Občini Borovnica v 60 dneh po izvedeni postavitvi 5AC polnih postaji nakaže nepovratna sredstva v višini do 15.000 €, vendar ne več kot 100% vrednosti cene za posamezno PPEV, ki ne vključuje DDV. Ker je najbolj ugodna ponudba, na osnovi katere je bila sklenjena pogodba z Elektro Ljubljana OVE d. o. o.</w:t>
      </w:r>
      <w:r w:rsidR="000A0B9D" w:rsidRPr="00D90382">
        <w:rPr>
          <w:rFonts w:ascii="Arial" w:hAnsi="Arial" w:cs="Arial"/>
        </w:rPr>
        <w:t>, znašala 16.155,00 € to pomeni, da bo skupaj z DDV dodatni strošek postavitve 5 PPEV za občino znašal 4.709,00 €,oz.  941,80 € na PPEV. K temu je potrebno prišteti še strošek postavitve zaščitnih kovinskih količkov v skupnem znesku 1.769,00, tako da je skupni strošek občine 6.478,00 € oz. 1295,60 €</w:t>
      </w:r>
      <w:r w:rsidR="0002726C" w:rsidRPr="00D90382">
        <w:rPr>
          <w:rFonts w:ascii="Arial" w:hAnsi="Arial" w:cs="Arial"/>
        </w:rPr>
        <w:t xml:space="preserve"> na PPEV</w:t>
      </w:r>
      <w:r w:rsidR="000A0B9D" w:rsidRPr="00D90382">
        <w:rPr>
          <w:rFonts w:ascii="Arial" w:hAnsi="Arial" w:cs="Arial"/>
        </w:rPr>
        <w:t xml:space="preserve">. </w:t>
      </w:r>
      <w:r w:rsidR="00E64AEC" w:rsidRPr="00D90382">
        <w:rPr>
          <w:rFonts w:ascii="Arial" w:hAnsi="Arial" w:cs="Arial"/>
        </w:rPr>
        <w:t>V kolikor se to smatra kot povišanje stroškov izgradnje P+R pri ŽP Borovnica gre torej za povišanje za 6.478,00 € in ne za 20.000 €. Ker bodo lahko PPEV na P+R Borovnica med 6. uro zvečer in 6. uro zjutraj uporabljali vsi uporabniki</w:t>
      </w:r>
      <w:r w:rsidR="0002726C" w:rsidRPr="00D90382">
        <w:rPr>
          <w:rFonts w:ascii="Arial" w:hAnsi="Arial" w:cs="Arial"/>
        </w:rPr>
        <w:t xml:space="preserve"> električnih vozil, ne glede na to ali bodo kupili vozovnico za javni železniški potniški promet, se strošek izgradnje P+R tako dejansko poveča le za 3.239 €. </w:t>
      </w:r>
    </w:p>
    <w:p w:rsidR="00CC51E7" w:rsidRPr="00D90382" w:rsidRDefault="00057C31" w:rsidP="00E64AEC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0382">
        <w:rPr>
          <w:rFonts w:ascii="Arial" w:hAnsi="Arial" w:cs="Arial"/>
        </w:rPr>
        <w:t xml:space="preserve">Na ta način smo namesto »administrativnih« dobili »funkcionalne« PPEV ob maksimalno dosegljivih nepovratnih podporah.  </w:t>
      </w:r>
      <w:r w:rsidR="000A0B9D" w:rsidRPr="00D90382">
        <w:rPr>
          <w:rFonts w:ascii="Arial" w:hAnsi="Arial" w:cs="Arial"/>
        </w:rPr>
        <w:t xml:space="preserve">Menimo, da je strošek upravičen,  ker </w:t>
      </w:r>
      <w:r w:rsidRPr="00D90382">
        <w:rPr>
          <w:rFonts w:ascii="Arial" w:hAnsi="Arial" w:cs="Arial"/>
        </w:rPr>
        <w:t xml:space="preserve"> bomo s tem že ob samem začetku obratovanja P+R</w:t>
      </w:r>
      <w:r w:rsidR="000A0B9D" w:rsidRPr="00D90382">
        <w:rPr>
          <w:rFonts w:ascii="Arial" w:hAnsi="Arial" w:cs="Arial"/>
        </w:rPr>
        <w:t xml:space="preserve"> zagotovili možnost polnjenja preko trenutno standardnih in kakovostnih PPEV</w:t>
      </w:r>
      <w:r w:rsidRPr="00D90382">
        <w:rPr>
          <w:rFonts w:ascii="Arial" w:hAnsi="Arial" w:cs="Arial"/>
        </w:rPr>
        <w:t>. V začetku bosta obseg in hitrost polnjenja odvisna od trenutno edino razpoložljive kabelske povezave na napetostno omrežje, ki ob polni obremenitvi omogoča zgolj polnjenje dveh vozil z maksimalno močjo oz. bo hitrost polnjenja pogojena z obremenitvijo.</w:t>
      </w:r>
      <w:r w:rsidR="00E64AEC" w:rsidRPr="00D90382">
        <w:rPr>
          <w:rFonts w:ascii="Arial" w:hAnsi="Arial" w:cs="Arial"/>
        </w:rPr>
        <w:t xml:space="preserve"> Računamo, da bo najkasneje v dveh letih mogoče zagotoviti napajanje, ki bo omogočalo polnjenje vozil v najkrajšem možnem času tudi ob polnih obremenitvah vseh PPEV.</w:t>
      </w:r>
    </w:p>
    <w:p w:rsidR="00057C31" w:rsidRPr="00D90382" w:rsidRDefault="00057C31" w:rsidP="00E64AEC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0382">
        <w:rPr>
          <w:rFonts w:ascii="Arial" w:hAnsi="Arial" w:cs="Arial"/>
        </w:rPr>
        <w:t xml:space="preserve">Pričakujemo, da se bodo ob takih in podobnih primerih povečanja stroškov občinski svetniki predhodno pozanimali o vzrokih povečanja, saj bo potem na sami seji to mogoče obravnavati bolj vsebinsko in brez obtožujočih podtonov </w:t>
      </w:r>
      <w:r w:rsidR="00E802AD" w:rsidRPr="00D90382">
        <w:rPr>
          <w:rFonts w:ascii="Arial" w:hAnsi="Arial" w:cs="Arial"/>
        </w:rPr>
        <w:t>ter nepotrebne porabe časa.</w:t>
      </w:r>
    </w:p>
    <w:p w:rsidR="00D90382" w:rsidRPr="00D90382" w:rsidRDefault="00D90382" w:rsidP="00D90382">
      <w:pPr>
        <w:spacing w:line="276" w:lineRule="auto"/>
        <w:jc w:val="both"/>
        <w:rPr>
          <w:rFonts w:ascii="Arial" w:hAnsi="Arial" w:cs="Arial"/>
        </w:rPr>
      </w:pPr>
      <w:r w:rsidRPr="00D90382">
        <w:rPr>
          <w:rFonts w:ascii="Arial" w:hAnsi="Arial" w:cs="Arial"/>
        </w:rPr>
        <w:t>Pripravil:</w:t>
      </w:r>
      <w:r>
        <w:rPr>
          <w:rFonts w:ascii="Arial" w:hAnsi="Arial" w:cs="Arial"/>
        </w:rPr>
        <w:br/>
      </w:r>
      <w:r w:rsidRPr="00D90382">
        <w:rPr>
          <w:rFonts w:ascii="Arial" w:hAnsi="Arial" w:cs="Arial"/>
        </w:rPr>
        <w:t>Andrej Klemenc</w:t>
      </w:r>
    </w:p>
    <w:sectPr w:rsidR="00D90382" w:rsidRPr="00D903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09" w:rsidRDefault="00C81A09" w:rsidP="00D90382">
      <w:pPr>
        <w:spacing w:after="0" w:line="240" w:lineRule="auto"/>
      </w:pPr>
      <w:r>
        <w:separator/>
      </w:r>
    </w:p>
  </w:endnote>
  <w:endnote w:type="continuationSeparator" w:id="0">
    <w:p w:rsidR="00C81A09" w:rsidRDefault="00C81A09" w:rsidP="00D9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82" w:rsidRPr="00D90382" w:rsidRDefault="00D90382" w:rsidP="00D90382">
    <w:pPr>
      <w:pStyle w:val="Noga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4</w:t>
    </w:r>
    <w:r w:rsidRPr="00D90382">
      <w:rPr>
        <w:rFonts w:ascii="Arial" w:hAnsi="Arial" w:cs="Arial"/>
      </w:rPr>
      <w:t xml:space="preserve"> - </w:t>
    </w:r>
    <w:r w:rsidRPr="00D90382">
      <w:rPr>
        <w:rStyle w:val="tevilkastrani"/>
        <w:rFonts w:ascii="Arial" w:hAnsi="Arial" w:cs="Arial"/>
      </w:rPr>
      <w:fldChar w:fldCharType="begin"/>
    </w:r>
    <w:r w:rsidRPr="00D90382">
      <w:rPr>
        <w:rStyle w:val="tevilkastrani"/>
        <w:rFonts w:ascii="Arial" w:hAnsi="Arial" w:cs="Arial"/>
      </w:rPr>
      <w:instrText xml:space="preserve"> PAGE </w:instrText>
    </w:r>
    <w:r w:rsidRPr="00D90382">
      <w:rPr>
        <w:rStyle w:val="tevilkastrani"/>
        <w:rFonts w:ascii="Arial" w:hAnsi="Arial" w:cs="Arial"/>
      </w:rPr>
      <w:fldChar w:fldCharType="separate"/>
    </w:r>
    <w:r w:rsidR="00FC134F">
      <w:rPr>
        <w:rStyle w:val="tevilkastrani"/>
        <w:rFonts w:ascii="Arial" w:hAnsi="Arial" w:cs="Arial"/>
        <w:noProof/>
      </w:rPr>
      <w:t>1</w:t>
    </w:r>
    <w:r w:rsidRPr="00D90382">
      <w:rPr>
        <w:rStyle w:val="tevilkastrani"/>
        <w:rFonts w:ascii="Arial" w:hAnsi="Arial" w:cs="Arial"/>
      </w:rPr>
      <w:fldChar w:fldCharType="end"/>
    </w:r>
  </w:p>
  <w:p w:rsidR="00D90382" w:rsidRDefault="00D9038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09" w:rsidRDefault="00C81A09" w:rsidP="00D90382">
      <w:pPr>
        <w:spacing w:after="0" w:line="240" w:lineRule="auto"/>
      </w:pPr>
      <w:r>
        <w:separator/>
      </w:r>
    </w:p>
  </w:footnote>
  <w:footnote w:type="continuationSeparator" w:id="0">
    <w:p w:rsidR="00C81A09" w:rsidRDefault="00C81A09" w:rsidP="00D9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82" w:rsidRPr="00D90382" w:rsidRDefault="00D90382" w:rsidP="00D90382">
    <w:pPr>
      <w:pStyle w:val="Glava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tab/>
    </w:r>
    <w:r>
      <w:tab/>
    </w:r>
    <w:r w:rsidRPr="00D90382">
      <w:rPr>
        <w:rFonts w:ascii="Arial" w:hAnsi="Arial" w:cs="Arial"/>
      </w:rPr>
      <w:t>7</w:t>
    </w:r>
    <w:r w:rsidRPr="00D90382">
      <w:rPr>
        <w:rFonts w:ascii="Arial" w:hAnsi="Arial" w:cs="Arial"/>
        <w:sz w:val="20"/>
        <w:szCs w:val="20"/>
      </w:rPr>
      <w:t>. seja občinskega sveta</w:t>
    </w:r>
  </w:p>
  <w:p w:rsidR="00D90382" w:rsidRDefault="00D90382" w:rsidP="00D90382">
    <w:pPr>
      <w:pStyle w:val="Glava"/>
    </w:pPr>
  </w:p>
  <w:p w:rsidR="00D90382" w:rsidRDefault="00D903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A020C"/>
    <w:multiLevelType w:val="hybridMultilevel"/>
    <w:tmpl w:val="A81A7D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952B3"/>
    <w:multiLevelType w:val="hybridMultilevel"/>
    <w:tmpl w:val="CED66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E7"/>
    <w:rsid w:val="0002726C"/>
    <w:rsid w:val="000550F0"/>
    <w:rsid w:val="00057C31"/>
    <w:rsid w:val="000A0B9D"/>
    <w:rsid w:val="000E3914"/>
    <w:rsid w:val="00137513"/>
    <w:rsid w:val="00153916"/>
    <w:rsid w:val="001562D4"/>
    <w:rsid w:val="0016620C"/>
    <w:rsid w:val="00241FCD"/>
    <w:rsid w:val="00392F15"/>
    <w:rsid w:val="004A3DCD"/>
    <w:rsid w:val="00A31B90"/>
    <w:rsid w:val="00C81A09"/>
    <w:rsid w:val="00CC51E7"/>
    <w:rsid w:val="00CD2F82"/>
    <w:rsid w:val="00CE00BF"/>
    <w:rsid w:val="00CF6169"/>
    <w:rsid w:val="00D90382"/>
    <w:rsid w:val="00DA63BA"/>
    <w:rsid w:val="00E64AEC"/>
    <w:rsid w:val="00E802AD"/>
    <w:rsid w:val="00F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B317B-E5B6-4D77-9C4B-788459E0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51E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D2F8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26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9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0382"/>
  </w:style>
  <w:style w:type="paragraph" w:styleId="Noga">
    <w:name w:val="footer"/>
    <w:basedOn w:val="Navaden"/>
    <w:link w:val="NogaZnak"/>
    <w:uiPriority w:val="99"/>
    <w:unhideWhenUsed/>
    <w:rsid w:val="00D9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0382"/>
  </w:style>
  <w:style w:type="character" w:styleId="tevilkastrani">
    <w:name w:val="page number"/>
    <w:uiPriority w:val="99"/>
    <w:rsid w:val="00D903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sklad.si/razpisi/prikazi/tenderID=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Klemenc</dc:creator>
  <cp:keywords/>
  <dc:description/>
  <cp:lastModifiedBy>LL</cp:lastModifiedBy>
  <cp:revision>2</cp:revision>
  <cp:lastPrinted>2019-10-28T10:40:00Z</cp:lastPrinted>
  <dcterms:created xsi:type="dcterms:W3CDTF">2019-11-08T11:17:00Z</dcterms:created>
  <dcterms:modified xsi:type="dcterms:W3CDTF">2019-11-08T11:17:00Z</dcterms:modified>
</cp:coreProperties>
</file>