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D626" w14:textId="595A0EEB" w:rsidR="003D379B" w:rsidRPr="00A60493" w:rsidRDefault="00861B4D" w:rsidP="008B3BA1">
      <w:pPr>
        <w:rPr>
          <w:rFonts w:ascii="Times New Roman" w:hAnsi="Times New Roman"/>
          <w:sz w:val="20"/>
          <w:szCs w:val="20"/>
          <w:highlight w:val="cyan"/>
        </w:rPr>
      </w:pPr>
      <w:r w:rsidRPr="003863DA">
        <w:rPr>
          <w:rFonts w:ascii="Times New Roman" w:hAnsi="Times New Roman"/>
          <w:szCs w:val="22"/>
        </w:rPr>
        <w:t xml:space="preserve">Na podlagi 29. člena Zakona o lokalni samoupravi </w:t>
      </w:r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(Uradni list RS, št. </w:t>
      </w:r>
      <w:hyperlink r:id="rId8" w:tgtFrame="_blank" w:tooltip="Zakon o lokalni samoupravi (uradno prečiščeno besedilo)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94/07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uradno prečiščeno besedilo, </w:t>
      </w:r>
      <w:hyperlink r:id="rId9" w:tgtFrame="_blank" w:tooltip="Zakon o dopolnitvi Zakona o lokalni samoupravi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76/08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, </w:t>
      </w:r>
      <w:hyperlink r:id="rId10" w:tgtFrame="_blank" w:tooltip="Zakon o spremembah in dopolnitvah Zakona o lokalni samoupravi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79/09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, </w:t>
      </w:r>
      <w:hyperlink r:id="rId11" w:tgtFrame="_blank" w:tooltip="Zakon o spremembah in dopolnitvah Zakona o lokalni samoupravi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51/10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, </w:t>
      </w:r>
      <w:hyperlink r:id="rId12" w:tgtFrame="_blank" w:tooltip="Zakon za uravnoteženje javnih financ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40/12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ZUJF, </w:t>
      </w:r>
      <w:hyperlink r:id="rId13" w:tgtFrame="_blank" w:tooltip="Zakon o ukrepih za uravnoteženje javnih financ občin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14/15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ZUUJFO, </w:t>
      </w:r>
      <w:hyperlink r:id="rId14" w:tgtFrame="_blank" w:tooltip="Zakon o stvarnem premoženju države in samoupravnih lokalnih skupnosti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11/18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ZSPDSLS-1, </w:t>
      </w:r>
      <w:hyperlink r:id="rId15" w:tgtFrame="_blank" w:tooltip="Zakon o spremembah in dopolnitvah Zakona o lokalni samoupravi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30/18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, </w:t>
      </w:r>
      <w:hyperlink r:id="rId16" w:tgtFrame="_blank" w:tooltip="Zakon o spremembah in dopolnitvah Zakona o interventnih ukrepih za zajezitev epidemije COVID-19 in omilitev njenih posledic za državljane in gospodarstvo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61/20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ZIUZEOP-A in </w:t>
      </w:r>
      <w:hyperlink r:id="rId17" w:tgtFrame="_blank" w:tooltip="Zakon o interventnih ukrepih za omilitev in odpravo posledic epidemije COVID-19" w:history="1">
        <w:r w:rsidR="00A60493" w:rsidRPr="003863DA">
          <w:rPr>
            <w:rFonts w:ascii="Times New Roman" w:hAnsi="Times New Roman"/>
            <w:bCs/>
            <w:szCs w:val="22"/>
            <w:u w:val="single"/>
            <w:shd w:val="clear" w:color="auto" w:fill="FFFFFF"/>
          </w:rPr>
          <w:t>80/20</w:t>
        </w:r>
      </w:hyperlink>
      <w:r w:rsidR="00A60493" w:rsidRPr="003863DA">
        <w:rPr>
          <w:rFonts w:ascii="Times New Roman" w:hAnsi="Times New Roman"/>
          <w:bCs/>
          <w:szCs w:val="22"/>
          <w:shd w:val="clear" w:color="auto" w:fill="FFFFFF"/>
        </w:rPr>
        <w:t> – ZIUOOPE)</w:t>
      </w:r>
      <w:r w:rsidRPr="003863DA">
        <w:rPr>
          <w:rFonts w:ascii="Times New Roman" w:hAnsi="Times New Roman"/>
          <w:szCs w:val="22"/>
        </w:rPr>
        <w:t>), 29. člena Zakona o javnih financah (Uradni list RS, št. </w:t>
      </w:r>
      <w:hyperlink r:id="rId18" w:tgtFrame="_blank" w:tooltip="Zakon o javnih financah (uradno prečiščeno besedilo)" w:history="1">
        <w:r w:rsidRPr="003863DA">
          <w:rPr>
            <w:rFonts w:ascii="Times New Roman" w:hAnsi="Times New Roman"/>
            <w:szCs w:val="22"/>
          </w:rPr>
          <w:t>11/11</w:t>
        </w:r>
      </w:hyperlink>
      <w:r w:rsidRPr="003863DA">
        <w:rPr>
          <w:rFonts w:ascii="Times New Roman" w:hAnsi="Times New Roman"/>
          <w:szCs w:val="22"/>
        </w:rPr>
        <w:t> – uradno prečiščeno besedilo</w:t>
      </w:r>
      <w:r w:rsidRPr="00A60493">
        <w:rPr>
          <w:rFonts w:ascii="Times New Roman" w:hAnsi="Times New Roman"/>
          <w:sz w:val="20"/>
        </w:rPr>
        <w:t>, </w:t>
      </w:r>
      <w:hyperlink r:id="rId19" w:tgtFrame="_blank" w:tooltip="Popravek Uradnega prečiščenega besedila Zakona  o javnih financah (ZJF-UPB4p)" w:history="1">
        <w:r w:rsidRPr="00A60493">
          <w:rPr>
            <w:rFonts w:ascii="Times New Roman" w:hAnsi="Times New Roman"/>
            <w:sz w:val="20"/>
          </w:rPr>
          <w:t xml:space="preserve">14/13 – </w:t>
        </w:r>
        <w:proofErr w:type="spellStart"/>
        <w:r w:rsidRPr="00A60493">
          <w:rPr>
            <w:rFonts w:ascii="Times New Roman" w:hAnsi="Times New Roman"/>
            <w:sz w:val="20"/>
          </w:rPr>
          <w:t>popr</w:t>
        </w:r>
        <w:proofErr w:type="spellEnd"/>
        <w:r w:rsidRPr="00A60493">
          <w:rPr>
            <w:rFonts w:ascii="Times New Roman" w:hAnsi="Times New Roman"/>
            <w:sz w:val="20"/>
          </w:rPr>
          <w:t>.</w:t>
        </w:r>
      </w:hyperlink>
      <w:r w:rsidRPr="00A60493">
        <w:rPr>
          <w:rFonts w:ascii="Times New Roman" w:hAnsi="Times New Roman"/>
          <w:sz w:val="20"/>
        </w:rPr>
        <w:t>, </w:t>
      </w:r>
      <w:hyperlink r:id="rId20" w:tgtFrame="_blank" w:tooltip="Zakon o dopolnitvi Zakona o javnih financah" w:history="1">
        <w:r w:rsidRPr="00A60493">
          <w:rPr>
            <w:rFonts w:ascii="Times New Roman" w:hAnsi="Times New Roman"/>
            <w:sz w:val="20"/>
          </w:rPr>
          <w:t>101/13</w:t>
        </w:r>
      </w:hyperlink>
      <w:r w:rsidRPr="00A60493">
        <w:rPr>
          <w:rFonts w:ascii="Times New Roman" w:hAnsi="Times New Roman"/>
          <w:sz w:val="20"/>
        </w:rPr>
        <w:t>, </w:t>
      </w:r>
      <w:hyperlink r:id="rId21" w:tgtFrame="_blank" w:tooltip="Zakon o fiskalnem pravilu" w:history="1">
        <w:r w:rsidRPr="00A60493">
          <w:rPr>
            <w:rFonts w:ascii="Times New Roman" w:hAnsi="Times New Roman"/>
            <w:sz w:val="20"/>
          </w:rPr>
          <w:t>55/15</w:t>
        </w:r>
      </w:hyperlink>
      <w:r w:rsidRPr="00A60493">
        <w:rPr>
          <w:rFonts w:ascii="Times New Roman" w:hAnsi="Times New Roman"/>
          <w:sz w:val="20"/>
        </w:rPr>
        <w:t xml:space="preserve"> – </w:t>
      </w:r>
      <w:proofErr w:type="spellStart"/>
      <w:r w:rsidRPr="00A60493">
        <w:rPr>
          <w:rFonts w:ascii="Times New Roman" w:hAnsi="Times New Roman"/>
          <w:sz w:val="20"/>
        </w:rPr>
        <w:t>ZFisP</w:t>
      </w:r>
      <w:proofErr w:type="spellEnd"/>
      <w:r w:rsidRPr="00A60493">
        <w:rPr>
          <w:rFonts w:ascii="Times New Roman" w:hAnsi="Times New Roman"/>
          <w:sz w:val="20"/>
        </w:rPr>
        <w:t>, </w:t>
      </w:r>
      <w:hyperlink r:id="rId22" w:tgtFrame="_blank" w:tooltip="Zakon o izvrševanju proračunov Republike Slovenije za leti 2016 in 2017" w:history="1">
        <w:r w:rsidRPr="00A60493">
          <w:rPr>
            <w:rFonts w:ascii="Times New Roman" w:hAnsi="Times New Roman"/>
            <w:sz w:val="20"/>
          </w:rPr>
          <w:t>96/15</w:t>
        </w:r>
      </w:hyperlink>
      <w:r w:rsidRPr="00A60493">
        <w:rPr>
          <w:rFonts w:ascii="Times New Roman" w:hAnsi="Times New Roman"/>
          <w:sz w:val="20"/>
        </w:rPr>
        <w:t> – ZIPRS1617 in </w:t>
      </w:r>
      <w:hyperlink r:id="rId23" w:tgtFrame="_blank" w:tooltip="Zakon o spremembah in dopolnitvah Zakona o javnih financah" w:history="1">
        <w:r w:rsidRPr="00A60493">
          <w:rPr>
            <w:rFonts w:ascii="Times New Roman" w:hAnsi="Times New Roman"/>
            <w:sz w:val="20"/>
          </w:rPr>
          <w:t>13/18</w:t>
        </w:r>
      </w:hyperlink>
      <w:r w:rsidR="00A60493" w:rsidRPr="00A60493">
        <w:rPr>
          <w:rFonts w:ascii="Times New Roman" w:hAnsi="Times New Roman"/>
          <w:sz w:val="20"/>
        </w:rPr>
        <w:t xml:space="preserve"> IN 195/20 -  </w:t>
      </w:r>
      <w:proofErr w:type="spellStart"/>
      <w:r w:rsidR="00A60493" w:rsidRPr="00A60493">
        <w:rPr>
          <w:rFonts w:ascii="Times New Roman" w:hAnsi="Times New Roman"/>
          <w:sz w:val="20"/>
        </w:rPr>
        <w:t>odl</w:t>
      </w:r>
      <w:proofErr w:type="spellEnd"/>
      <w:r w:rsidR="00A60493" w:rsidRPr="00A60493">
        <w:rPr>
          <w:rFonts w:ascii="Times New Roman" w:hAnsi="Times New Roman"/>
          <w:sz w:val="20"/>
        </w:rPr>
        <w:t>. US</w:t>
      </w:r>
      <w:r w:rsidRPr="00A60493">
        <w:rPr>
          <w:rFonts w:ascii="Times New Roman" w:hAnsi="Times New Roman"/>
          <w:sz w:val="20"/>
        </w:rPr>
        <w:t xml:space="preserve">) </w:t>
      </w:r>
      <w:r w:rsidR="003D379B" w:rsidRPr="00A60493">
        <w:rPr>
          <w:rFonts w:ascii="Times New Roman" w:hAnsi="Times New Roman"/>
          <w:sz w:val="20"/>
          <w:szCs w:val="20"/>
        </w:rPr>
        <w:t>in</w:t>
      </w:r>
      <w:r w:rsidR="00D74027" w:rsidRPr="00A60493">
        <w:rPr>
          <w:rFonts w:ascii="Times New Roman" w:hAnsi="Times New Roman"/>
          <w:sz w:val="20"/>
          <w:szCs w:val="20"/>
        </w:rPr>
        <w:t xml:space="preserve"> 7</w:t>
      </w:r>
      <w:r w:rsidR="003D379B" w:rsidRPr="00A60493">
        <w:rPr>
          <w:rFonts w:ascii="Times New Roman" w:hAnsi="Times New Roman"/>
          <w:sz w:val="20"/>
          <w:szCs w:val="20"/>
        </w:rPr>
        <w:t>.</w:t>
      </w:r>
      <w:r w:rsidR="00D74027" w:rsidRPr="00A60493">
        <w:rPr>
          <w:rFonts w:ascii="Times New Roman" w:hAnsi="Times New Roman"/>
          <w:sz w:val="20"/>
          <w:szCs w:val="20"/>
        </w:rPr>
        <w:t xml:space="preserve"> </w:t>
      </w:r>
      <w:r w:rsidR="003D379B" w:rsidRPr="00A60493">
        <w:rPr>
          <w:rFonts w:ascii="Times New Roman" w:hAnsi="Times New Roman"/>
          <w:sz w:val="20"/>
          <w:szCs w:val="20"/>
        </w:rPr>
        <w:t xml:space="preserve">člena </w:t>
      </w:r>
      <w:r w:rsidR="00B75F78" w:rsidRPr="00A60493">
        <w:rPr>
          <w:rFonts w:ascii="Times New Roman" w:hAnsi="Times New Roman"/>
          <w:sz w:val="20"/>
          <w:szCs w:val="20"/>
        </w:rPr>
        <w:t>S</w:t>
      </w:r>
      <w:r w:rsidR="003D379B" w:rsidRPr="00A60493">
        <w:rPr>
          <w:rFonts w:ascii="Times New Roman" w:hAnsi="Times New Roman"/>
          <w:sz w:val="20"/>
          <w:szCs w:val="20"/>
        </w:rPr>
        <w:t>tatuta Občine</w:t>
      </w:r>
      <w:r w:rsidR="00D74027" w:rsidRPr="00A60493">
        <w:rPr>
          <w:rFonts w:ascii="Times New Roman" w:hAnsi="Times New Roman"/>
          <w:sz w:val="20"/>
          <w:szCs w:val="20"/>
        </w:rPr>
        <w:t xml:space="preserve"> Oplotnica (</w:t>
      </w:r>
      <w:r w:rsidR="009A239E" w:rsidRPr="00A60493">
        <w:rPr>
          <w:rFonts w:ascii="Times New Roman" w:hAnsi="Times New Roman"/>
          <w:sz w:val="20"/>
          <w:szCs w:val="20"/>
        </w:rPr>
        <w:t>UGSO 49/2015</w:t>
      </w:r>
      <w:r w:rsidR="00D74027" w:rsidRPr="00A60493">
        <w:rPr>
          <w:rFonts w:ascii="Times New Roman" w:hAnsi="Times New Roman"/>
          <w:sz w:val="20"/>
          <w:szCs w:val="20"/>
        </w:rPr>
        <w:t>)</w:t>
      </w:r>
      <w:r w:rsidR="007347B4" w:rsidRPr="00A60493">
        <w:rPr>
          <w:rFonts w:ascii="Times New Roman" w:hAnsi="Times New Roman"/>
          <w:sz w:val="20"/>
          <w:szCs w:val="20"/>
        </w:rPr>
        <w:t>,</w:t>
      </w:r>
      <w:r w:rsidR="003863DA">
        <w:rPr>
          <w:rFonts w:ascii="Times New Roman" w:hAnsi="Times New Roman"/>
          <w:sz w:val="20"/>
          <w:szCs w:val="20"/>
        </w:rPr>
        <w:t xml:space="preserve"> </w:t>
      </w:r>
      <w:r w:rsidR="003D379B" w:rsidRPr="00A60493">
        <w:rPr>
          <w:rFonts w:ascii="Times New Roman" w:hAnsi="Times New Roman"/>
          <w:sz w:val="20"/>
          <w:szCs w:val="20"/>
        </w:rPr>
        <w:t xml:space="preserve"> je Občinski</w:t>
      </w:r>
      <w:r w:rsidR="003D379B" w:rsidRPr="008B3BA1">
        <w:rPr>
          <w:rFonts w:ascii="Times New Roman" w:hAnsi="Times New Roman"/>
          <w:sz w:val="20"/>
          <w:szCs w:val="20"/>
        </w:rPr>
        <w:t xml:space="preserve"> svet  Občine</w:t>
      </w:r>
      <w:r w:rsidR="00D74027" w:rsidRPr="008B3BA1">
        <w:rPr>
          <w:rFonts w:ascii="Times New Roman" w:hAnsi="Times New Roman"/>
          <w:sz w:val="20"/>
          <w:szCs w:val="20"/>
        </w:rPr>
        <w:t xml:space="preserve"> Oplotnica </w:t>
      </w:r>
      <w:r w:rsidR="00946A5E" w:rsidRPr="008B3BA1">
        <w:rPr>
          <w:rFonts w:ascii="Times New Roman" w:hAnsi="Times New Roman"/>
          <w:sz w:val="20"/>
          <w:szCs w:val="20"/>
        </w:rPr>
        <w:t>na</w:t>
      </w:r>
      <w:r w:rsidR="00FB6055">
        <w:rPr>
          <w:rFonts w:ascii="Times New Roman" w:hAnsi="Times New Roman"/>
          <w:sz w:val="20"/>
          <w:szCs w:val="20"/>
        </w:rPr>
        <w:t xml:space="preserve"> </w:t>
      </w:r>
      <w:r w:rsidR="00446A58">
        <w:rPr>
          <w:rFonts w:ascii="Times New Roman" w:hAnsi="Times New Roman"/>
          <w:sz w:val="20"/>
          <w:szCs w:val="20"/>
        </w:rPr>
        <w:t xml:space="preserve"> </w:t>
      </w:r>
      <w:r w:rsidR="003863DA">
        <w:rPr>
          <w:rFonts w:ascii="Times New Roman" w:hAnsi="Times New Roman"/>
          <w:sz w:val="20"/>
          <w:szCs w:val="20"/>
        </w:rPr>
        <w:t xml:space="preserve"> </w:t>
      </w:r>
      <w:r w:rsidR="000A0A15">
        <w:rPr>
          <w:rFonts w:ascii="Times New Roman" w:hAnsi="Times New Roman"/>
          <w:sz w:val="20"/>
          <w:szCs w:val="20"/>
        </w:rPr>
        <w:t xml:space="preserve"> </w:t>
      </w:r>
      <w:r w:rsidR="009D2E19" w:rsidRPr="008B3BA1">
        <w:rPr>
          <w:rFonts w:ascii="Times New Roman" w:hAnsi="Times New Roman"/>
          <w:sz w:val="20"/>
          <w:szCs w:val="20"/>
        </w:rPr>
        <w:t>redni seji  dne</w:t>
      </w:r>
      <w:r w:rsidR="00A60493">
        <w:rPr>
          <w:rFonts w:ascii="Times New Roman" w:hAnsi="Times New Roman"/>
          <w:sz w:val="20"/>
          <w:szCs w:val="20"/>
        </w:rPr>
        <w:t xml:space="preserve">       </w:t>
      </w:r>
      <w:r w:rsidR="003863DA">
        <w:rPr>
          <w:rFonts w:ascii="Times New Roman" w:hAnsi="Times New Roman"/>
          <w:sz w:val="20"/>
          <w:szCs w:val="20"/>
        </w:rPr>
        <w:t xml:space="preserve">     </w:t>
      </w:r>
      <w:r w:rsidR="00A60493">
        <w:rPr>
          <w:rFonts w:ascii="Times New Roman" w:hAnsi="Times New Roman"/>
          <w:sz w:val="20"/>
          <w:szCs w:val="20"/>
        </w:rPr>
        <w:t xml:space="preserve">   </w:t>
      </w:r>
      <w:r w:rsidR="00C61C29">
        <w:rPr>
          <w:rFonts w:ascii="Times New Roman" w:hAnsi="Times New Roman"/>
          <w:sz w:val="20"/>
          <w:szCs w:val="20"/>
        </w:rPr>
        <w:t xml:space="preserve"> </w:t>
      </w:r>
      <w:r w:rsidR="003D379B" w:rsidRPr="00983A8D">
        <w:rPr>
          <w:rFonts w:ascii="Times New Roman" w:hAnsi="Times New Roman"/>
          <w:sz w:val="20"/>
        </w:rPr>
        <w:t>sprejel</w:t>
      </w:r>
    </w:p>
    <w:p w14:paraId="671F48E4" w14:textId="5406D17D" w:rsidR="00FF64BA" w:rsidRPr="000A0A15" w:rsidRDefault="00D74027" w:rsidP="00091793">
      <w:pPr>
        <w:pStyle w:val="Telobesedila"/>
        <w:tabs>
          <w:tab w:val="clear" w:pos="-1440"/>
          <w:tab w:val="left" w:pos="-1080"/>
          <w:tab w:val="left" w:pos="-720"/>
          <w:tab w:val="left" w:pos="1080"/>
          <w:tab w:val="left" w:pos="1418"/>
        </w:tabs>
        <w:rPr>
          <w:color w:val="FF0000"/>
          <w:sz w:val="20"/>
        </w:rPr>
      </w:pP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="00893429">
        <w:rPr>
          <w:sz w:val="20"/>
        </w:rPr>
        <w:tab/>
      </w:r>
      <w:r w:rsidR="00893429">
        <w:rPr>
          <w:sz w:val="20"/>
        </w:rPr>
        <w:tab/>
      </w:r>
      <w:r w:rsidR="00893429">
        <w:rPr>
          <w:sz w:val="20"/>
        </w:rPr>
        <w:tab/>
      </w:r>
      <w:r w:rsidR="00893429">
        <w:rPr>
          <w:sz w:val="20"/>
        </w:rPr>
        <w:tab/>
      </w:r>
    </w:p>
    <w:p w14:paraId="363C51E8" w14:textId="77777777" w:rsidR="003D379B" w:rsidRPr="00983A8D" w:rsidRDefault="00893429" w:rsidP="00091793">
      <w:pPr>
        <w:pStyle w:val="Telobesedila"/>
        <w:tabs>
          <w:tab w:val="clear" w:pos="-1440"/>
          <w:tab w:val="left" w:pos="-1080"/>
          <w:tab w:val="left" w:pos="-720"/>
          <w:tab w:val="left" w:pos="1080"/>
          <w:tab w:val="left" w:pos="1418"/>
        </w:tabs>
        <w:rPr>
          <w:i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74027" w:rsidRPr="00983A8D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8B3BA1">
        <w:rPr>
          <w:i/>
          <w:sz w:val="20"/>
        </w:rPr>
        <w:tab/>
      </w:r>
      <w:r w:rsidR="000A0A15">
        <w:rPr>
          <w:i/>
          <w:sz w:val="20"/>
        </w:rPr>
        <w:t>/PREDLOG/</w:t>
      </w:r>
    </w:p>
    <w:p w14:paraId="431F0D85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ODLOK O PRORAČUNU</w:t>
      </w:r>
      <w:r w:rsidR="00205CBF" w:rsidRPr="00983A8D">
        <w:rPr>
          <w:sz w:val="20"/>
        </w:rPr>
        <w:t xml:space="preserve"> </w:t>
      </w:r>
    </w:p>
    <w:p w14:paraId="195671C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OBČINE</w:t>
      </w:r>
      <w:r w:rsidR="00D74027" w:rsidRPr="00983A8D">
        <w:rPr>
          <w:sz w:val="20"/>
        </w:rPr>
        <w:t xml:space="preserve"> OPLOTNICA </w:t>
      </w:r>
      <w:r w:rsidRPr="00983A8D">
        <w:rPr>
          <w:sz w:val="20"/>
        </w:rPr>
        <w:t>ZA LETO 20</w:t>
      </w:r>
      <w:r w:rsidR="00446A58">
        <w:rPr>
          <w:sz w:val="20"/>
        </w:rPr>
        <w:t>2</w:t>
      </w:r>
      <w:r w:rsidR="000A0A15">
        <w:rPr>
          <w:sz w:val="20"/>
        </w:rPr>
        <w:t>1</w:t>
      </w:r>
    </w:p>
    <w:p w14:paraId="245867B8" w14:textId="77777777" w:rsidR="003D379B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0"/>
        </w:rPr>
      </w:pPr>
    </w:p>
    <w:p w14:paraId="6E8FB1B1" w14:textId="77777777" w:rsidR="00FF64BA" w:rsidRPr="00983A8D" w:rsidRDefault="00FF64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0"/>
        </w:rPr>
      </w:pPr>
    </w:p>
    <w:p w14:paraId="19A0C7D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0"/>
        </w:rPr>
      </w:pPr>
      <w:r w:rsidRPr="00983A8D">
        <w:rPr>
          <w:sz w:val="20"/>
        </w:rPr>
        <w:t>1. SPLOŠNA DOLOČBA</w:t>
      </w:r>
    </w:p>
    <w:p w14:paraId="481E61C9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980"/>
        <w:rPr>
          <w:sz w:val="20"/>
        </w:rPr>
      </w:pPr>
    </w:p>
    <w:p w14:paraId="509A3316" w14:textId="77777777" w:rsidR="003D379B" w:rsidRPr="00983A8D" w:rsidRDefault="003D379B">
      <w:pPr>
        <w:pStyle w:val="Telobesedila"/>
        <w:numPr>
          <w:ilvl w:val="0"/>
          <w:numId w:val="2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  <w:r w:rsidRPr="00983A8D">
        <w:rPr>
          <w:sz w:val="20"/>
        </w:rPr>
        <w:t>člen</w:t>
      </w:r>
    </w:p>
    <w:p w14:paraId="46A6AF6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jc w:val="center"/>
        <w:rPr>
          <w:sz w:val="20"/>
        </w:rPr>
      </w:pPr>
      <w:r w:rsidRPr="00983A8D">
        <w:rPr>
          <w:sz w:val="20"/>
        </w:rPr>
        <w:t>(vsebina odloka)</w:t>
      </w:r>
    </w:p>
    <w:p w14:paraId="03A2F4A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D909166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S tem odlokom se za Občino</w:t>
      </w:r>
      <w:r w:rsidR="00D74027" w:rsidRPr="00983A8D">
        <w:rPr>
          <w:sz w:val="20"/>
        </w:rPr>
        <w:t xml:space="preserve"> Oplotnica </w:t>
      </w:r>
      <w:r w:rsidRPr="00983A8D">
        <w:rPr>
          <w:sz w:val="20"/>
        </w:rPr>
        <w:t>za leto 20</w:t>
      </w:r>
      <w:r w:rsidR="00446A58">
        <w:rPr>
          <w:sz w:val="20"/>
        </w:rPr>
        <w:t>2</w:t>
      </w:r>
      <w:r w:rsidR="000A0A15">
        <w:rPr>
          <w:sz w:val="20"/>
        </w:rPr>
        <w:t>1</w:t>
      </w:r>
      <w:r w:rsidRPr="00983A8D">
        <w:rPr>
          <w:sz w:val="20"/>
        </w:rPr>
        <w:t xml:space="preserve"> določajo proračun, postopki izvrševanja proračuna ter obseg zadolževanja in poroštev občine in javnega sektorja na ravni občine (v nadaljnjem besedilu: proračun).</w:t>
      </w:r>
    </w:p>
    <w:p w14:paraId="4E26AAA7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C6DB62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2. VIŠINA SPLOŠNEGA DELA PRORAČUNA IN STRUKTURA POSEBNEGA DELA PRORAČUNA</w:t>
      </w:r>
    </w:p>
    <w:p w14:paraId="57F1450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</w:p>
    <w:p w14:paraId="5DF17E4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0"/>
        </w:rPr>
      </w:pPr>
      <w:r w:rsidRPr="00983A8D">
        <w:rPr>
          <w:sz w:val="20"/>
        </w:rPr>
        <w:t>2. člen</w:t>
      </w:r>
    </w:p>
    <w:p w14:paraId="14870D4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(sestava proračuna in višina splošnega dela proračuna)</w:t>
      </w:r>
    </w:p>
    <w:p w14:paraId="1C14B38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13758D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V splošnem delu proračuna so prikazani prejemki in izdatki po ekonomski klasifikaciji do ravni </w:t>
      </w:r>
      <w:r w:rsidR="00FE6CB9" w:rsidRPr="00983A8D">
        <w:rPr>
          <w:sz w:val="20"/>
        </w:rPr>
        <w:t>kontov.</w:t>
      </w:r>
    </w:p>
    <w:p w14:paraId="23582F69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91F99ED" w14:textId="77777777" w:rsidR="003D379B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Splošni del </w:t>
      </w:r>
      <w:r w:rsidR="00D42044">
        <w:rPr>
          <w:sz w:val="20"/>
        </w:rPr>
        <w:t xml:space="preserve">proračuna se na ravni </w:t>
      </w:r>
      <w:r w:rsidRPr="00983A8D">
        <w:rPr>
          <w:sz w:val="20"/>
        </w:rPr>
        <w:t>kontov določa v naslednjih zneskih:</w:t>
      </w:r>
    </w:p>
    <w:p w14:paraId="1C60D737" w14:textId="77777777" w:rsidR="00F4623F" w:rsidRDefault="00F462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A2D22B6" w14:textId="77777777" w:rsidR="00F4623F" w:rsidRDefault="00F462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178"/>
        <w:gridCol w:w="1987"/>
      </w:tblGrid>
      <w:tr w:rsidR="00397F22" w:rsidRPr="00F4623F" w14:paraId="40D869CF" w14:textId="77777777" w:rsidTr="00397F22">
        <w:tc>
          <w:tcPr>
            <w:tcW w:w="386" w:type="pct"/>
          </w:tcPr>
          <w:p w14:paraId="40996FC4" w14:textId="77777777" w:rsidR="00397F22" w:rsidRPr="00F4623F" w:rsidRDefault="00397F22" w:rsidP="00BE6AC5">
            <w:pPr>
              <w:jc w:val="center"/>
              <w:rPr>
                <w:rFonts w:cs="Arial"/>
                <w:sz w:val="18"/>
                <w:szCs w:val="18"/>
                <w:lang w:eastAsia="sl-SI"/>
              </w:rPr>
            </w:pPr>
            <w:bookmarkStart w:id="0" w:name="_Hlk510073491"/>
            <w:r w:rsidRPr="00F4623F">
              <w:rPr>
                <w:rFonts w:cs="Arial"/>
                <w:sz w:val="18"/>
                <w:szCs w:val="18"/>
                <w:lang w:eastAsia="sl-SI"/>
              </w:rPr>
              <w:t>Konto</w:t>
            </w:r>
          </w:p>
        </w:tc>
        <w:tc>
          <w:tcPr>
            <w:tcW w:w="3491" w:type="pct"/>
          </w:tcPr>
          <w:p w14:paraId="59618F43" w14:textId="77777777" w:rsidR="00397F22" w:rsidRPr="00F4623F" w:rsidRDefault="00397F22" w:rsidP="00BE6AC5">
            <w:pPr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123" w:type="pct"/>
            <w:vAlign w:val="center"/>
          </w:tcPr>
          <w:p w14:paraId="5D30EF6B" w14:textId="661191AB" w:rsidR="00397F22" w:rsidRPr="00F4623F" w:rsidRDefault="00397F22" w:rsidP="00BE6AC5">
            <w:pPr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F4623F">
              <w:rPr>
                <w:rFonts w:cs="Arial"/>
                <w:sz w:val="18"/>
                <w:szCs w:val="18"/>
                <w:lang w:eastAsia="sl-SI"/>
              </w:rPr>
              <w:t>Znesek v EUR</w:t>
            </w:r>
          </w:p>
        </w:tc>
      </w:tr>
      <w:tr w:rsidR="00397F22" w:rsidRPr="00F4623F" w14:paraId="5A55EBF6" w14:textId="77777777" w:rsidTr="00397F22">
        <w:tc>
          <w:tcPr>
            <w:tcW w:w="386" w:type="pct"/>
          </w:tcPr>
          <w:p w14:paraId="49600889" w14:textId="77777777" w:rsidR="00397F22" w:rsidRPr="00F4623F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04343D8D" w14:textId="77777777" w:rsidR="00397F22" w:rsidRPr="00F4623F" w:rsidRDefault="00397F22" w:rsidP="00BE6AC5">
            <w:pPr>
              <w:numPr>
                <w:ilvl w:val="0"/>
                <w:numId w:val="6"/>
              </w:numPr>
              <w:jc w:val="center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b/>
                <w:sz w:val="18"/>
                <w:szCs w:val="18"/>
                <w:lang w:eastAsia="sl-SI"/>
              </w:rPr>
              <w:t>BILANCA PRIHODKOV IN ODHODKOV</w:t>
            </w:r>
          </w:p>
        </w:tc>
        <w:tc>
          <w:tcPr>
            <w:tcW w:w="1123" w:type="pct"/>
            <w:vAlign w:val="center"/>
          </w:tcPr>
          <w:p w14:paraId="5E3E5430" w14:textId="780D3583" w:rsidR="00397F22" w:rsidRPr="00F4623F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7F22" w:rsidRPr="00F4623F" w14:paraId="36BC1F9D" w14:textId="77777777" w:rsidTr="00397F22">
        <w:tc>
          <w:tcPr>
            <w:tcW w:w="386" w:type="pct"/>
          </w:tcPr>
          <w:p w14:paraId="2D4A1B01" w14:textId="77777777" w:rsidR="00397F22" w:rsidRPr="00F4623F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0EFAB8A7" w14:textId="77777777" w:rsidR="00397F22" w:rsidRPr="00F4623F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b/>
                <w:sz w:val="18"/>
                <w:szCs w:val="18"/>
                <w:lang w:eastAsia="sl-SI"/>
              </w:rPr>
              <w:t>Skupina/Podskupina kontov/Konto/</w:t>
            </w:r>
            <w:proofErr w:type="spellStart"/>
            <w:r w:rsidRPr="00F4623F">
              <w:rPr>
                <w:rFonts w:cs="Arial"/>
                <w:b/>
                <w:sz w:val="18"/>
                <w:szCs w:val="18"/>
                <w:lang w:eastAsia="sl-SI"/>
              </w:rPr>
              <w:t>Podkonto</w:t>
            </w:r>
            <w:proofErr w:type="spellEnd"/>
          </w:p>
        </w:tc>
        <w:tc>
          <w:tcPr>
            <w:tcW w:w="1123" w:type="pct"/>
            <w:vAlign w:val="bottom"/>
          </w:tcPr>
          <w:p w14:paraId="1D56A18A" w14:textId="2C0B7B68" w:rsidR="00397F22" w:rsidRPr="00F4623F" w:rsidRDefault="00397F22" w:rsidP="00397F22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b/>
                <w:sz w:val="18"/>
                <w:szCs w:val="18"/>
                <w:lang w:eastAsia="sl-SI"/>
              </w:rPr>
              <w:t>Proračun leta 20</w:t>
            </w:r>
            <w:r>
              <w:rPr>
                <w:rFonts w:cs="Arial"/>
                <w:b/>
                <w:sz w:val="18"/>
                <w:szCs w:val="18"/>
                <w:lang w:eastAsia="sl-SI"/>
              </w:rPr>
              <w:t>21</w:t>
            </w:r>
          </w:p>
        </w:tc>
      </w:tr>
      <w:tr w:rsidR="00397F22" w:rsidRPr="00397F22" w14:paraId="494995D5" w14:textId="77777777" w:rsidTr="00397F22">
        <w:tc>
          <w:tcPr>
            <w:tcW w:w="386" w:type="pct"/>
          </w:tcPr>
          <w:p w14:paraId="6A159A95" w14:textId="77777777" w:rsidR="00397F22" w:rsidRPr="00397F22" w:rsidRDefault="00397F22" w:rsidP="00BE6AC5">
            <w:pPr>
              <w:ind w:left="360"/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I.</w:t>
            </w:r>
          </w:p>
        </w:tc>
        <w:tc>
          <w:tcPr>
            <w:tcW w:w="3491" w:type="pct"/>
          </w:tcPr>
          <w:p w14:paraId="59D82A15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SKUPAJ PRIHODKI (70+71+72+73+74+78)</w:t>
            </w:r>
          </w:p>
        </w:tc>
        <w:tc>
          <w:tcPr>
            <w:tcW w:w="1123" w:type="pct"/>
            <w:vAlign w:val="bottom"/>
          </w:tcPr>
          <w:p w14:paraId="0B4ECD06" w14:textId="0BC7C98D" w:rsidR="00397F22" w:rsidRPr="0072288C" w:rsidRDefault="00397F22" w:rsidP="00397F2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2"/>
                <w:highlight w:val="cyan"/>
                <w:lang w:eastAsia="sl-SI"/>
              </w:rPr>
            </w:pPr>
            <w:r w:rsidRPr="0072288C">
              <w:rPr>
                <w:rFonts w:asciiTheme="minorHAnsi" w:hAnsiTheme="minorHAnsi" w:cstheme="minorHAnsi"/>
                <w:b/>
                <w:color w:val="000000"/>
                <w:szCs w:val="22"/>
              </w:rPr>
              <w:t>4.</w:t>
            </w:r>
            <w:r w:rsidR="0072288C" w:rsidRPr="0072288C">
              <w:rPr>
                <w:rFonts w:asciiTheme="minorHAnsi" w:hAnsiTheme="minorHAnsi" w:cstheme="minorHAnsi"/>
                <w:b/>
                <w:color w:val="000000"/>
                <w:szCs w:val="22"/>
              </w:rPr>
              <w:t>600.901</w:t>
            </w:r>
          </w:p>
        </w:tc>
      </w:tr>
      <w:tr w:rsidR="00397F22" w:rsidRPr="00397F22" w14:paraId="2FB0FC51" w14:textId="77777777" w:rsidTr="00397F22">
        <w:tc>
          <w:tcPr>
            <w:tcW w:w="386" w:type="pct"/>
          </w:tcPr>
          <w:p w14:paraId="2705E6D2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2874C2FC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TEKOČI PRIHODKI (70+71)</w:t>
            </w:r>
          </w:p>
        </w:tc>
        <w:tc>
          <w:tcPr>
            <w:tcW w:w="1123" w:type="pct"/>
            <w:vAlign w:val="bottom"/>
          </w:tcPr>
          <w:p w14:paraId="75076892" w14:textId="773B20A1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ascii="Calibri" w:hAnsi="Calibri" w:cs="Calibri"/>
                <w:b/>
                <w:color w:val="000000"/>
                <w:szCs w:val="22"/>
              </w:rPr>
              <w:t>3.473.020</w:t>
            </w:r>
          </w:p>
        </w:tc>
      </w:tr>
      <w:tr w:rsidR="00397F22" w:rsidRPr="00397F22" w14:paraId="4BF4BF62" w14:textId="77777777" w:rsidTr="00397F22">
        <w:tc>
          <w:tcPr>
            <w:tcW w:w="386" w:type="pct"/>
          </w:tcPr>
          <w:p w14:paraId="33CC855F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3491" w:type="pct"/>
          </w:tcPr>
          <w:p w14:paraId="48254E1A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DAVČNI PRIHODKI</w:t>
            </w:r>
          </w:p>
        </w:tc>
        <w:tc>
          <w:tcPr>
            <w:tcW w:w="1123" w:type="pct"/>
            <w:vAlign w:val="bottom"/>
          </w:tcPr>
          <w:p w14:paraId="1611293D" w14:textId="325FA4F8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3.169.100</w:t>
            </w:r>
          </w:p>
        </w:tc>
      </w:tr>
      <w:tr w:rsidR="00397F22" w:rsidRPr="00F4623F" w14:paraId="7EE44BFB" w14:textId="77777777" w:rsidTr="00397F22">
        <w:tc>
          <w:tcPr>
            <w:tcW w:w="386" w:type="pct"/>
          </w:tcPr>
          <w:p w14:paraId="075EFC08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700</w:t>
            </w:r>
          </w:p>
        </w:tc>
        <w:tc>
          <w:tcPr>
            <w:tcW w:w="3491" w:type="pct"/>
          </w:tcPr>
          <w:p w14:paraId="61F761D2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Davki na dohodek in dobiček</w:t>
            </w:r>
          </w:p>
        </w:tc>
        <w:tc>
          <w:tcPr>
            <w:tcW w:w="1123" w:type="pct"/>
            <w:vAlign w:val="bottom"/>
          </w:tcPr>
          <w:p w14:paraId="452FB139" w14:textId="1A4887E7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2.906.398</w:t>
            </w:r>
          </w:p>
        </w:tc>
      </w:tr>
      <w:tr w:rsidR="00397F22" w:rsidRPr="00F4623F" w14:paraId="7C335B91" w14:textId="77777777" w:rsidTr="00397F22">
        <w:tc>
          <w:tcPr>
            <w:tcW w:w="386" w:type="pct"/>
          </w:tcPr>
          <w:p w14:paraId="1743CAB5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703</w:t>
            </w:r>
          </w:p>
        </w:tc>
        <w:tc>
          <w:tcPr>
            <w:tcW w:w="3491" w:type="pct"/>
          </w:tcPr>
          <w:p w14:paraId="1EC4323C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Davki na premoženje</w:t>
            </w:r>
          </w:p>
        </w:tc>
        <w:tc>
          <w:tcPr>
            <w:tcW w:w="1123" w:type="pct"/>
            <w:vAlign w:val="bottom"/>
          </w:tcPr>
          <w:p w14:paraId="3750E8D9" w14:textId="6B92592B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161.602</w:t>
            </w:r>
          </w:p>
        </w:tc>
      </w:tr>
      <w:tr w:rsidR="00397F22" w:rsidRPr="00F4623F" w14:paraId="08A524FC" w14:textId="77777777" w:rsidTr="00397F22">
        <w:tc>
          <w:tcPr>
            <w:tcW w:w="386" w:type="pct"/>
          </w:tcPr>
          <w:p w14:paraId="594CD5A4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704</w:t>
            </w:r>
          </w:p>
        </w:tc>
        <w:tc>
          <w:tcPr>
            <w:tcW w:w="3491" w:type="pct"/>
          </w:tcPr>
          <w:p w14:paraId="73ACDA1A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Domači davki na blago in storitve</w:t>
            </w:r>
          </w:p>
        </w:tc>
        <w:tc>
          <w:tcPr>
            <w:tcW w:w="1123" w:type="pct"/>
            <w:vAlign w:val="bottom"/>
          </w:tcPr>
          <w:p w14:paraId="79247D7D" w14:textId="6873C5EC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101.100</w:t>
            </w:r>
          </w:p>
        </w:tc>
      </w:tr>
      <w:tr w:rsidR="00397F22" w:rsidRPr="00397F22" w14:paraId="6EE7E787" w14:textId="77777777" w:rsidTr="00397F22">
        <w:tc>
          <w:tcPr>
            <w:tcW w:w="386" w:type="pct"/>
          </w:tcPr>
          <w:p w14:paraId="42887B10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3491" w:type="pct"/>
          </w:tcPr>
          <w:p w14:paraId="08E5F267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NEDAVČNI PRIHODKI</w:t>
            </w:r>
          </w:p>
        </w:tc>
        <w:tc>
          <w:tcPr>
            <w:tcW w:w="1123" w:type="pct"/>
            <w:vAlign w:val="bottom"/>
          </w:tcPr>
          <w:p w14:paraId="7B28DA8B" w14:textId="3C7CDFF4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303.920</w:t>
            </w:r>
          </w:p>
        </w:tc>
      </w:tr>
      <w:tr w:rsidR="00397F22" w:rsidRPr="00F4623F" w14:paraId="6892485F" w14:textId="77777777" w:rsidTr="00397F22">
        <w:tc>
          <w:tcPr>
            <w:tcW w:w="386" w:type="pct"/>
          </w:tcPr>
          <w:p w14:paraId="51AA071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710</w:t>
            </w:r>
          </w:p>
        </w:tc>
        <w:tc>
          <w:tcPr>
            <w:tcW w:w="3491" w:type="pct"/>
          </w:tcPr>
          <w:p w14:paraId="02DE4670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Udeležba na dobičku in dohodki od premoženja</w:t>
            </w:r>
          </w:p>
        </w:tc>
        <w:tc>
          <w:tcPr>
            <w:tcW w:w="1123" w:type="pct"/>
            <w:vAlign w:val="bottom"/>
          </w:tcPr>
          <w:p w14:paraId="7AF5151E" w14:textId="1DA858BA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107.530</w:t>
            </w:r>
          </w:p>
        </w:tc>
      </w:tr>
      <w:tr w:rsidR="00397F22" w:rsidRPr="00F4623F" w14:paraId="3B52AFF8" w14:textId="77777777" w:rsidTr="00397F22">
        <w:tc>
          <w:tcPr>
            <w:tcW w:w="386" w:type="pct"/>
          </w:tcPr>
          <w:p w14:paraId="4EEF4ED6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711</w:t>
            </w:r>
          </w:p>
        </w:tc>
        <w:tc>
          <w:tcPr>
            <w:tcW w:w="3491" w:type="pct"/>
          </w:tcPr>
          <w:p w14:paraId="4DB037EA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Takse in pristojbine</w:t>
            </w:r>
          </w:p>
        </w:tc>
        <w:tc>
          <w:tcPr>
            <w:tcW w:w="1123" w:type="pct"/>
            <w:vAlign w:val="bottom"/>
          </w:tcPr>
          <w:p w14:paraId="2E29034C" w14:textId="5E609D2D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3.000</w:t>
            </w:r>
          </w:p>
        </w:tc>
      </w:tr>
      <w:tr w:rsidR="00397F22" w:rsidRPr="00F4623F" w14:paraId="404C6B9D" w14:textId="77777777" w:rsidTr="00397F22">
        <w:tc>
          <w:tcPr>
            <w:tcW w:w="386" w:type="pct"/>
          </w:tcPr>
          <w:p w14:paraId="6E35815A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712</w:t>
            </w:r>
          </w:p>
        </w:tc>
        <w:tc>
          <w:tcPr>
            <w:tcW w:w="3491" w:type="pct"/>
          </w:tcPr>
          <w:p w14:paraId="15B045BF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Globe in druge denarne kazni</w:t>
            </w:r>
          </w:p>
        </w:tc>
        <w:tc>
          <w:tcPr>
            <w:tcW w:w="1123" w:type="pct"/>
            <w:vAlign w:val="bottom"/>
          </w:tcPr>
          <w:p w14:paraId="4A9BDD08" w14:textId="3B7ABDBC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6.530</w:t>
            </w:r>
          </w:p>
        </w:tc>
      </w:tr>
      <w:tr w:rsidR="00397F22" w:rsidRPr="00F4623F" w14:paraId="4B934BF8" w14:textId="77777777" w:rsidTr="00397F22">
        <w:tc>
          <w:tcPr>
            <w:tcW w:w="386" w:type="pct"/>
          </w:tcPr>
          <w:p w14:paraId="4EC93A54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713</w:t>
            </w:r>
          </w:p>
        </w:tc>
        <w:tc>
          <w:tcPr>
            <w:tcW w:w="3491" w:type="pct"/>
          </w:tcPr>
          <w:p w14:paraId="18CF8F9F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Prihodki od prodaje blaga in storitev</w:t>
            </w:r>
          </w:p>
        </w:tc>
        <w:tc>
          <w:tcPr>
            <w:tcW w:w="1123" w:type="pct"/>
            <w:vAlign w:val="bottom"/>
          </w:tcPr>
          <w:p w14:paraId="0FAF0563" w14:textId="6ECDAED5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</w:tr>
      <w:tr w:rsidR="00397F22" w:rsidRPr="00F4623F" w14:paraId="0F3EEEB2" w14:textId="77777777" w:rsidTr="00397F22">
        <w:tc>
          <w:tcPr>
            <w:tcW w:w="386" w:type="pct"/>
          </w:tcPr>
          <w:p w14:paraId="6CD6536A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714</w:t>
            </w:r>
          </w:p>
        </w:tc>
        <w:tc>
          <w:tcPr>
            <w:tcW w:w="3491" w:type="pct"/>
          </w:tcPr>
          <w:p w14:paraId="754B000B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Drugi nedavčni prihodki</w:t>
            </w:r>
          </w:p>
        </w:tc>
        <w:tc>
          <w:tcPr>
            <w:tcW w:w="1123" w:type="pct"/>
            <w:vAlign w:val="bottom"/>
          </w:tcPr>
          <w:p w14:paraId="4F36D433" w14:textId="63B923E7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186.260</w:t>
            </w:r>
          </w:p>
        </w:tc>
      </w:tr>
      <w:tr w:rsidR="00397F22" w:rsidRPr="00397F22" w14:paraId="3D944426" w14:textId="77777777" w:rsidTr="00397F22">
        <w:tc>
          <w:tcPr>
            <w:tcW w:w="386" w:type="pct"/>
          </w:tcPr>
          <w:p w14:paraId="7C57E5A6" w14:textId="77777777" w:rsidR="00397F22" w:rsidRPr="00397F22" w:rsidRDefault="00397F22" w:rsidP="00BE6AC5">
            <w:pPr>
              <w:jc w:val="right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bCs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3491" w:type="pct"/>
          </w:tcPr>
          <w:p w14:paraId="5311F9FB" w14:textId="77777777" w:rsidR="00397F22" w:rsidRPr="00397F22" w:rsidRDefault="00397F22" w:rsidP="00BE6AC5">
            <w:pPr>
              <w:jc w:val="left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bCs/>
                <w:sz w:val="18"/>
                <w:szCs w:val="18"/>
                <w:lang w:eastAsia="sl-SI"/>
              </w:rPr>
              <w:t>KAPITALSKI PRIHODKI</w:t>
            </w:r>
          </w:p>
        </w:tc>
        <w:tc>
          <w:tcPr>
            <w:tcW w:w="1123" w:type="pct"/>
            <w:vAlign w:val="bottom"/>
          </w:tcPr>
          <w:p w14:paraId="587A37A9" w14:textId="5ABAB837" w:rsidR="00397F22" w:rsidRPr="00397F22" w:rsidRDefault="0072288C" w:rsidP="00397F2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63.995</w:t>
            </w:r>
          </w:p>
        </w:tc>
      </w:tr>
      <w:tr w:rsidR="00397F22" w:rsidRPr="00F4623F" w14:paraId="7852B016" w14:textId="77777777" w:rsidTr="00397F22">
        <w:tc>
          <w:tcPr>
            <w:tcW w:w="386" w:type="pct"/>
          </w:tcPr>
          <w:p w14:paraId="7C072D5C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720</w:t>
            </w:r>
          </w:p>
        </w:tc>
        <w:tc>
          <w:tcPr>
            <w:tcW w:w="3491" w:type="pct"/>
          </w:tcPr>
          <w:p w14:paraId="3A640E2B" w14:textId="77777777" w:rsidR="00397F22" w:rsidRPr="009827E0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9827E0">
              <w:rPr>
                <w:rFonts w:cs="Arial"/>
                <w:sz w:val="18"/>
                <w:szCs w:val="18"/>
                <w:lang w:eastAsia="sl-SI"/>
              </w:rPr>
              <w:t>Prihodki od prodaje osnovnih sredstev</w:t>
            </w:r>
          </w:p>
        </w:tc>
        <w:tc>
          <w:tcPr>
            <w:tcW w:w="1123" w:type="pct"/>
            <w:vAlign w:val="bottom"/>
          </w:tcPr>
          <w:p w14:paraId="5E045989" w14:textId="21B27E37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40.000</w:t>
            </w:r>
          </w:p>
        </w:tc>
      </w:tr>
      <w:tr w:rsidR="00397F22" w:rsidRPr="00F4623F" w14:paraId="76CE6F68" w14:textId="77777777" w:rsidTr="00397F22">
        <w:tc>
          <w:tcPr>
            <w:tcW w:w="386" w:type="pct"/>
          </w:tcPr>
          <w:p w14:paraId="173A3527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722</w:t>
            </w:r>
          </w:p>
        </w:tc>
        <w:tc>
          <w:tcPr>
            <w:tcW w:w="3491" w:type="pct"/>
          </w:tcPr>
          <w:p w14:paraId="2F15E812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Prihodki od prodaje zemljišč in neopredmetenih sredstev</w:t>
            </w:r>
          </w:p>
        </w:tc>
        <w:tc>
          <w:tcPr>
            <w:tcW w:w="1123" w:type="pct"/>
            <w:vAlign w:val="bottom"/>
          </w:tcPr>
          <w:p w14:paraId="5CD9E187" w14:textId="7E8FA2EB" w:rsidR="00397F22" w:rsidRPr="000A0A15" w:rsidRDefault="0072288C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23.995</w:t>
            </w:r>
          </w:p>
        </w:tc>
      </w:tr>
      <w:tr w:rsidR="00397F22" w:rsidRPr="00397F22" w14:paraId="323086FC" w14:textId="77777777" w:rsidTr="00397F22">
        <w:tc>
          <w:tcPr>
            <w:tcW w:w="386" w:type="pct"/>
          </w:tcPr>
          <w:p w14:paraId="6894CD1C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3491" w:type="pct"/>
          </w:tcPr>
          <w:p w14:paraId="2F8D8D67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TRANSFERNI PRIHODKI</w:t>
            </w:r>
          </w:p>
        </w:tc>
        <w:tc>
          <w:tcPr>
            <w:tcW w:w="1123" w:type="pct"/>
            <w:vAlign w:val="bottom"/>
          </w:tcPr>
          <w:p w14:paraId="00EF160D" w14:textId="502E6130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1.063.886</w:t>
            </w:r>
          </w:p>
        </w:tc>
      </w:tr>
      <w:tr w:rsidR="00397F22" w:rsidRPr="00F4623F" w14:paraId="245A86D7" w14:textId="77777777" w:rsidTr="00397F22">
        <w:tc>
          <w:tcPr>
            <w:tcW w:w="386" w:type="pct"/>
          </w:tcPr>
          <w:p w14:paraId="0AB7435F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740</w:t>
            </w:r>
          </w:p>
        </w:tc>
        <w:tc>
          <w:tcPr>
            <w:tcW w:w="3491" w:type="pct"/>
          </w:tcPr>
          <w:p w14:paraId="33A0547A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Transferni prihodki iz drugih javnofinančnih institucij</w:t>
            </w:r>
          </w:p>
        </w:tc>
        <w:tc>
          <w:tcPr>
            <w:tcW w:w="1123" w:type="pct"/>
            <w:vAlign w:val="bottom"/>
          </w:tcPr>
          <w:p w14:paraId="47512F8F" w14:textId="1E5340C9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304.637</w:t>
            </w:r>
          </w:p>
        </w:tc>
      </w:tr>
      <w:tr w:rsidR="00397F22" w:rsidRPr="00F4623F" w14:paraId="782FA2C1" w14:textId="77777777" w:rsidTr="00397F22">
        <w:tc>
          <w:tcPr>
            <w:tcW w:w="386" w:type="pct"/>
          </w:tcPr>
          <w:p w14:paraId="3FF3AB0A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741</w:t>
            </w:r>
          </w:p>
        </w:tc>
        <w:tc>
          <w:tcPr>
            <w:tcW w:w="3491" w:type="pct"/>
          </w:tcPr>
          <w:p w14:paraId="01F57CAC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 xml:space="preserve">Prejeta sredstva iz državnega proračuna in sred. </w:t>
            </w:r>
            <w:proofErr w:type="spellStart"/>
            <w:r>
              <w:rPr>
                <w:rFonts w:cs="Arial"/>
                <w:sz w:val="18"/>
                <w:szCs w:val="18"/>
                <w:lang w:eastAsia="sl-SI"/>
              </w:rPr>
              <w:t>pror</w:t>
            </w:r>
            <w:proofErr w:type="spellEnd"/>
            <w:r>
              <w:rPr>
                <w:rFonts w:cs="Arial"/>
                <w:sz w:val="18"/>
                <w:szCs w:val="18"/>
                <w:lang w:eastAsia="sl-SI"/>
              </w:rPr>
              <w:t>. EU in iz drugih držav</w:t>
            </w:r>
          </w:p>
        </w:tc>
        <w:tc>
          <w:tcPr>
            <w:tcW w:w="1123" w:type="pct"/>
            <w:vAlign w:val="bottom"/>
          </w:tcPr>
          <w:p w14:paraId="0D857E74" w14:textId="7AE92A65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759.249</w:t>
            </w:r>
          </w:p>
        </w:tc>
      </w:tr>
      <w:tr w:rsidR="00397F22" w:rsidRPr="00397F22" w14:paraId="20DFBCDB" w14:textId="77777777" w:rsidTr="00397F22">
        <w:tc>
          <w:tcPr>
            <w:tcW w:w="386" w:type="pct"/>
          </w:tcPr>
          <w:p w14:paraId="5683C052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II.</w:t>
            </w:r>
          </w:p>
        </w:tc>
        <w:tc>
          <w:tcPr>
            <w:tcW w:w="3491" w:type="pct"/>
          </w:tcPr>
          <w:p w14:paraId="1775ED85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SKUPAJ ODHODKI (40+41+42+43+45)</w:t>
            </w:r>
          </w:p>
        </w:tc>
        <w:tc>
          <w:tcPr>
            <w:tcW w:w="1123" w:type="pct"/>
            <w:vAlign w:val="bottom"/>
          </w:tcPr>
          <w:p w14:paraId="1B0E822D" w14:textId="012B7796" w:rsidR="00397F22" w:rsidRPr="0072288C" w:rsidRDefault="00397F22" w:rsidP="00397F2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2"/>
                <w:highlight w:val="cyan"/>
                <w:lang w:eastAsia="sl-SI"/>
              </w:rPr>
            </w:pPr>
            <w:r w:rsidRPr="0072288C">
              <w:rPr>
                <w:rFonts w:asciiTheme="minorHAnsi" w:hAnsiTheme="minorHAnsi" w:cstheme="minorHAnsi"/>
                <w:b/>
                <w:color w:val="000000"/>
                <w:szCs w:val="22"/>
              </w:rPr>
              <w:t>5.</w:t>
            </w:r>
            <w:r w:rsidR="00F6121A">
              <w:rPr>
                <w:rFonts w:asciiTheme="minorHAnsi" w:hAnsiTheme="minorHAnsi" w:cstheme="minorHAnsi"/>
                <w:b/>
                <w:color w:val="000000"/>
                <w:szCs w:val="22"/>
              </w:rPr>
              <w:t>182.327</w:t>
            </w:r>
          </w:p>
        </w:tc>
      </w:tr>
      <w:tr w:rsidR="00397F22" w:rsidRPr="00397F22" w14:paraId="44A12782" w14:textId="77777777" w:rsidTr="00397F22">
        <w:tc>
          <w:tcPr>
            <w:tcW w:w="386" w:type="pct"/>
          </w:tcPr>
          <w:p w14:paraId="425CD083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491" w:type="pct"/>
          </w:tcPr>
          <w:p w14:paraId="7DB7F8D8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TEKOČI ODHODKI</w:t>
            </w:r>
          </w:p>
        </w:tc>
        <w:tc>
          <w:tcPr>
            <w:tcW w:w="1123" w:type="pct"/>
            <w:vAlign w:val="bottom"/>
          </w:tcPr>
          <w:p w14:paraId="46FBC857" w14:textId="1AFAC8CA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1.151.040</w:t>
            </w:r>
          </w:p>
        </w:tc>
      </w:tr>
      <w:tr w:rsidR="00397F22" w:rsidRPr="00F4623F" w14:paraId="6565EE4A" w14:textId="77777777" w:rsidTr="00397F22">
        <w:tc>
          <w:tcPr>
            <w:tcW w:w="386" w:type="pct"/>
          </w:tcPr>
          <w:p w14:paraId="7575723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400</w:t>
            </w:r>
          </w:p>
        </w:tc>
        <w:tc>
          <w:tcPr>
            <w:tcW w:w="3491" w:type="pct"/>
          </w:tcPr>
          <w:p w14:paraId="35AB15C6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Plače in drugi izdatki zaposlenim</w:t>
            </w:r>
          </w:p>
        </w:tc>
        <w:tc>
          <w:tcPr>
            <w:tcW w:w="1123" w:type="pct"/>
            <w:vAlign w:val="bottom"/>
          </w:tcPr>
          <w:p w14:paraId="22A359AC" w14:textId="21F5A0A3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335.250</w:t>
            </w:r>
          </w:p>
        </w:tc>
      </w:tr>
      <w:tr w:rsidR="00397F22" w:rsidRPr="00F4623F" w14:paraId="0AAB3A03" w14:textId="77777777" w:rsidTr="00397F22">
        <w:tc>
          <w:tcPr>
            <w:tcW w:w="386" w:type="pct"/>
          </w:tcPr>
          <w:p w14:paraId="12737A35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401</w:t>
            </w:r>
          </w:p>
        </w:tc>
        <w:tc>
          <w:tcPr>
            <w:tcW w:w="3491" w:type="pct"/>
          </w:tcPr>
          <w:p w14:paraId="7323F740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Prispevki delodajalcev za socialno varnost</w:t>
            </w:r>
          </w:p>
        </w:tc>
        <w:tc>
          <w:tcPr>
            <w:tcW w:w="1123" w:type="pct"/>
            <w:vAlign w:val="bottom"/>
          </w:tcPr>
          <w:p w14:paraId="63FA184A" w14:textId="672049FB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49.375</w:t>
            </w:r>
          </w:p>
        </w:tc>
      </w:tr>
      <w:tr w:rsidR="00397F22" w:rsidRPr="00F4623F" w14:paraId="3A27291C" w14:textId="77777777" w:rsidTr="00397F22">
        <w:tc>
          <w:tcPr>
            <w:tcW w:w="386" w:type="pct"/>
          </w:tcPr>
          <w:p w14:paraId="65DD368A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402</w:t>
            </w:r>
          </w:p>
        </w:tc>
        <w:tc>
          <w:tcPr>
            <w:tcW w:w="3491" w:type="pct"/>
          </w:tcPr>
          <w:p w14:paraId="728247D6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Izdatki za blago in storitve</w:t>
            </w:r>
          </w:p>
        </w:tc>
        <w:tc>
          <w:tcPr>
            <w:tcW w:w="1123" w:type="pct"/>
            <w:vAlign w:val="bottom"/>
          </w:tcPr>
          <w:p w14:paraId="1046DC91" w14:textId="5CC307EF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695.815</w:t>
            </w:r>
          </w:p>
        </w:tc>
      </w:tr>
      <w:tr w:rsidR="00397F22" w:rsidRPr="00F4623F" w14:paraId="1DA5021E" w14:textId="77777777" w:rsidTr="00397F22">
        <w:tc>
          <w:tcPr>
            <w:tcW w:w="386" w:type="pct"/>
          </w:tcPr>
          <w:p w14:paraId="0B60DCDC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403</w:t>
            </w:r>
          </w:p>
        </w:tc>
        <w:tc>
          <w:tcPr>
            <w:tcW w:w="3491" w:type="pct"/>
          </w:tcPr>
          <w:p w14:paraId="1E05948E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Plačila domačih obresti</w:t>
            </w:r>
          </w:p>
        </w:tc>
        <w:tc>
          <w:tcPr>
            <w:tcW w:w="1123" w:type="pct"/>
            <w:vAlign w:val="bottom"/>
          </w:tcPr>
          <w:p w14:paraId="4E39A460" w14:textId="41144F4A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28.600</w:t>
            </w:r>
          </w:p>
        </w:tc>
      </w:tr>
      <w:tr w:rsidR="00397F22" w:rsidRPr="00F4623F" w14:paraId="504B2B56" w14:textId="77777777" w:rsidTr="00397F22">
        <w:tc>
          <w:tcPr>
            <w:tcW w:w="386" w:type="pct"/>
          </w:tcPr>
          <w:p w14:paraId="5E4EF8E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409</w:t>
            </w:r>
          </w:p>
        </w:tc>
        <w:tc>
          <w:tcPr>
            <w:tcW w:w="3491" w:type="pct"/>
          </w:tcPr>
          <w:p w14:paraId="16AEFAF4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Rezerve</w:t>
            </w:r>
          </w:p>
        </w:tc>
        <w:tc>
          <w:tcPr>
            <w:tcW w:w="1123" w:type="pct"/>
            <w:vAlign w:val="bottom"/>
          </w:tcPr>
          <w:p w14:paraId="54BDC8FA" w14:textId="4332A033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42.000</w:t>
            </w:r>
          </w:p>
        </w:tc>
      </w:tr>
      <w:tr w:rsidR="00397F22" w:rsidRPr="00397F22" w14:paraId="7897DF4E" w14:textId="77777777" w:rsidTr="00397F22">
        <w:tc>
          <w:tcPr>
            <w:tcW w:w="386" w:type="pct"/>
          </w:tcPr>
          <w:p w14:paraId="6ECA67B1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3491" w:type="pct"/>
          </w:tcPr>
          <w:p w14:paraId="65F8EF41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TEKOČI TRANSFERI</w:t>
            </w:r>
          </w:p>
        </w:tc>
        <w:tc>
          <w:tcPr>
            <w:tcW w:w="1123" w:type="pct"/>
            <w:vAlign w:val="bottom"/>
          </w:tcPr>
          <w:p w14:paraId="55F0CF49" w14:textId="0838A7F6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1.663.463</w:t>
            </w:r>
          </w:p>
        </w:tc>
      </w:tr>
      <w:tr w:rsidR="00397F22" w:rsidRPr="00F4623F" w14:paraId="73A175E0" w14:textId="77777777" w:rsidTr="00397F22">
        <w:tc>
          <w:tcPr>
            <w:tcW w:w="386" w:type="pct"/>
          </w:tcPr>
          <w:p w14:paraId="755EBEED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410</w:t>
            </w:r>
          </w:p>
        </w:tc>
        <w:tc>
          <w:tcPr>
            <w:tcW w:w="3491" w:type="pct"/>
          </w:tcPr>
          <w:p w14:paraId="4ECF7339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Subvencije</w:t>
            </w:r>
          </w:p>
        </w:tc>
        <w:tc>
          <w:tcPr>
            <w:tcW w:w="1123" w:type="pct"/>
            <w:vAlign w:val="bottom"/>
          </w:tcPr>
          <w:p w14:paraId="2E6706AE" w14:textId="00903D45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39.200</w:t>
            </w:r>
          </w:p>
        </w:tc>
      </w:tr>
      <w:tr w:rsidR="00397F22" w:rsidRPr="00F4623F" w14:paraId="562C96FD" w14:textId="77777777" w:rsidTr="00397F22">
        <w:tc>
          <w:tcPr>
            <w:tcW w:w="386" w:type="pct"/>
          </w:tcPr>
          <w:p w14:paraId="1434028C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lastRenderedPageBreak/>
              <w:t>411</w:t>
            </w:r>
          </w:p>
        </w:tc>
        <w:tc>
          <w:tcPr>
            <w:tcW w:w="3491" w:type="pct"/>
          </w:tcPr>
          <w:p w14:paraId="2A526531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Transferi posameznikom in gospodinjstvom</w:t>
            </w:r>
          </w:p>
        </w:tc>
        <w:tc>
          <w:tcPr>
            <w:tcW w:w="1123" w:type="pct"/>
            <w:vAlign w:val="bottom"/>
          </w:tcPr>
          <w:p w14:paraId="387BCA58" w14:textId="388B3CAF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885.442</w:t>
            </w:r>
          </w:p>
        </w:tc>
      </w:tr>
      <w:tr w:rsidR="00397F22" w:rsidRPr="00F4623F" w14:paraId="4DEB9228" w14:textId="77777777" w:rsidTr="00397F22">
        <w:tc>
          <w:tcPr>
            <w:tcW w:w="386" w:type="pct"/>
          </w:tcPr>
          <w:p w14:paraId="07A94CC4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412</w:t>
            </w:r>
          </w:p>
        </w:tc>
        <w:tc>
          <w:tcPr>
            <w:tcW w:w="3491" w:type="pct"/>
          </w:tcPr>
          <w:p w14:paraId="04F2C16A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Transferi nepridobitnim organizacijam in ustanovam</w:t>
            </w:r>
          </w:p>
        </w:tc>
        <w:tc>
          <w:tcPr>
            <w:tcW w:w="1123" w:type="pct"/>
            <w:vAlign w:val="bottom"/>
          </w:tcPr>
          <w:p w14:paraId="413CD90C" w14:textId="50A3DD64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90.310</w:t>
            </w:r>
          </w:p>
        </w:tc>
      </w:tr>
      <w:tr w:rsidR="00397F22" w:rsidRPr="00F4623F" w14:paraId="73696E0D" w14:textId="77777777" w:rsidTr="00397F22">
        <w:tc>
          <w:tcPr>
            <w:tcW w:w="386" w:type="pct"/>
          </w:tcPr>
          <w:p w14:paraId="6152E7C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413</w:t>
            </w:r>
          </w:p>
        </w:tc>
        <w:tc>
          <w:tcPr>
            <w:tcW w:w="3491" w:type="pct"/>
          </w:tcPr>
          <w:p w14:paraId="44921EDF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Drugi tekoči domači transferi</w:t>
            </w:r>
          </w:p>
        </w:tc>
        <w:tc>
          <w:tcPr>
            <w:tcW w:w="1123" w:type="pct"/>
            <w:vAlign w:val="bottom"/>
          </w:tcPr>
          <w:p w14:paraId="2936E521" w14:textId="39712623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648.511</w:t>
            </w:r>
          </w:p>
        </w:tc>
      </w:tr>
      <w:tr w:rsidR="00397F22" w:rsidRPr="00397F22" w14:paraId="5AC71C8D" w14:textId="77777777" w:rsidTr="00397F22">
        <w:tc>
          <w:tcPr>
            <w:tcW w:w="386" w:type="pct"/>
          </w:tcPr>
          <w:p w14:paraId="2EAFE9D3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3491" w:type="pct"/>
          </w:tcPr>
          <w:p w14:paraId="2DAA1C4B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INVESTICIJSKI ODHODKI</w:t>
            </w:r>
          </w:p>
        </w:tc>
        <w:tc>
          <w:tcPr>
            <w:tcW w:w="1123" w:type="pct"/>
            <w:vAlign w:val="bottom"/>
          </w:tcPr>
          <w:p w14:paraId="50FBF931" w14:textId="3C8560D8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  <w:r w:rsidR="006022E7">
              <w:rPr>
                <w:rFonts w:cs="Arial"/>
                <w:b/>
                <w:color w:val="000000"/>
                <w:sz w:val="18"/>
                <w:szCs w:val="18"/>
              </w:rPr>
              <w:t>244.179</w:t>
            </w:r>
          </w:p>
        </w:tc>
      </w:tr>
      <w:tr w:rsidR="00397F22" w:rsidRPr="00F4623F" w14:paraId="65DC9748" w14:textId="77777777" w:rsidTr="00397F22">
        <w:tc>
          <w:tcPr>
            <w:tcW w:w="386" w:type="pct"/>
          </w:tcPr>
          <w:p w14:paraId="239F3BE5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3491" w:type="pct"/>
          </w:tcPr>
          <w:p w14:paraId="2EC97E88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Nakup in gradnja osnovnih sredstev</w:t>
            </w:r>
          </w:p>
        </w:tc>
        <w:tc>
          <w:tcPr>
            <w:tcW w:w="1123" w:type="pct"/>
            <w:vAlign w:val="bottom"/>
          </w:tcPr>
          <w:p w14:paraId="52954875" w14:textId="0A3D1FF5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  <w:r w:rsidR="006022E7">
              <w:rPr>
                <w:rFonts w:cs="Arial"/>
                <w:color w:val="000000"/>
                <w:sz w:val="18"/>
                <w:szCs w:val="18"/>
              </w:rPr>
              <w:t>244.179</w:t>
            </w:r>
          </w:p>
        </w:tc>
      </w:tr>
      <w:tr w:rsidR="00397F22" w:rsidRPr="00397F22" w14:paraId="3C8316ED" w14:textId="77777777" w:rsidTr="00397F22">
        <w:tc>
          <w:tcPr>
            <w:tcW w:w="386" w:type="pct"/>
          </w:tcPr>
          <w:p w14:paraId="5AA48358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3491" w:type="pct"/>
          </w:tcPr>
          <w:p w14:paraId="744F9DCF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INVESTICIJSKI TRANSFERI</w:t>
            </w:r>
          </w:p>
        </w:tc>
        <w:tc>
          <w:tcPr>
            <w:tcW w:w="1123" w:type="pct"/>
            <w:vAlign w:val="bottom"/>
          </w:tcPr>
          <w:p w14:paraId="408DFB4B" w14:textId="3CE6924C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123.645</w:t>
            </w:r>
          </w:p>
        </w:tc>
      </w:tr>
      <w:tr w:rsidR="00397F22" w:rsidRPr="00F4623F" w14:paraId="0BD09506" w14:textId="77777777" w:rsidTr="00397F22">
        <w:tc>
          <w:tcPr>
            <w:tcW w:w="386" w:type="pct"/>
          </w:tcPr>
          <w:p w14:paraId="0C134F47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431</w:t>
            </w:r>
          </w:p>
        </w:tc>
        <w:tc>
          <w:tcPr>
            <w:tcW w:w="3491" w:type="pct"/>
          </w:tcPr>
          <w:p w14:paraId="5BD50DB7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Investicijski transferi pravnim in fizičnim osebam, ki niso proračunski uporabniki</w:t>
            </w:r>
          </w:p>
        </w:tc>
        <w:tc>
          <w:tcPr>
            <w:tcW w:w="1123" w:type="pct"/>
            <w:vAlign w:val="bottom"/>
          </w:tcPr>
          <w:p w14:paraId="49FB6E95" w14:textId="74874B1E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60.350</w:t>
            </w:r>
          </w:p>
        </w:tc>
      </w:tr>
      <w:tr w:rsidR="00397F22" w:rsidRPr="00F4623F" w14:paraId="2B8CA017" w14:textId="77777777" w:rsidTr="00397F22">
        <w:tc>
          <w:tcPr>
            <w:tcW w:w="386" w:type="pct"/>
          </w:tcPr>
          <w:p w14:paraId="5BF1C046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432</w:t>
            </w:r>
          </w:p>
        </w:tc>
        <w:tc>
          <w:tcPr>
            <w:tcW w:w="3491" w:type="pct"/>
          </w:tcPr>
          <w:p w14:paraId="646A2700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Investicijski transferi proračunskim uporabnikom</w:t>
            </w:r>
          </w:p>
        </w:tc>
        <w:tc>
          <w:tcPr>
            <w:tcW w:w="1123" w:type="pct"/>
            <w:vAlign w:val="bottom"/>
          </w:tcPr>
          <w:p w14:paraId="783B3348" w14:textId="0559B21E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63.295</w:t>
            </w:r>
          </w:p>
        </w:tc>
      </w:tr>
      <w:tr w:rsidR="00397F22" w:rsidRPr="00397F22" w14:paraId="36F5FE6C" w14:textId="77777777" w:rsidTr="00397F22">
        <w:tc>
          <w:tcPr>
            <w:tcW w:w="386" w:type="pct"/>
          </w:tcPr>
          <w:p w14:paraId="4CE66287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III.</w:t>
            </w:r>
          </w:p>
        </w:tc>
        <w:tc>
          <w:tcPr>
            <w:tcW w:w="3491" w:type="pct"/>
          </w:tcPr>
          <w:p w14:paraId="3D5EBC85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PRORAČUNSKI PRESEŽEK (PRIMANJKLJAJ)   (I. – II.)</w:t>
            </w:r>
          </w:p>
        </w:tc>
        <w:tc>
          <w:tcPr>
            <w:tcW w:w="1123" w:type="pct"/>
            <w:vAlign w:val="bottom"/>
          </w:tcPr>
          <w:p w14:paraId="1F846EB6" w14:textId="5D12D1E2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-581.426</w:t>
            </w:r>
          </w:p>
        </w:tc>
      </w:tr>
      <w:tr w:rsidR="00397F22" w:rsidRPr="00397F22" w14:paraId="0FA0A8A2" w14:textId="77777777" w:rsidTr="00397F22">
        <w:tc>
          <w:tcPr>
            <w:tcW w:w="386" w:type="pct"/>
          </w:tcPr>
          <w:p w14:paraId="162E3AFF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069A003D" w14:textId="77777777" w:rsidR="00397F22" w:rsidRPr="00397F22" w:rsidRDefault="00397F22" w:rsidP="00BE6AC5">
            <w:pPr>
              <w:numPr>
                <w:ilvl w:val="0"/>
                <w:numId w:val="6"/>
              </w:numPr>
              <w:jc w:val="center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RAČUN FINANČNIH TERJATEV IN NALOŽB</w:t>
            </w:r>
          </w:p>
        </w:tc>
        <w:tc>
          <w:tcPr>
            <w:tcW w:w="1123" w:type="pct"/>
            <w:vAlign w:val="bottom"/>
          </w:tcPr>
          <w:p w14:paraId="7EDABFDC" w14:textId="36FB1158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</w:p>
        </w:tc>
      </w:tr>
      <w:tr w:rsidR="00397F22" w:rsidRPr="00397F22" w14:paraId="763A7F92" w14:textId="77777777" w:rsidTr="00397F22">
        <w:tc>
          <w:tcPr>
            <w:tcW w:w="386" w:type="pct"/>
          </w:tcPr>
          <w:p w14:paraId="21720B52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IV.</w:t>
            </w:r>
          </w:p>
        </w:tc>
        <w:tc>
          <w:tcPr>
            <w:tcW w:w="3491" w:type="pct"/>
          </w:tcPr>
          <w:p w14:paraId="2F2912AB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PREJETA VRAČILA DANIH POSOJIL IN PRODAJA KAPITALSKIH DELEŽEV (750+751+752)</w:t>
            </w:r>
          </w:p>
        </w:tc>
        <w:tc>
          <w:tcPr>
            <w:tcW w:w="1123" w:type="pct"/>
            <w:vAlign w:val="bottom"/>
          </w:tcPr>
          <w:p w14:paraId="6754CC93" w14:textId="53748B8E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7F22" w:rsidRPr="00397F22" w14:paraId="02A1C2F7" w14:textId="77777777" w:rsidTr="00397F22">
        <w:tc>
          <w:tcPr>
            <w:tcW w:w="386" w:type="pct"/>
          </w:tcPr>
          <w:p w14:paraId="3D3CF58E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3491" w:type="pct"/>
          </w:tcPr>
          <w:p w14:paraId="66A5299E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 xml:space="preserve">PREJETA VRAČILA DANIH POSOJIL </w:t>
            </w:r>
          </w:p>
        </w:tc>
        <w:tc>
          <w:tcPr>
            <w:tcW w:w="1123" w:type="pct"/>
            <w:vAlign w:val="bottom"/>
          </w:tcPr>
          <w:p w14:paraId="16FB86CE" w14:textId="391AAD17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47C77C04" w14:textId="77777777" w:rsidTr="00397F22">
        <w:tc>
          <w:tcPr>
            <w:tcW w:w="386" w:type="pct"/>
          </w:tcPr>
          <w:p w14:paraId="12C1233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750</w:t>
            </w:r>
          </w:p>
        </w:tc>
        <w:tc>
          <w:tcPr>
            <w:tcW w:w="3491" w:type="pct"/>
          </w:tcPr>
          <w:p w14:paraId="1670081D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Prejeta vračila danih posojil</w:t>
            </w:r>
          </w:p>
        </w:tc>
        <w:tc>
          <w:tcPr>
            <w:tcW w:w="1123" w:type="pct"/>
            <w:vAlign w:val="bottom"/>
          </w:tcPr>
          <w:p w14:paraId="2D4A3D76" w14:textId="4F6F116A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17A77D6A" w14:textId="77777777" w:rsidTr="00397F22">
        <w:tc>
          <w:tcPr>
            <w:tcW w:w="386" w:type="pct"/>
          </w:tcPr>
          <w:p w14:paraId="4AED7866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751</w:t>
            </w:r>
          </w:p>
        </w:tc>
        <w:tc>
          <w:tcPr>
            <w:tcW w:w="3491" w:type="pct"/>
          </w:tcPr>
          <w:p w14:paraId="1330BDD2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Prodaja kapitalskih deležev</w:t>
            </w:r>
          </w:p>
        </w:tc>
        <w:tc>
          <w:tcPr>
            <w:tcW w:w="1123" w:type="pct"/>
            <w:vAlign w:val="bottom"/>
          </w:tcPr>
          <w:p w14:paraId="5F1B5A6A" w14:textId="72FBE2FA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78919EA1" w14:textId="77777777" w:rsidTr="00397F22">
        <w:tc>
          <w:tcPr>
            <w:tcW w:w="386" w:type="pct"/>
          </w:tcPr>
          <w:p w14:paraId="0F8301FC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752</w:t>
            </w:r>
          </w:p>
        </w:tc>
        <w:tc>
          <w:tcPr>
            <w:tcW w:w="3491" w:type="pct"/>
          </w:tcPr>
          <w:p w14:paraId="2FEFD60C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Kupnine iz naslova privatizacije</w:t>
            </w:r>
          </w:p>
        </w:tc>
        <w:tc>
          <w:tcPr>
            <w:tcW w:w="1123" w:type="pct"/>
            <w:vAlign w:val="bottom"/>
          </w:tcPr>
          <w:p w14:paraId="4026D26C" w14:textId="443F77FF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397F22" w14:paraId="0F184AE5" w14:textId="77777777" w:rsidTr="00397F22">
        <w:tc>
          <w:tcPr>
            <w:tcW w:w="386" w:type="pct"/>
          </w:tcPr>
          <w:p w14:paraId="057F8532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V.</w:t>
            </w:r>
          </w:p>
        </w:tc>
        <w:tc>
          <w:tcPr>
            <w:tcW w:w="3491" w:type="pct"/>
          </w:tcPr>
          <w:p w14:paraId="082588A3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DANA POSOJILA IN POVEČANJE KAPIALSKIH DELEŽEV (440+441+442+443)</w:t>
            </w:r>
          </w:p>
        </w:tc>
        <w:tc>
          <w:tcPr>
            <w:tcW w:w="1123" w:type="pct"/>
            <w:vAlign w:val="bottom"/>
          </w:tcPr>
          <w:p w14:paraId="783D7FAB" w14:textId="51EB501F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7F22" w:rsidRPr="00397F22" w14:paraId="775216C4" w14:textId="77777777" w:rsidTr="00397F22">
        <w:tc>
          <w:tcPr>
            <w:tcW w:w="386" w:type="pct"/>
          </w:tcPr>
          <w:p w14:paraId="31FDF907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3491" w:type="pct"/>
          </w:tcPr>
          <w:p w14:paraId="7747401B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DANA POSOJILA IN POVEČANJE KAPITALSKIH DELEŽEV</w:t>
            </w:r>
          </w:p>
        </w:tc>
        <w:tc>
          <w:tcPr>
            <w:tcW w:w="1123" w:type="pct"/>
            <w:vAlign w:val="bottom"/>
          </w:tcPr>
          <w:p w14:paraId="422F8CDF" w14:textId="4B6D90F9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4641DF43" w14:textId="77777777" w:rsidTr="00397F22">
        <w:tc>
          <w:tcPr>
            <w:tcW w:w="386" w:type="pct"/>
          </w:tcPr>
          <w:p w14:paraId="23404A73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440</w:t>
            </w:r>
          </w:p>
        </w:tc>
        <w:tc>
          <w:tcPr>
            <w:tcW w:w="3491" w:type="pct"/>
          </w:tcPr>
          <w:p w14:paraId="7474F152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Dana posojila</w:t>
            </w:r>
          </w:p>
        </w:tc>
        <w:tc>
          <w:tcPr>
            <w:tcW w:w="1123" w:type="pct"/>
            <w:vAlign w:val="bottom"/>
          </w:tcPr>
          <w:p w14:paraId="5CB154CA" w14:textId="455F86E2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4BF83870" w14:textId="77777777" w:rsidTr="00397F22">
        <w:tc>
          <w:tcPr>
            <w:tcW w:w="386" w:type="pct"/>
          </w:tcPr>
          <w:p w14:paraId="681EF065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441</w:t>
            </w:r>
          </w:p>
        </w:tc>
        <w:tc>
          <w:tcPr>
            <w:tcW w:w="3491" w:type="pct"/>
          </w:tcPr>
          <w:p w14:paraId="05F9317B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Povečanje kapitalskih deležev in finančnih naložb</w:t>
            </w:r>
          </w:p>
        </w:tc>
        <w:tc>
          <w:tcPr>
            <w:tcW w:w="1123" w:type="pct"/>
            <w:vAlign w:val="bottom"/>
          </w:tcPr>
          <w:p w14:paraId="438C3A59" w14:textId="7CC6718D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73586BB8" w14:textId="77777777" w:rsidTr="00397F22">
        <w:tc>
          <w:tcPr>
            <w:tcW w:w="386" w:type="pct"/>
          </w:tcPr>
          <w:p w14:paraId="0C9A07A4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442</w:t>
            </w:r>
          </w:p>
        </w:tc>
        <w:tc>
          <w:tcPr>
            <w:tcW w:w="3491" w:type="pct"/>
          </w:tcPr>
          <w:p w14:paraId="0C23E816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Poraba sredstev kupnin iz naslova privatizacije</w:t>
            </w:r>
          </w:p>
        </w:tc>
        <w:tc>
          <w:tcPr>
            <w:tcW w:w="1123" w:type="pct"/>
            <w:vAlign w:val="bottom"/>
          </w:tcPr>
          <w:p w14:paraId="2A6C1D23" w14:textId="63FF2C2D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F4623F" w14:paraId="75A56CCD" w14:textId="77777777" w:rsidTr="00397F22">
        <w:tc>
          <w:tcPr>
            <w:tcW w:w="386" w:type="pct"/>
          </w:tcPr>
          <w:p w14:paraId="2229617D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443</w:t>
            </w:r>
          </w:p>
        </w:tc>
        <w:tc>
          <w:tcPr>
            <w:tcW w:w="3491" w:type="pct"/>
          </w:tcPr>
          <w:p w14:paraId="288DC4C4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Povečanje namenskega premoženja v javnih skladih in drugih osebah javnega prava, ki imajo premoženje v svoji lasti</w:t>
            </w:r>
          </w:p>
        </w:tc>
        <w:tc>
          <w:tcPr>
            <w:tcW w:w="1123" w:type="pct"/>
            <w:vAlign w:val="bottom"/>
          </w:tcPr>
          <w:p w14:paraId="5EB10E62" w14:textId="4F4EA139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97F22" w:rsidRPr="00397F22" w14:paraId="0D2974B2" w14:textId="77777777" w:rsidTr="00397F22">
        <w:tc>
          <w:tcPr>
            <w:tcW w:w="386" w:type="pct"/>
          </w:tcPr>
          <w:p w14:paraId="664BF25A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VI.</w:t>
            </w:r>
          </w:p>
        </w:tc>
        <w:tc>
          <w:tcPr>
            <w:tcW w:w="3491" w:type="pct"/>
          </w:tcPr>
          <w:p w14:paraId="0A9D4688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PREJETA MINUS DANA POSOJILA IN SPREMEMBE KAPITALSKIH DELEŽEV (IV.-V.)</w:t>
            </w:r>
          </w:p>
        </w:tc>
        <w:tc>
          <w:tcPr>
            <w:tcW w:w="1123" w:type="pct"/>
            <w:vAlign w:val="bottom"/>
          </w:tcPr>
          <w:p w14:paraId="104F5B60" w14:textId="168BF09C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7F22" w:rsidRPr="00397F22" w14:paraId="2346B1FC" w14:textId="77777777" w:rsidTr="00397F22">
        <w:tc>
          <w:tcPr>
            <w:tcW w:w="386" w:type="pct"/>
          </w:tcPr>
          <w:p w14:paraId="0A6E9680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4F906B11" w14:textId="77777777" w:rsidR="00397F22" w:rsidRPr="00397F22" w:rsidRDefault="00397F22" w:rsidP="00BE6AC5">
            <w:pPr>
              <w:numPr>
                <w:ilvl w:val="0"/>
                <w:numId w:val="6"/>
              </w:numPr>
              <w:jc w:val="center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RAČUN FINANCIRANJA</w:t>
            </w:r>
          </w:p>
        </w:tc>
        <w:tc>
          <w:tcPr>
            <w:tcW w:w="1123" w:type="pct"/>
            <w:vAlign w:val="bottom"/>
          </w:tcPr>
          <w:p w14:paraId="456A6012" w14:textId="58D521AD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</w:p>
        </w:tc>
      </w:tr>
      <w:tr w:rsidR="00397F22" w:rsidRPr="00397F22" w14:paraId="7F14EECB" w14:textId="77777777" w:rsidTr="00397F22">
        <w:tc>
          <w:tcPr>
            <w:tcW w:w="386" w:type="pct"/>
          </w:tcPr>
          <w:p w14:paraId="6A26C991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VII.</w:t>
            </w:r>
          </w:p>
        </w:tc>
        <w:tc>
          <w:tcPr>
            <w:tcW w:w="3491" w:type="pct"/>
          </w:tcPr>
          <w:p w14:paraId="6D0FA247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ZADOLŽEVANJE (500+501)</w:t>
            </w:r>
          </w:p>
        </w:tc>
        <w:tc>
          <w:tcPr>
            <w:tcW w:w="1123" w:type="pct"/>
            <w:vAlign w:val="bottom"/>
          </w:tcPr>
          <w:p w14:paraId="67E3176D" w14:textId="67EA23D1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777.526</w:t>
            </w:r>
          </w:p>
        </w:tc>
      </w:tr>
      <w:tr w:rsidR="00397F22" w:rsidRPr="00397F22" w14:paraId="1451C35C" w14:textId="77777777" w:rsidTr="00397F22">
        <w:tc>
          <w:tcPr>
            <w:tcW w:w="386" w:type="pct"/>
          </w:tcPr>
          <w:p w14:paraId="6119E2C5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3491" w:type="pct"/>
          </w:tcPr>
          <w:p w14:paraId="391D97AD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ZADOLŽEVANJE</w:t>
            </w:r>
          </w:p>
        </w:tc>
        <w:tc>
          <w:tcPr>
            <w:tcW w:w="1123" w:type="pct"/>
            <w:vAlign w:val="bottom"/>
          </w:tcPr>
          <w:p w14:paraId="2E60E0AF" w14:textId="1C6CFC18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777.526</w:t>
            </w:r>
          </w:p>
        </w:tc>
      </w:tr>
      <w:tr w:rsidR="00397F22" w:rsidRPr="00F4623F" w14:paraId="621FA1CD" w14:textId="77777777" w:rsidTr="00397F22">
        <w:tc>
          <w:tcPr>
            <w:tcW w:w="386" w:type="pct"/>
          </w:tcPr>
          <w:p w14:paraId="1FC06C8D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500</w:t>
            </w:r>
          </w:p>
        </w:tc>
        <w:tc>
          <w:tcPr>
            <w:tcW w:w="3491" w:type="pct"/>
          </w:tcPr>
          <w:p w14:paraId="341125AE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Domače zadolževanje</w:t>
            </w:r>
          </w:p>
        </w:tc>
        <w:tc>
          <w:tcPr>
            <w:tcW w:w="1123" w:type="pct"/>
            <w:vAlign w:val="bottom"/>
          </w:tcPr>
          <w:p w14:paraId="54907B2E" w14:textId="1C0FDF2A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777.526</w:t>
            </w:r>
          </w:p>
        </w:tc>
      </w:tr>
      <w:tr w:rsidR="00397F22" w:rsidRPr="00397F22" w14:paraId="0EC324EC" w14:textId="77777777" w:rsidTr="00397F22">
        <w:tc>
          <w:tcPr>
            <w:tcW w:w="386" w:type="pct"/>
          </w:tcPr>
          <w:p w14:paraId="728F1FDE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VIII.</w:t>
            </w:r>
          </w:p>
        </w:tc>
        <w:tc>
          <w:tcPr>
            <w:tcW w:w="3491" w:type="pct"/>
          </w:tcPr>
          <w:p w14:paraId="77C68526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ODPLAČILA DOLGA (550+551)</w:t>
            </w:r>
          </w:p>
        </w:tc>
        <w:tc>
          <w:tcPr>
            <w:tcW w:w="1123" w:type="pct"/>
            <w:vAlign w:val="bottom"/>
          </w:tcPr>
          <w:p w14:paraId="34B04CAC" w14:textId="27F11BCF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226.000</w:t>
            </w:r>
          </w:p>
        </w:tc>
      </w:tr>
      <w:tr w:rsidR="00397F22" w:rsidRPr="00397F22" w14:paraId="78F8611E" w14:textId="77777777" w:rsidTr="00397F22">
        <w:tc>
          <w:tcPr>
            <w:tcW w:w="386" w:type="pct"/>
          </w:tcPr>
          <w:p w14:paraId="6F6C3551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3491" w:type="pct"/>
          </w:tcPr>
          <w:p w14:paraId="25465E7C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ODPLAČILA DOLGA</w:t>
            </w:r>
          </w:p>
        </w:tc>
        <w:tc>
          <w:tcPr>
            <w:tcW w:w="1123" w:type="pct"/>
            <w:vAlign w:val="bottom"/>
          </w:tcPr>
          <w:p w14:paraId="6C4CA623" w14:textId="67C4ADF6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226.000</w:t>
            </w:r>
          </w:p>
        </w:tc>
      </w:tr>
      <w:tr w:rsidR="00397F22" w:rsidRPr="00F4623F" w14:paraId="5F24ABF8" w14:textId="77777777" w:rsidTr="00397F22">
        <w:tc>
          <w:tcPr>
            <w:tcW w:w="386" w:type="pct"/>
          </w:tcPr>
          <w:p w14:paraId="6BB2B402" w14:textId="77777777" w:rsidR="00397F22" w:rsidRPr="00F4623F" w:rsidRDefault="00397F22" w:rsidP="00BE6AC5">
            <w:pPr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550</w:t>
            </w:r>
          </w:p>
        </w:tc>
        <w:tc>
          <w:tcPr>
            <w:tcW w:w="3491" w:type="pct"/>
          </w:tcPr>
          <w:p w14:paraId="41B09129" w14:textId="77777777" w:rsidR="00397F22" w:rsidRPr="00F4623F" w:rsidRDefault="00397F22" w:rsidP="00BE6AC5">
            <w:pPr>
              <w:jc w:val="left"/>
              <w:rPr>
                <w:rFonts w:cs="Arial"/>
                <w:sz w:val="18"/>
                <w:szCs w:val="18"/>
                <w:lang w:eastAsia="sl-SI"/>
              </w:rPr>
            </w:pPr>
            <w:r w:rsidRPr="00F4623F">
              <w:rPr>
                <w:rFonts w:cs="Arial"/>
                <w:sz w:val="18"/>
                <w:szCs w:val="18"/>
                <w:lang w:eastAsia="sl-SI"/>
              </w:rPr>
              <w:t>Odplačila domačega dolga</w:t>
            </w:r>
          </w:p>
        </w:tc>
        <w:tc>
          <w:tcPr>
            <w:tcW w:w="1123" w:type="pct"/>
            <w:vAlign w:val="bottom"/>
          </w:tcPr>
          <w:p w14:paraId="1A0F5B2E" w14:textId="7F52A76E" w:rsidR="00397F22" w:rsidRPr="000A0A15" w:rsidRDefault="00397F22" w:rsidP="00397F22">
            <w:pPr>
              <w:jc w:val="right"/>
              <w:rPr>
                <w:rFonts w:cs="Arial"/>
                <w:color w:val="000000"/>
                <w:sz w:val="18"/>
                <w:szCs w:val="18"/>
                <w:highlight w:val="cyan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226.000</w:t>
            </w:r>
          </w:p>
        </w:tc>
      </w:tr>
      <w:tr w:rsidR="00397F22" w:rsidRPr="00397F22" w14:paraId="2783B0E8" w14:textId="77777777" w:rsidTr="00397F22">
        <w:tc>
          <w:tcPr>
            <w:tcW w:w="386" w:type="pct"/>
          </w:tcPr>
          <w:p w14:paraId="1CE6342B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IX.</w:t>
            </w:r>
          </w:p>
        </w:tc>
        <w:tc>
          <w:tcPr>
            <w:tcW w:w="3491" w:type="pct"/>
          </w:tcPr>
          <w:p w14:paraId="466C1EC0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POVEČANJE (ZMANJŠANJE) SREDSTEV NA RAČUNU (I.+IV.+VII.-II.-V.-VIII.)</w:t>
            </w:r>
          </w:p>
        </w:tc>
        <w:tc>
          <w:tcPr>
            <w:tcW w:w="1123" w:type="pct"/>
            <w:vAlign w:val="bottom"/>
          </w:tcPr>
          <w:p w14:paraId="0B6A0954" w14:textId="20EE2AD6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-29.900</w:t>
            </w:r>
          </w:p>
        </w:tc>
      </w:tr>
      <w:tr w:rsidR="00397F22" w:rsidRPr="00397F22" w14:paraId="6C2E3F53" w14:textId="77777777" w:rsidTr="00397F22">
        <w:tc>
          <w:tcPr>
            <w:tcW w:w="386" w:type="pct"/>
          </w:tcPr>
          <w:p w14:paraId="02267BB1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X.</w:t>
            </w:r>
          </w:p>
        </w:tc>
        <w:tc>
          <w:tcPr>
            <w:tcW w:w="3491" w:type="pct"/>
          </w:tcPr>
          <w:p w14:paraId="1963ECC0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NETO ZADOLŽEVANJE (VII.-VIII.)</w:t>
            </w:r>
          </w:p>
        </w:tc>
        <w:tc>
          <w:tcPr>
            <w:tcW w:w="1123" w:type="pct"/>
            <w:vAlign w:val="bottom"/>
          </w:tcPr>
          <w:p w14:paraId="2A32970B" w14:textId="6BEE2197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551.526</w:t>
            </w:r>
          </w:p>
        </w:tc>
      </w:tr>
      <w:tr w:rsidR="00397F22" w:rsidRPr="00397F22" w14:paraId="45478226" w14:textId="77777777" w:rsidTr="00397F22">
        <w:tc>
          <w:tcPr>
            <w:tcW w:w="386" w:type="pct"/>
          </w:tcPr>
          <w:p w14:paraId="45405288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XI.</w:t>
            </w:r>
          </w:p>
        </w:tc>
        <w:tc>
          <w:tcPr>
            <w:tcW w:w="3491" w:type="pct"/>
          </w:tcPr>
          <w:p w14:paraId="4FAAFD27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NETO FINANCIRANJE (VI.+VII.-VIII.-IX.)</w:t>
            </w:r>
          </w:p>
        </w:tc>
        <w:tc>
          <w:tcPr>
            <w:tcW w:w="1123" w:type="pct"/>
            <w:vAlign w:val="bottom"/>
          </w:tcPr>
          <w:p w14:paraId="361D87DA" w14:textId="298B937F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581.426</w:t>
            </w:r>
          </w:p>
        </w:tc>
      </w:tr>
      <w:tr w:rsidR="00397F22" w:rsidRPr="00397F22" w14:paraId="6C0FFAEB" w14:textId="77777777" w:rsidTr="00397F22">
        <w:tc>
          <w:tcPr>
            <w:tcW w:w="386" w:type="pct"/>
          </w:tcPr>
          <w:p w14:paraId="6358B801" w14:textId="77777777" w:rsidR="00397F22" w:rsidRPr="00397F22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5D97F426" w14:textId="77777777" w:rsidR="00397F22" w:rsidRPr="00397F22" w:rsidRDefault="00397F22" w:rsidP="00BE6AC5">
            <w:pPr>
              <w:jc w:val="left"/>
              <w:rPr>
                <w:rFonts w:cs="Arial"/>
                <w:b/>
                <w:sz w:val="18"/>
                <w:szCs w:val="18"/>
                <w:lang w:eastAsia="sl-SI"/>
              </w:rPr>
            </w:pPr>
            <w:r w:rsidRPr="00397F22">
              <w:rPr>
                <w:rFonts w:cs="Arial"/>
                <w:b/>
                <w:sz w:val="18"/>
                <w:szCs w:val="18"/>
                <w:lang w:eastAsia="sl-SI"/>
              </w:rPr>
              <w:t>STANJE SREDSTEV NA RAČUNU NA DAN 31. 12. PRETEKLEGA LETA</w:t>
            </w:r>
          </w:p>
        </w:tc>
        <w:tc>
          <w:tcPr>
            <w:tcW w:w="1123" w:type="pct"/>
            <w:vAlign w:val="bottom"/>
          </w:tcPr>
          <w:p w14:paraId="3E8302B4" w14:textId="6AA62981" w:rsidR="00397F22" w:rsidRPr="00397F22" w:rsidRDefault="00397F22" w:rsidP="00397F22">
            <w:pPr>
              <w:jc w:val="right"/>
              <w:rPr>
                <w:rFonts w:cs="Arial"/>
                <w:b/>
                <w:color w:val="000000"/>
                <w:sz w:val="18"/>
                <w:szCs w:val="18"/>
                <w:highlight w:val="cyan"/>
                <w:lang w:eastAsia="sl-SI"/>
              </w:rPr>
            </w:pPr>
            <w:r w:rsidRPr="00397F22">
              <w:rPr>
                <w:rFonts w:cs="Arial"/>
                <w:b/>
                <w:color w:val="000000"/>
                <w:sz w:val="18"/>
                <w:szCs w:val="18"/>
              </w:rPr>
              <w:t>29.900</w:t>
            </w:r>
          </w:p>
        </w:tc>
      </w:tr>
      <w:tr w:rsidR="00397F22" w:rsidRPr="00F4623F" w14:paraId="35D7C8D4" w14:textId="77777777" w:rsidTr="00397F22">
        <w:tc>
          <w:tcPr>
            <w:tcW w:w="386" w:type="pct"/>
          </w:tcPr>
          <w:p w14:paraId="3C19F040" w14:textId="77777777" w:rsidR="00397F22" w:rsidRPr="00F4623F" w:rsidRDefault="00397F22" w:rsidP="00BE6AC5">
            <w:pPr>
              <w:jc w:val="right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491" w:type="pct"/>
          </w:tcPr>
          <w:p w14:paraId="4A2289DC" w14:textId="77777777" w:rsidR="00397F22" w:rsidRPr="00F4623F" w:rsidRDefault="00397F22" w:rsidP="00BE6AC5">
            <w:pPr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123" w:type="pct"/>
            <w:vAlign w:val="bottom"/>
          </w:tcPr>
          <w:p w14:paraId="29F4479D" w14:textId="0379D958" w:rsidR="00397F22" w:rsidRDefault="00397F22" w:rsidP="00397F22">
            <w:pPr>
              <w:jc w:val="right"/>
              <w:rPr>
                <w:rFonts w:cs="Arial"/>
                <w:color w:val="FF0000"/>
                <w:sz w:val="18"/>
                <w:szCs w:val="18"/>
                <w:lang w:eastAsia="sl-SI"/>
              </w:rPr>
            </w:pPr>
          </w:p>
        </w:tc>
      </w:tr>
      <w:bookmarkEnd w:id="0"/>
    </w:tbl>
    <w:p w14:paraId="32403A31" w14:textId="77777777" w:rsidR="00F4623F" w:rsidRPr="00983A8D" w:rsidRDefault="00F462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5054716" w14:textId="77777777" w:rsidR="003D379B" w:rsidRPr="00983A8D" w:rsidRDefault="003D379B">
      <w:pPr>
        <w:pStyle w:val="Naslov1"/>
        <w:rPr>
          <w:b w:val="0"/>
          <w:snapToGrid/>
          <w:sz w:val="16"/>
          <w:lang w:val="sl-SI"/>
        </w:rPr>
      </w:pPr>
    </w:p>
    <w:p w14:paraId="1684F64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Posebni del proračuna sestavljajo finančni načrti neposrednih uporabnikov, ki so razdeljeni na naslednje programske dele: področja proračunske porabe, glavne programe in podprograme, predpisane s programsko klasifikacijo izdatkov občinskih proračunov. Podprogram je razdeljen na proračunske postavke, te pa na </w:t>
      </w:r>
      <w:r w:rsidR="00FE6CB9" w:rsidRPr="00983A8D">
        <w:rPr>
          <w:sz w:val="20"/>
        </w:rPr>
        <w:t xml:space="preserve">podskupine kontov in konte, </w:t>
      </w:r>
      <w:r w:rsidRPr="00983A8D">
        <w:rPr>
          <w:sz w:val="20"/>
        </w:rPr>
        <w:t>določene s predpisanim kontnim načrtom.</w:t>
      </w:r>
    </w:p>
    <w:p w14:paraId="05E9C39D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7402172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Posebni del proračuna do ravni proračunskih postavk </w:t>
      </w:r>
      <w:r w:rsidR="00FF64BA">
        <w:rPr>
          <w:sz w:val="20"/>
        </w:rPr>
        <w:t xml:space="preserve">– </w:t>
      </w:r>
      <w:r w:rsidR="00D42044">
        <w:rPr>
          <w:sz w:val="20"/>
        </w:rPr>
        <w:t>kon</w:t>
      </w:r>
      <w:r w:rsidRPr="00983A8D">
        <w:rPr>
          <w:sz w:val="20"/>
        </w:rPr>
        <w:t>tov in načrt razvojnih programov sta prilogi k temu odloku in se objavita na spletni strani Občine</w:t>
      </w:r>
      <w:r w:rsidR="00D74027" w:rsidRPr="00983A8D">
        <w:rPr>
          <w:sz w:val="20"/>
        </w:rPr>
        <w:t xml:space="preserve"> Oplotnica </w:t>
      </w:r>
      <w:r w:rsidR="00FF64BA">
        <w:rPr>
          <w:sz w:val="20"/>
        </w:rPr>
        <w:t>(</w:t>
      </w:r>
      <w:r w:rsidR="00FB6055" w:rsidRPr="00FF64BA">
        <w:rPr>
          <w:sz w:val="20"/>
        </w:rPr>
        <w:t>www.oplotnica.si</w:t>
      </w:r>
      <w:r w:rsidR="00FF64BA">
        <w:rPr>
          <w:sz w:val="20"/>
        </w:rPr>
        <w:t>)</w:t>
      </w:r>
      <w:r w:rsidRPr="00983A8D">
        <w:rPr>
          <w:sz w:val="20"/>
        </w:rPr>
        <w:t>.</w:t>
      </w:r>
    </w:p>
    <w:p w14:paraId="0F3E369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0C0099A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Načrt razvojnih programov sestavljajo projekti.</w:t>
      </w:r>
    </w:p>
    <w:p w14:paraId="423D4A3D" w14:textId="77777777" w:rsidR="00DB0B19" w:rsidRDefault="00DB0B19" w:rsidP="00DB0B1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455D236" w14:textId="77777777" w:rsidR="00FF64BA" w:rsidRPr="00983A8D" w:rsidRDefault="00FF64BA" w:rsidP="00DB0B1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2B6E4978" w14:textId="77777777" w:rsidR="003D379B" w:rsidRPr="00983A8D" w:rsidRDefault="00DB0B19" w:rsidP="00DB0B1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3. </w:t>
      </w:r>
      <w:r w:rsidR="003D379B" w:rsidRPr="00983A8D">
        <w:rPr>
          <w:sz w:val="20"/>
        </w:rPr>
        <w:t>POSTOPKI IZVRŠEVANJA PRORAČUNA</w:t>
      </w:r>
    </w:p>
    <w:p w14:paraId="410550F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400F64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3. člen</w:t>
      </w:r>
    </w:p>
    <w:p w14:paraId="33F562C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(izvrševanje proračuna)</w:t>
      </w:r>
    </w:p>
    <w:p w14:paraId="67DC3E3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360"/>
        <w:jc w:val="center"/>
        <w:rPr>
          <w:sz w:val="20"/>
        </w:rPr>
      </w:pPr>
    </w:p>
    <w:p w14:paraId="074BCBD4" w14:textId="77777777" w:rsidR="00C37FDA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 xml:space="preserve">V tekočem letu se izvršuje proračun tekočega leta. </w:t>
      </w:r>
    </w:p>
    <w:p w14:paraId="01D7438F" w14:textId="77777777" w:rsidR="00C37FDA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A4779A0" w14:textId="77777777" w:rsidR="00C37FDA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 xml:space="preserve">Proračun se izvršuje skladno z določbami zakona, ki ureja javne finance in podzakonskimi predpisi, izdanimi na njegovi podlagi, in tega odloka. </w:t>
      </w:r>
    </w:p>
    <w:p w14:paraId="6311BD33" w14:textId="77777777" w:rsidR="00C37FDA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A9448B6" w14:textId="77777777" w:rsidR="003D379B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Proračun se izvršuje na ravni proračunske postavke</w:t>
      </w:r>
      <w:r w:rsidR="00FF64BA">
        <w:rPr>
          <w:sz w:val="20"/>
        </w:rPr>
        <w:t xml:space="preserve"> –</w:t>
      </w:r>
      <w:r w:rsidR="00FE6CB9" w:rsidRPr="00983A8D">
        <w:rPr>
          <w:sz w:val="20"/>
        </w:rPr>
        <w:t xml:space="preserve"> </w:t>
      </w:r>
      <w:proofErr w:type="spellStart"/>
      <w:r w:rsidR="00FE6CB9" w:rsidRPr="00983A8D">
        <w:rPr>
          <w:sz w:val="20"/>
        </w:rPr>
        <w:t>pod</w:t>
      </w:r>
      <w:r w:rsidRPr="00983A8D">
        <w:rPr>
          <w:sz w:val="20"/>
        </w:rPr>
        <w:t>konta</w:t>
      </w:r>
      <w:proofErr w:type="spellEnd"/>
      <w:r w:rsidR="00FE6CB9" w:rsidRPr="00983A8D">
        <w:rPr>
          <w:sz w:val="20"/>
        </w:rPr>
        <w:t>.</w:t>
      </w:r>
    </w:p>
    <w:p w14:paraId="65B63945" w14:textId="77777777" w:rsidR="00C37FDA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ABFED07" w14:textId="77777777" w:rsidR="00C37FDA" w:rsidRPr="00983A8D" w:rsidRDefault="00C37FD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 xml:space="preserve">Veljavni načrt razvojnih programov tekočega leta mora biti za tekoče leto usklajen z veljavnim proračunom. </w:t>
      </w:r>
    </w:p>
    <w:p w14:paraId="4FF4DAAB" w14:textId="77777777" w:rsidR="00FE6CB9" w:rsidRPr="00983A8D" w:rsidRDefault="00FE6CB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7F75A3A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4. člen</w:t>
      </w:r>
    </w:p>
    <w:p w14:paraId="5F13BC65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(namenski prihodki in odhodki proračuna)</w:t>
      </w:r>
    </w:p>
    <w:p w14:paraId="132F453D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14:paraId="177FE0C5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Namenski prihodki proračuna so poleg prihodkov, določenih v prvem stavku prvega odstavka 43. člena ZJF, </w:t>
      </w:r>
      <w:r w:rsidR="00B6122C">
        <w:rPr>
          <w:sz w:val="20"/>
        </w:rPr>
        <w:t xml:space="preserve">in prvem odstavku 80. člena ZJF, </w:t>
      </w:r>
      <w:r w:rsidRPr="00983A8D">
        <w:rPr>
          <w:sz w:val="20"/>
        </w:rPr>
        <w:t>tudi naslednji prihodki:</w:t>
      </w:r>
    </w:p>
    <w:p w14:paraId="1FDEB478" w14:textId="77777777" w:rsidR="00D74027" w:rsidRPr="00983A8D" w:rsidRDefault="00217086" w:rsidP="00FF64BA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prihodki požarne takse po 59. č</w:t>
      </w:r>
      <w:r w:rsidR="00D74027" w:rsidRPr="00983A8D">
        <w:rPr>
          <w:sz w:val="20"/>
        </w:rPr>
        <w:t xml:space="preserve">lenu Zakona o varstvu pred požarom </w:t>
      </w:r>
      <w:r w:rsidR="00FF64BA" w:rsidRPr="00FF64BA">
        <w:rPr>
          <w:sz w:val="20"/>
        </w:rPr>
        <w:t xml:space="preserve">(Uradni list RS, št. 3/07 – </w:t>
      </w:r>
      <w:r w:rsidR="00FF64BA">
        <w:rPr>
          <w:sz w:val="20"/>
        </w:rPr>
        <w:t>UPB</w:t>
      </w:r>
      <w:r w:rsidR="00FF64BA" w:rsidRPr="00FF64BA">
        <w:rPr>
          <w:sz w:val="20"/>
        </w:rPr>
        <w:t xml:space="preserve">, </w:t>
      </w:r>
      <w:r w:rsidR="00FF64BA">
        <w:rPr>
          <w:sz w:val="20"/>
        </w:rPr>
        <w:t xml:space="preserve"> </w:t>
      </w:r>
      <w:r w:rsidR="00FF64BA" w:rsidRPr="00FF64BA">
        <w:rPr>
          <w:sz w:val="20"/>
        </w:rPr>
        <w:t>9/11 in 83/12)</w:t>
      </w:r>
    </w:p>
    <w:p w14:paraId="3DBE1D56" w14:textId="77777777" w:rsidR="00D74027" w:rsidRPr="00983A8D" w:rsidRDefault="00D74027" w:rsidP="00D74027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prihodki od taks za onesnaževanje okolja zaradi odvajanja odpadnih voda,</w:t>
      </w:r>
    </w:p>
    <w:p w14:paraId="4178397E" w14:textId="53A587F6" w:rsidR="00D74027" w:rsidRDefault="00D74027" w:rsidP="00D74027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prihodki od komunalnih prispevkov.</w:t>
      </w:r>
    </w:p>
    <w:p w14:paraId="105DD10C" w14:textId="5B860AE7" w:rsidR="00395BE6" w:rsidRPr="00E92502" w:rsidRDefault="00395BE6" w:rsidP="00395BE6">
      <w:pPr>
        <w:pStyle w:val="Telobesedila"/>
        <w:numPr>
          <w:ilvl w:val="0"/>
          <w:numId w:val="3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E92502">
        <w:rPr>
          <w:sz w:val="20"/>
        </w:rPr>
        <w:t>prihodki od najemnin za poslovne prostore</w:t>
      </w:r>
    </w:p>
    <w:p w14:paraId="3C427B07" w14:textId="77777777" w:rsidR="00D74027" w:rsidRPr="00983A8D" w:rsidRDefault="00D74027" w:rsidP="00D7402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</w:p>
    <w:p w14:paraId="5D7696BB" w14:textId="77777777" w:rsidR="007B6D01" w:rsidRPr="00983A8D" w:rsidRDefault="003D379B" w:rsidP="007B6D0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Pravice porabe na proračunski</w:t>
      </w:r>
      <w:r w:rsidR="007B6D01" w:rsidRPr="00983A8D">
        <w:rPr>
          <w:sz w:val="20"/>
        </w:rPr>
        <w:t>h  postavkah</w:t>
      </w:r>
    </w:p>
    <w:p w14:paraId="29815FF2" w14:textId="77777777" w:rsidR="00DE301E" w:rsidRPr="00983A8D" w:rsidRDefault="004003F7" w:rsidP="004003F7">
      <w:pPr>
        <w:pStyle w:val="Telobesedila"/>
        <w:numPr>
          <w:ilvl w:val="0"/>
          <w:numId w:val="4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</w:t>
      </w:r>
      <w:r w:rsidR="00DE301E" w:rsidRPr="00983A8D">
        <w:rPr>
          <w:sz w:val="20"/>
        </w:rPr>
        <w:t xml:space="preserve">d prihodkov od požarne takse </w:t>
      </w:r>
    </w:p>
    <w:p w14:paraId="634AA2D9" w14:textId="77777777" w:rsidR="004144EE" w:rsidRDefault="002B3BA0" w:rsidP="004144E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 w:rsidRPr="00983A8D">
        <w:rPr>
          <w:sz w:val="20"/>
        </w:rPr>
        <w:t xml:space="preserve"> </w:t>
      </w:r>
      <w:r w:rsidR="00DE301E" w:rsidRPr="00983A8D">
        <w:rPr>
          <w:sz w:val="20"/>
        </w:rPr>
        <w:t xml:space="preserve"> </w:t>
      </w:r>
      <w:r w:rsidR="004003F7" w:rsidRPr="00983A8D">
        <w:rPr>
          <w:sz w:val="20"/>
        </w:rPr>
        <w:t xml:space="preserve">p.p. 0022000 </w:t>
      </w:r>
      <w:r w:rsidR="00FF64BA">
        <w:rPr>
          <w:sz w:val="20"/>
        </w:rPr>
        <w:t>–</w:t>
      </w:r>
      <w:r w:rsidR="004003F7" w:rsidRPr="00983A8D">
        <w:rPr>
          <w:sz w:val="20"/>
        </w:rPr>
        <w:t xml:space="preserve"> oprema in tehnična sredstva civilne zaščite</w:t>
      </w:r>
      <w:r w:rsidR="007369FF">
        <w:rPr>
          <w:sz w:val="20"/>
        </w:rPr>
        <w:t>;</w:t>
      </w:r>
    </w:p>
    <w:p w14:paraId="41565A2A" w14:textId="77777777" w:rsidR="007369FF" w:rsidRDefault="007369FF" w:rsidP="007369FF">
      <w:pPr>
        <w:pStyle w:val="Telobesedila"/>
        <w:numPr>
          <w:ilvl w:val="0"/>
          <w:numId w:val="4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>od prihodkov okoljske dajatve</w:t>
      </w:r>
      <w:r w:rsidRPr="00983A8D">
        <w:rPr>
          <w:sz w:val="20"/>
        </w:rPr>
        <w:t xml:space="preserve"> za onesnaževanje okolja zaradi odvajanja odpadnih voda </w:t>
      </w:r>
    </w:p>
    <w:p w14:paraId="28CDD659" w14:textId="69DDA450" w:rsidR="007369FF" w:rsidRDefault="007369FF" w:rsidP="007369F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>
        <w:rPr>
          <w:sz w:val="20"/>
        </w:rPr>
        <w:t xml:space="preserve">  p.p. 0043150 – kanalizacija, konto 4</w:t>
      </w:r>
      <w:r w:rsidR="00E92502">
        <w:rPr>
          <w:sz w:val="20"/>
        </w:rPr>
        <w:t>31400</w:t>
      </w:r>
      <w:r>
        <w:rPr>
          <w:sz w:val="20"/>
        </w:rPr>
        <w:t xml:space="preserve"> – </w:t>
      </w:r>
      <w:r w:rsidR="00E92502">
        <w:rPr>
          <w:sz w:val="20"/>
        </w:rPr>
        <w:t>investicijski transferi posameznikom in zasebnikom</w:t>
      </w:r>
      <w:r>
        <w:rPr>
          <w:sz w:val="20"/>
        </w:rPr>
        <w:t>;</w:t>
      </w:r>
    </w:p>
    <w:p w14:paraId="0126C19A" w14:textId="023A099D" w:rsidR="007369FF" w:rsidRPr="00983A8D" w:rsidRDefault="009E3A04" w:rsidP="003E523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>
        <w:rPr>
          <w:sz w:val="20"/>
        </w:rPr>
        <w:t xml:space="preserve">  </w:t>
      </w:r>
      <w:proofErr w:type="spellStart"/>
      <w:r w:rsidR="00C37FDA">
        <w:rPr>
          <w:sz w:val="20"/>
        </w:rPr>
        <w:t>p.p</w:t>
      </w:r>
      <w:proofErr w:type="spellEnd"/>
      <w:r w:rsidR="00C37FDA">
        <w:rPr>
          <w:sz w:val="20"/>
        </w:rPr>
        <w:t>.</w:t>
      </w:r>
      <w:r w:rsidR="00B6122C">
        <w:rPr>
          <w:sz w:val="20"/>
        </w:rPr>
        <w:t xml:space="preserve"> 00</w:t>
      </w:r>
      <w:r w:rsidR="00C37FDA">
        <w:rPr>
          <w:sz w:val="20"/>
        </w:rPr>
        <w:t xml:space="preserve">43160 </w:t>
      </w:r>
      <w:r>
        <w:rPr>
          <w:sz w:val="20"/>
        </w:rPr>
        <w:t>–</w:t>
      </w:r>
      <w:r w:rsidR="00C37FDA">
        <w:rPr>
          <w:sz w:val="20"/>
        </w:rPr>
        <w:t xml:space="preserve"> </w:t>
      </w:r>
      <w:r>
        <w:rPr>
          <w:sz w:val="20"/>
        </w:rPr>
        <w:t>namenska poraba okoljske dajatve – prenos -</w:t>
      </w:r>
      <w:r w:rsidR="00C37FDA">
        <w:rPr>
          <w:sz w:val="20"/>
        </w:rPr>
        <w:t xml:space="preserve">  </w:t>
      </w:r>
      <w:r w:rsidR="007369FF">
        <w:rPr>
          <w:sz w:val="20"/>
        </w:rPr>
        <w:t>sredstva, ki niso porabljena</w:t>
      </w:r>
      <w:r w:rsidR="007369FF" w:rsidRPr="00983A8D">
        <w:rPr>
          <w:sz w:val="20"/>
        </w:rPr>
        <w:t xml:space="preserve"> v tekočem letu, </w:t>
      </w:r>
      <w:r>
        <w:rPr>
          <w:sz w:val="20"/>
        </w:rPr>
        <w:t xml:space="preserve"> </w:t>
      </w:r>
      <w:r w:rsidR="007369FF" w:rsidRPr="00983A8D">
        <w:rPr>
          <w:sz w:val="20"/>
        </w:rPr>
        <w:t xml:space="preserve">se prenesejo </w:t>
      </w:r>
      <w:r w:rsidR="007369FF">
        <w:rPr>
          <w:sz w:val="20"/>
        </w:rPr>
        <w:t xml:space="preserve">v naslednje leto za isti namen </w:t>
      </w:r>
      <w:r w:rsidR="007369FF" w:rsidRPr="00983A8D">
        <w:rPr>
          <w:sz w:val="20"/>
        </w:rPr>
        <w:t>(</w:t>
      </w:r>
      <w:r w:rsidR="007369FF">
        <w:rPr>
          <w:sz w:val="20"/>
        </w:rPr>
        <w:t>konto 900601);</w:t>
      </w:r>
    </w:p>
    <w:p w14:paraId="46DDD523" w14:textId="77777777" w:rsidR="00DE301E" w:rsidRPr="00983A8D" w:rsidRDefault="00DE301E" w:rsidP="004003F7">
      <w:pPr>
        <w:pStyle w:val="Telobesedila"/>
        <w:numPr>
          <w:ilvl w:val="0"/>
          <w:numId w:val="4"/>
        </w:numPr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od prihodkov od komunalnih prispevkov</w:t>
      </w:r>
    </w:p>
    <w:p w14:paraId="47466F4A" w14:textId="77777777" w:rsidR="004003F7" w:rsidRPr="00983A8D" w:rsidRDefault="00DE301E" w:rsidP="00DE301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 w:rsidRPr="00983A8D">
        <w:rPr>
          <w:sz w:val="20"/>
        </w:rPr>
        <w:t xml:space="preserve">  </w:t>
      </w:r>
      <w:r w:rsidR="00FF64BA">
        <w:rPr>
          <w:sz w:val="20"/>
        </w:rPr>
        <w:t xml:space="preserve">p.p. 0041230 – </w:t>
      </w:r>
      <w:r w:rsidR="004003F7" w:rsidRPr="00983A8D">
        <w:rPr>
          <w:sz w:val="20"/>
        </w:rPr>
        <w:t>investicije v vodovod</w:t>
      </w:r>
    </w:p>
    <w:p w14:paraId="74284B70" w14:textId="77777777" w:rsidR="004003F7" w:rsidRPr="00983A8D" w:rsidRDefault="004003F7" w:rsidP="004003F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 w:rsidRPr="00983A8D">
        <w:rPr>
          <w:sz w:val="20"/>
        </w:rPr>
        <w:t xml:space="preserve">  p.p. 0041330 – investicijsko vzdrževanje krajevnih cest</w:t>
      </w:r>
    </w:p>
    <w:p w14:paraId="48E2F48F" w14:textId="70F37E4F" w:rsidR="004003F7" w:rsidRDefault="004003F7" w:rsidP="004003F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  <w:r w:rsidRPr="00983A8D">
        <w:rPr>
          <w:sz w:val="20"/>
        </w:rPr>
        <w:t xml:space="preserve">  p.p. 0043150 </w:t>
      </w:r>
      <w:r w:rsidR="007369FF">
        <w:rPr>
          <w:sz w:val="20"/>
        </w:rPr>
        <w:t>–</w:t>
      </w:r>
      <w:r w:rsidRPr="00983A8D">
        <w:rPr>
          <w:sz w:val="20"/>
        </w:rPr>
        <w:t xml:space="preserve"> kanalizacija</w:t>
      </w:r>
    </w:p>
    <w:p w14:paraId="4A63EFA8" w14:textId="77777777" w:rsidR="00395BE6" w:rsidRPr="00E92502" w:rsidRDefault="00395BE6" w:rsidP="00395BE6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E92502">
        <w:rPr>
          <w:sz w:val="20"/>
        </w:rPr>
        <w:t xml:space="preserve">        4.  od prihodkov od najemnin za poslovne prostore (1. in 2. odstavek 80. čl. ZJF)</w:t>
      </w:r>
    </w:p>
    <w:p w14:paraId="76EDE1BC" w14:textId="77777777" w:rsidR="00395BE6" w:rsidRPr="00E92502" w:rsidRDefault="00395BE6" w:rsidP="00395BE6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E92502">
        <w:rPr>
          <w:sz w:val="20"/>
        </w:rPr>
        <w:tab/>
      </w:r>
      <w:proofErr w:type="spellStart"/>
      <w:r w:rsidRPr="00E92502">
        <w:rPr>
          <w:sz w:val="20"/>
        </w:rPr>
        <w:t>p.p</w:t>
      </w:r>
      <w:proofErr w:type="spellEnd"/>
      <w:r w:rsidRPr="00E92502">
        <w:rPr>
          <w:sz w:val="20"/>
        </w:rPr>
        <w:t>. 0044700 – vzdrževanje poslovnih prostorov</w:t>
      </w:r>
    </w:p>
    <w:p w14:paraId="50EDB5CA" w14:textId="77777777" w:rsidR="00395BE6" w:rsidRPr="00983A8D" w:rsidRDefault="00395BE6" w:rsidP="004003F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720"/>
        <w:rPr>
          <w:sz w:val="20"/>
        </w:rPr>
      </w:pPr>
    </w:p>
    <w:p w14:paraId="45CCE8F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1113AF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5. člen</w:t>
      </w:r>
    </w:p>
    <w:p w14:paraId="6D1018A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(prerazporejanje pravic porabe)</w:t>
      </w:r>
    </w:p>
    <w:p w14:paraId="1D8DBED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1DF1CBD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Osnova za prerazporejanje pravic porabe je zadnji sprejeti proračun, spremembe p</w:t>
      </w:r>
      <w:r w:rsidR="009E3A04">
        <w:rPr>
          <w:sz w:val="20"/>
        </w:rPr>
        <w:t xml:space="preserve">roračuna ali rebalans proračuna za leto izvrševanja. </w:t>
      </w:r>
    </w:p>
    <w:p w14:paraId="475E684F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BD47CE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 prerazporeditvah pravic p</w:t>
      </w:r>
      <w:r w:rsidR="00440F4D" w:rsidRPr="00983A8D">
        <w:rPr>
          <w:sz w:val="20"/>
        </w:rPr>
        <w:t>orabe v posebnem delu proračuna</w:t>
      </w:r>
      <w:r w:rsidRPr="00983A8D">
        <w:rPr>
          <w:sz w:val="20"/>
        </w:rPr>
        <w:t xml:space="preserve"> med</w:t>
      </w:r>
      <w:r w:rsidR="00DB7819">
        <w:rPr>
          <w:sz w:val="20"/>
        </w:rPr>
        <w:t xml:space="preserve"> </w:t>
      </w:r>
      <w:r w:rsidR="00DB7819" w:rsidRPr="00105F62">
        <w:rPr>
          <w:sz w:val="20"/>
        </w:rPr>
        <w:t>področji proračunske porabe, med</w:t>
      </w:r>
      <w:r w:rsidRPr="00983A8D">
        <w:rPr>
          <w:sz w:val="20"/>
        </w:rPr>
        <w:t xml:space="preserve"> glavnimi programi v okviru področja proračunske porabe</w:t>
      </w:r>
      <w:r w:rsidR="002659E9">
        <w:rPr>
          <w:sz w:val="20"/>
        </w:rPr>
        <w:t xml:space="preserve">, </w:t>
      </w:r>
      <w:r w:rsidRPr="00983A8D">
        <w:rPr>
          <w:sz w:val="20"/>
        </w:rPr>
        <w:t xml:space="preserve"> med podprog</w:t>
      </w:r>
      <w:r w:rsidR="007B6D01" w:rsidRPr="00983A8D">
        <w:rPr>
          <w:sz w:val="20"/>
        </w:rPr>
        <w:t>rami v okviru glavnih programov</w:t>
      </w:r>
      <w:r w:rsidR="002659E9">
        <w:rPr>
          <w:sz w:val="20"/>
        </w:rPr>
        <w:t xml:space="preserve"> ter </w:t>
      </w:r>
      <w:r w:rsidR="00893429">
        <w:rPr>
          <w:sz w:val="20"/>
        </w:rPr>
        <w:t xml:space="preserve">med </w:t>
      </w:r>
      <w:r w:rsidR="002659E9">
        <w:rPr>
          <w:sz w:val="20"/>
        </w:rPr>
        <w:t>proračunski</w:t>
      </w:r>
      <w:r w:rsidR="00893429">
        <w:rPr>
          <w:sz w:val="20"/>
        </w:rPr>
        <w:t xml:space="preserve">mi </w:t>
      </w:r>
      <w:r w:rsidR="002659E9">
        <w:rPr>
          <w:sz w:val="20"/>
        </w:rPr>
        <w:t>postavk</w:t>
      </w:r>
      <w:r w:rsidR="00893429">
        <w:rPr>
          <w:sz w:val="20"/>
        </w:rPr>
        <w:t>ami</w:t>
      </w:r>
      <w:r w:rsidRPr="00983A8D">
        <w:rPr>
          <w:sz w:val="20"/>
        </w:rPr>
        <w:t xml:space="preserve"> odloča na predlog neposrednega uporabnika predstojnik neposrednega uporabnika (župan). </w:t>
      </w:r>
    </w:p>
    <w:p w14:paraId="71C7D04D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98F10E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Župan s poročilom o izvrševanju proračuna v mesecu</w:t>
      </w:r>
      <w:r w:rsidR="0099474A" w:rsidRPr="00983A8D">
        <w:rPr>
          <w:sz w:val="20"/>
        </w:rPr>
        <w:t xml:space="preserve"> </w:t>
      </w:r>
      <w:r w:rsidR="00B6122C">
        <w:rPr>
          <w:sz w:val="20"/>
        </w:rPr>
        <w:t>avgustu</w:t>
      </w:r>
      <w:r w:rsidR="0099474A" w:rsidRPr="00983A8D">
        <w:rPr>
          <w:sz w:val="20"/>
        </w:rPr>
        <w:t xml:space="preserve"> </w:t>
      </w:r>
      <w:r w:rsidRPr="00983A8D">
        <w:rPr>
          <w:sz w:val="20"/>
        </w:rPr>
        <w:t>in konec leta z zaključnim računom poroča občinskemu svetu o veljavnem proračunu za leto</w:t>
      </w:r>
      <w:r w:rsidR="00DB7819">
        <w:rPr>
          <w:sz w:val="20"/>
        </w:rPr>
        <w:t xml:space="preserve"> 20</w:t>
      </w:r>
      <w:r w:rsidR="00B6122C">
        <w:rPr>
          <w:sz w:val="20"/>
        </w:rPr>
        <w:t>2</w:t>
      </w:r>
      <w:r w:rsidR="000A0A15">
        <w:rPr>
          <w:sz w:val="20"/>
        </w:rPr>
        <w:t>1</w:t>
      </w:r>
      <w:r w:rsidR="0099474A" w:rsidRPr="00983A8D">
        <w:rPr>
          <w:sz w:val="20"/>
        </w:rPr>
        <w:t xml:space="preserve"> </w:t>
      </w:r>
      <w:r w:rsidRPr="00983A8D">
        <w:rPr>
          <w:sz w:val="20"/>
        </w:rPr>
        <w:t>in njegovi realizaciji.</w:t>
      </w:r>
    </w:p>
    <w:p w14:paraId="20879222" w14:textId="77777777" w:rsidR="0099474A" w:rsidRPr="00983A8D" w:rsidRDefault="0099474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BFDE8A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6. člen</w:t>
      </w:r>
    </w:p>
    <w:p w14:paraId="26D2773B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(največji dovoljeni obseg prevzetih obveznosti v breme proračunov prihodnjih let)</w:t>
      </w:r>
    </w:p>
    <w:p w14:paraId="7334C6E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ABEABA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Neposredni uporabnik lahko v tekočem letu</w:t>
      </w:r>
      <w:r w:rsidR="009E3A04">
        <w:rPr>
          <w:sz w:val="20"/>
        </w:rPr>
        <w:t xml:space="preserve"> za projekte, ki so vključeni v veljavni načrt razvojnih programov, odda javno naročilo za celotno vrednost, če so zanj načrtovane pravice porabe na proračunskih postavkah v sprejetem proračunu</w:t>
      </w:r>
      <w:r w:rsidR="00A46028">
        <w:rPr>
          <w:sz w:val="20"/>
        </w:rPr>
        <w:t>.</w:t>
      </w:r>
    </w:p>
    <w:p w14:paraId="0FCB5679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6C113A9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Skupni obseg prevzetih obveznosti neposrednega uporabnika, ki bodo zapadle v plačilo v prihodnjih letih za investicijske odhodke in investici</w:t>
      </w:r>
      <w:r w:rsidR="0099474A" w:rsidRPr="00983A8D">
        <w:rPr>
          <w:sz w:val="20"/>
        </w:rPr>
        <w:t>jske transfere</w:t>
      </w:r>
      <w:r w:rsidR="00514890" w:rsidRPr="00983A8D">
        <w:rPr>
          <w:sz w:val="20"/>
        </w:rPr>
        <w:t>,</w:t>
      </w:r>
      <w:r w:rsidR="0099474A" w:rsidRPr="00983A8D">
        <w:rPr>
          <w:sz w:val="20"/>
        </w:rPr>
        <w:t xml:space="preserve"> ne sme presegati 70 % </w:t>
      </w:r>
      <w:r w:rsidRPr="00983A8D">
        <w:rPr>
          <w:sz w:val="20"/>
        </w:rPr>
        <w:t>pravic porabe v sprejetem finančnem načrtu neposrednega uporabnika, od tega:</w:t>
      </w:r>
    </w:p>
    <w:p w14:paraId="381BFA9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1.</w:t>
      </w:r>
      <w:r w:rsidRPr="00983A8D">
        <w:rPr>
          <w:sz w:val="20"/>
        </w:rPr>
        <w:tab/>
        <w:t>v letu 20</w:t>
      </w:r>
      <w:r w:rsidR="00A25617">
        <w:rPr>
          <w:sz w:val="20"/>
        </w:rPr>
        <w:t>2</w:t>
      </w:r>
      <w:r w:rsidR="00B6122C">
        <w:rPr>
          <w:sz w:val="20"/>
        </w:rPr>
        <w:t>1</w:t>
      </w:r>
      <w:r w:rsidRPr="00983A8D">
        <w:rPr>
          <w:sz w:val="20"/>
        </w:rPr>
        <w:t xml:space="preserve"> </w:t>
      </w:r>
      <w:r w:rsidR="0099474A" w:rsidRPr="00983A8D">
        <w:rPr>
          <w:sz w:val="20"/>
        </w:rPr>
        <w:t xml:space="preserve">50 </w:t>
      </w:r>
      <w:r w:rsidRPr="00983A8D">
        <w:rPr>
          <w:sz w:val="20"/>
        </w:rPr>
        <w:t>% navedenih pravic porabe in</w:t>
      </w:r>
    </w:p>
    <w:p w14:paraId="2469FFB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2.</w:t>
      </w:r>
      <w:r w:rsidRPr="00983A8D">
        <w:rPr>
          <w:sz w:val="20"/>
        </w:rPr>
        <w:tab/>
        <w:t>v ostalih prihodnjih letih</w:t>
      </w:r>
      <w:r w:rsidR="0099474A" w:rsidRPr="00983A8D">
        <w:rPr>
          <w:sz w:val="20"/>
        </w:rPr>
        <w:t xml:space="preserve"> 50 </w:t>
      </w:r>
      <w:r w:rsidRPr="00983A8D">
        <w:rPr>
          <w:sz w:val="20"/>
        </w:rPr>
        <w:t>% navedenih pravic porabe.</w:t>
      </w:r>
    </w:p>
    <w:p w14:paraId="1183456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74095B6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lastRenderedPageBreak/>
        <w:t>Skupni obseg prevzetih obveznosti neposrednega uporabnika, ki bodo zapadle v plačilo v prihodnjih letih za blago in storitve in za tekoče transfere, ne sme presegati</w:t>
      </w:r>
      <w:r w:rsidR="0099474A" w:rsidRPr="00983A8D">
        <w:rPr>
          <w:sz w:val="20"/>
        </w:rPr>
        <w:t xml:space="preserve"> 25</w:t>
      </w:r>
      <w:r w:rsidR="009E3A04">
        <w:rPr>
          <w:sz w:val="20"/>
        </w:rPr>
        <w:t xml:space="preserve"> </w:t>
      </w:r>
      <w:r w:rsidRPr="00983A8D">
        <w:rPr>
          <w:sz w:val="20"/>
        </w:rPr>
        <w:t>% pravic porabe v sprejetem finančnem načrtu neposrednega uporabnika.</w:t>
      </w:r>
    </w:p>
    <w:p w14:paraId="26053F7D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2615EA0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Omejitve iz prvega in drugega odstavka tega člena ne veljajo za prevzemanje obveznosti z najemnimi pogodbami, razen če na podlagi teh pogodb lastninska pravica preide oziroma lahko preide iz najemodajalca na najemnika, in prevzemanje obveznosti za dobavo elektrike, telefona, vode, komunalnih sto</w:t>
      </w:r>
      <w:r w:rsidR="00922A33" w:rsidRPr="00983A8D">
        <w:rPr>
          <w:sz w:val="20"/>
        </w:rPr>
        <w:t>ritev</w:t>
      </w:r>
      <w:r w:rsidRPr="00983A8D">
        <w:rPr>
          <w:sz w:val="20"/>
        </w:rPr>
        <w:t xml:space="preserve"> in drugih storitev, potrebnih za operativno de</w:t>
      </w:r>
      <w:r w:rsidR="009E3A04">
        <w:rPr>
          <w:sz w:val="20"/>
        </w:rPr>
        <w:t xml:space="preserve">lovanje neposrednih uporabnikov ter prevzemanje obveznosti za pogodbe, ki se financirajo iz </w:t>
      </w:r>
      <w:r w:rsidR="00DB7819">
        <w:rPr>
          <w:sz w:val="20"/>
        </w:rPr>
        <w:t>namenskih sredstev</w:t>
      </w:r>
      <w:r w:rsidR="00240F0E">
        <w:rPr>
          <w:sz w:val="20"/>
        </w:rPr>
        <w:t xml:space="preserve"> EU, namenskih sredstev fin</w:t>
      </w:r>
      <w:r w:rsidR="00DB7819">
        <w:rPr>
          <w:sz w:val="20"/>
        </w:rPr>
        <w:t>ančnih mehanizmov in sredstev drugih donatorjev</w:t>
      </w:r>
      <w:r w:rsidR="00B6122C">
        <w:rPr>
          <w:sz w:val="20"/>
        </w:rPr>
        <w:t xml:space="preserve"> ter pripadajočih postavk slovenske udeležbe. </w:t>
      </w:r>
      <w:r w:rsidR="00DB7819">
        <w:rPr>
          <w:sz w:val="20"/>
        </w:rPr>
        <w:t xml:space="preserve"> </w:t>
      </w:r>
      <w:r w:rsidR="009E3A04">
        <w:rPr>
          <w:sz w:val="20"/>
        </w:rPr>
        <w:t xml:space="preserve"> </w:t>
      </w:r>
    </w:p>
    <w:p w14:paraId="5C77ED26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7FD1C08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Prevzete obveznosti iz drugega in tretjega odstavka tega </w:t>
      </w:r>
      <w:r w:rsidR="00FF64BA">
        <w:rPr>
          <w:sz w:val="20"/>
        </w:rPr>
        <w:t>člena se načrtujejo v</w:t>
      </w:r>
      <w:r w:rsidRPr="00983A8D">
        <w:rPr>
          <w:sz w:val="20"/>
        </w:rPr>
        <w:t xml:space="preserve"> finančnem načrtu neposrednega uporabnika in načrtu razvojnih programov.</w:t>
      </w:r>
    </w:p>
    <w:p w14:paraId="2CD36F8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66982E7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7. člen</w:t>
      </w:r>
    </w:p>
    <w:p w14:paraId="58CFA5F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</w:t>
      </w:r>
      <w:r w:rsidR="00890A3F" w:rsidRPr="00983A8D">
        <w:rPr>
          <w:sz w:val="20"/>
        </w:rPr>
        <w:t xml:space="preserve">spremljanje in </w:t>
      </w:r>
      <w:r w:rsidRPr="00983A8D">
        <w:rPr>
          <w:sz w:val="20"/>
        </w:rPr>
        <w:t>spreminjanje načrta razvojnih programov)</w:t>
      </w:r>
    </w:p>
    <w:p w14:paraId="311FE574" w14:textId="77777777" w:rsidR="00890A3F" w:rsidRPr="00983A8D" w:rsidRDefault="00890A3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14:paraId="2FB2675D" w14:textId="77777777" w:rsidR="00890A3F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Neposredni uporabnik vodi evidenco projektov iz veljavnega načrta razvojnih programov. </w:t>
      </w:r>
    </w:p>
    <w:p w14:paraId="6A34148D" w14:textId="77777777" w:rsidR="00890A3F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B056725" w14:textId="77777777" w:rsidR="003D379B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Spremembe veljavnega načrta razvojnih programov so uvrstitev projektov v načrt razvojnih programov in druge spremembe projektov. </w:t>
      </w:r>
    </w:p>
    <w:p w14:paraId="4952F54B" w14:textId="77777777" w:rsidR="00890A3F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E992C05" w14:textId="77777777" w:rsidR="00890A3F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Neposredni uporabnik mora </w:t>
      </w:r>
      <w:r w:rsidR="00101E39">
        <w:rPr>
          <w:sz w:val="20"/>
        </w:rPr>
        <w:t xml:space="preserve"> do 31. januarja tekočega leta oziroma </w:t>
      </w:r>
      <w:r w:rsidRPr="00983A8D">
        <w:rPr>
          <w:sz w:val="20"/>
        </w:rPr>
        <w:t>v 30 dneh po uveljavitvi</w:t>
      </w:r>
      <w:r w:rsidR="00101E39">
        <w:rPr>
          <w:sz w:val="20"/>
        </w:rPr>
        <w:t xml:space="preserve"> rebalansa proračuna</w:t>
      </w:r>
      <w:r w:rsidRPr="00983A8D">
        <w:rPr>
          <w:sz w:val="20"/>
        </w:rPr>
        <w:t xml:space="preserve">  uskladiti načrt razvojnih programov z veljavnim proračunom. Neusklajenost med veljavnim proračunom in veljavnim načrtom razvojnih programov je dopustna le v delih, kjer se projekti financirajo z namenskimi prejemki.</w:t>
      </w:r>
    </w:p>
    <w:p w14:paraId="253A7344" w14:textId="77777777" w:rsidR="00890A3F" w:rsidRPr="00983A8D" w:rsidRDefault="00890A3F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D9DFA64" w14:textId="2B59EBED" w:rsidR="00395BE6" w:rsidRDefault="00395BE6" w:rsidP="00395BE6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CF79AE">
        <w:rPr>
          <w:sz w:val="20"/>
        </w:rPr>
        <w:t>Po preteku roka iz prejšnjega odstavka o spremembi vrednosti veljavnih projektov do 20 % izhodiščne vrednosti odloča predstojnik neposrednega uporabnika (župan), lahko spreminja vrednost projektov v načrtu razvojnih programov</w:t>
      </w:r>
      <w:r w:rsidR="003E5235">
        <w:rPr>
          <w:sz w:val="20"/>
        </w:rPr>
        <w:t xml:space="preserve">. </w:t>
      </w:r>
      <w:r w:rsidRPr="002C119C">
        <w:rPr>
          <w:sz w:val="20"/>
        </w:rPr>
        <w:t>Občinski svet odloča o uvrstitvi projektov v veljavni načrt razvojnih programov in o spremembi vrednosti projektov nad 20 % izhodiščne vrednosti projektov.</w:t>
      </w:r>
      <w:r w:rsidRPr="00983A8D">
        <w:rPr>
          <w:sz w:val="20"/>
        </w:rPr>
        <w:t xml:space="preserve"> </w:t>
      </w:r>
    </w:p>
    <w:p w14:paraId="0D63ED94" w14:textId="77777777" w:rsidR="00395BE6" w:rsidRPr="00983A8D" w:rsidRDefault="00395BE6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24E19AD0" w14:textId="77777777" w:rsidR="003D379B" w:rsidRPr="00983A8D" w:rsidRDefault="008703A8" w:rsidP="00922A3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Projekte</w:t>
      </w:r>
      <w:r w:rsidR="003D379B" w:rsidRPr="00983A8D">
        <w:rPr>
          <w:sz w:val="20"/>
        </w:rPr>
        <w:t xml:space="preserve">, za katere se zaradi prenosa plačil v tekoče leto, zaključek financiranja prestavi iz predhodnega v tekoče leto, </w:t>
      </w:r>
      <w:r w:rsidRPr="00983A8D">
        <w:rPr>
          <w:sz w:val="20"/>
        </w:rPr>
        <w:t>neposredni uporabnik  uvrsti</w:t>
      </w:r>
      <w:r w:rsidR="003D379B" w:rsidRPr="00983A8D">
        <w:rPr>
          <w:sz w:val="20"/>
        </w:rPr>
        <w:t xml:space="preserve"> v načrt razvojnih programov</w:t>
      </w:r>
      <w:r w:rsidR="00FF64BA">
        <w:rPr>
          <w:sz w:val="20"/>
        </w:rPr>
        <w:t xml:space="preserve"> v 30 dneh</w:t>
      </w:r>
      <w:r w:rsidR="003D379B" w:rsidRPr="00983A8D">
        <w:rPr>
          <w:sz w:val="20"/>
        </w:rPr>
        <w:t xml:space="preserve"> po uveljavitvi proračuna.</w:t>
      </w:r>
    </w:p>
    <w:p w14:paraId="7DFCEE7B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B55EB7A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8. člen</w:t>
      </w:r>
    </w:p>
    <w:p w14:paraId="5A379ED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(proračunski skladi)</w:t>
      </w:r>
    </w:p>
    <w:p w14:paraId="22D5206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549E7A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Proračunski skladi so:</w:t>
      </w:r>
    </w:p>
    <w:p w14:paraId="5F484396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1.</w:t>
      </w:r>
      <w:r w:rsidRPr="00983A8D">
        <w:rPr>
          <w:sz w:val="20"/>
        </w:rPr>
        <w:tab/>
        <w:t>po</w:t>
      </w:r>
      <w:r w:rsidR="002141EF">
        <w:rPr>
          <w:sz w:val="20"/>
        </w:rPr>
        <w:t>dr</w:t>
      </w:r>
      <w:r w:rsidRPr="00983A8D">
        <w:rPr>
          <w:sz w:val="20"/>
        </w:rPr>
        <w:t>ačun proraču</w:t>
      </w:r>
      <w:r w:rsidR="0018696B">
        <w:rPr>
          <w:sz w:val="20"/>
        </w:rPr>
        <w:t>nske rezerve, oblikovane po ZJF.</w:t>
      </w:r>
    </w:p>
    <w:p w14:paraId="7255B67E" w14:textId="77777777" w:rsidR="0099474A" w:rsidRPr="00983A8D" w:rsidRDefault="0099474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5D46FA4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Proračunska rezerva se v letu 20</w:t>
      </w:r>
      <w:r w:rsidR="00101E39">
        <w:rPr>
          <w:sz w:val="20"/>
        </w:rPr>
        <w:t>2</w:t>
      </w:r>
      <w:r w:rsidR="00A83AC7">
        <w:rPr>
          <w:sz w:val="20"/>
        </w:rPr>
        <w:t>1</w:t>
      </w:r>
      <w:r w:rsidRPr="00983A8D">
        <w:rPr>
          <w:sz w:val="20"/>
        </w:rPr>
        <w:t xml:space="preserve"> oblikuje v višini</w:t>
      </w:r>
      <w:r w:rsidR="0099474A" w:rsidRPr="00983A8D">
        <w:rPr>
          <w:sz w:val="20"/>
        </w:rPr>
        <w:t xml:space="preserve"> </w:t>
      </w:r>
      <w:r w:rsidR="00101E39">
        <w:rPr>
          <w:sz w:val="20"/>
        </w:rPr>
        <w:t>40</w:t>
      </w:r>
      <w:r w:rsidR="00802BA3" w:rsidRPr="00105F62">
        <w:rPr>
          <w:sz w:val="20"/>
        </w:rPr>
        <w:t>.000</w:t>
      </w:r>
      <w:r w:rsidR="0099474A" w:rsidRPr="00983A8D">
        <w:rPr>
          <w:sz w:val="20"/>
        </w:rPr>
        <w:t xml:space="preserve"> </w:t>
      </w:r>
      <w:r w:rsidRPr="00983A8D">
        <w:rPr>
          <w:sz w:val="20"/>
        </w:rPr>
        <w:t>eurov.</w:t>
      </w:r>
    </w:p>
    <w:p w14:paraId="06FC7566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E308A5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Na predlog za finance pristojnega organa občinske uprave odloča o uporabi sredstev proračunske rezerve za namene iz drugega odstavka 49. člena ZJF do višine</w:t>
      </w:r>
      <w:r w:rsidR="0099474A" w:rsidRPr="00983A8D">
        <w:rPr>
          <w:sz w:val="20"/>
        </w:rPr>
        <w:t xml:space="preserve"> </w:t>
      </w:r>
      <w:r w:rsidR="00101E39">
        <w:rPr>
          <w:sz w:val="20"/>
        </w:rPr>
        <w:t>40</w:t>
      </w:r>
      <w:r w:rsidR="00240F0E">
        <w:rPr>
          <w:sz w:val="20"/>
        </w:rPr>
        <w:t>.</w:t>
      </w:r>
      <w:r w:rsidR="0099474A" w:rsidRPr="00983A8D">
        <w:rPr>
          <w:sz w:val="20"/>
        </w:rPr>
        <w:t xml:space="preserve">000 </w:t>
      </w:r>
      <w:r w:rsidRPr="00983A8D">
        <w:rPr>
          <w:sz w:val="20"/>
        </w:rPr>
        <w:t>eurov župan in o tem s pisnimi poročili obvešča občinski svet.</w:t>
      </w:r>
    </w:p>
    <w:p w14:paraId="473825F7" w14:textId="77777777" w:rsidR="003D379B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50153FF5" w14:textId="77777777" w:rsidR="00FF64BA" w:rsidRPr="00983A8D" w:rsidRDefault="00FF64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5A4381E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bCs/>
          <w:sz w:val="20"/>
        </w:rPr>
      </w:pPr>
      <w:r w:rsidRPr="00983A8D">
        <w:rPr>
          <w:bCs/>
          <w:sz w:val="20"/>
        </w:rPr>
        <w:t>4. POSEBNOSTI UPRAVLJANJA IN PRODAJE STVARNEGA IN FINANČNEGA PREMOŽENJA DRŽAVE</w:t>
      </w:r>
    </w:p>
    <w:p w14:paraId="6ADC5ED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14:paraId="232EBCEA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9. člen</w:t>
      </w:r>
    </w:p>
    <w:p w14:paraId="53122503" w14:textId="77777777" w:rsidR="003D379B" w:rsidRDefault="006C7F35" w:rsidP="006C7F3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(odpis dolgov)</w:t>
      </w:r>
    </w:p>
    <w:p w14:paraId="7A22D348" w14:textId="77777777" w:rsidR="0018696B" w:rsidRPr="00983A8D" w:rsidRDefault="0018696B" w:rsidP="006C7F3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14:paraId="25106047" w14:textId="131D72BF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Če so izpolnjeni pogoji iz tretjega odstavka 77. člena ZJF, lahko župan </w:t>
      </w:r>
      <w:r w:rsidR="00D2334D" w:rsidRPr="00983A8D">
        <w:rPr>
          <w:sz w:val="20"/>
        </w:rPr>
        <w:t>v letu 20</w:t>
      </w:r>
      <w:r w:rsidR="00101E39">
        <w:rPr>
          <w:sz w:val="20"/>
        </w:rPr>
        <w:t>2</w:t>
      </w:r>
      <w:r w:rsidR="00613C12">
        <w:rPr>
          <w:sz w:val="20"/>
        </w:rPr>
        <w:t>1</w:t>
      </w:r>
      <w:r w:rsidR="00240F0E">
        <w:rPr>
          <w:sz w:val="20"/>
        </w:rPr>
        <w:t xml:space="preserve"> </w:t>
      </w:r>
      <w:r w:rsidR="00D2334D" w:rsidRPr="00983A8D">
        <w:rPr>
          <w:sz w:val="20"/>
        </w:rPr>
        <w:t xml:space="preserve">odpiše dolgove, ki jih imajo </w:t>
      </w:r>
      <w:r w:rsidRPr="00983A8D">
        <w:rPr>
          <w:sz w:val="20"/>
        </w:rPr>
        <w:t>dolžnik</w:t>
      </w:r>
      <w:r w:rsidR="00D2334D" w:rsidRPr="00983A8D">
        <w:rPr>
          <w:sz w:val="20"/>
        </w:rPr>
        <w:t>i</w:t>
      </w:r>
      <w:r w:rsidRPr="00983A8D">
        <w:rPr>
          <w:sz w:val="20"/>
        </w:rPr>
        <w:t xml:space="preserve"> do</w:t>
      </w:r>
      <w:r w:rsidR="00D2334D" w:rsidRPr="00983A8D">
        <w:rPr>
          <w:sz w:val="20"/>
        </w:rPr>
        <w:t xml:space="preserve"> občine, in sicer največ do </w:t>
      </w:r>
      <w:r w:rsidR="00FF64BA">
        <w:rPr>
          <w:sz w:val="20"/>
        </w:rPr>
        <w:t>vrednosti 200 eurov</w:t>
      </w:r>
      <w:r w:rsidR="0099474A" w:rsidRPr="00983A8D">
        <w:rPr>
          <w:sz w:val="20"/>
        </w:rPr>
        <w:t xml:space="preserve"> za posameznega dolžnika.</w:t>
      </w:r>
    </w:p>
    <w:p w14:paraId="004A45A9" w14:textId="77777777" w:rsidR="00B550F0" w:rsidRPr="00983A8D" w:rsidRDefault="00B550F0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C5F0AE9" w14:textId="77777777" w:rsidR="003910DC" w:rsidRPr="00983A8D" w:rsidRDefault="00B550F0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Obseg sredstev se v primerih, ko dolg do posameznega dolžnika neposrednega uporabnika ne presega stroška dveh eurov, v poslovnih knjiga razknjiži in se v kvoto iz prvega odstavka tega člena ne všteva. </w:t>
      </w:r>
    </w:p>
    <w:p w14:paraId="25324E0F" w14:textId="77777777" w:rsidR="003910DC" w:rsidRDefault="003910D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5E96D45" w14:textId="77777777" w:rsidR="00FF64BA" w:rsidRPr="00983A8D" w:rsidRDefault="00FF64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7119F0C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lastRenderedPageBreak/>
        <w:t>5. OBSEG ZADOLŽEVANJA IN POROŠTEV OBČINE IN JAVNEGA SEKTORJA</w:t>
      </w:r>
    </w:p>
    <w:p w14:paraId="3A0F64E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</w:p>
    <w:p w14:paraId="7B9FC29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10. člen</w:t>
      </w:r>
    </w:p>
    <w:p w14:paraId="3AF83926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(obseg zadolževanja občine in izdanih poroštev občine</w:t>
      </w:r>
      <w:r w:rsidR="001F49F7" w:rsidRPr="00983A8D">
        <w:rPr>
          <w:sz w:val="20"/>
        </w:rPr>
        <w:t>)</w:t>
      </w:r>
    </w:p>
    <w:p w14:paraId="5FB54609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84CC24D" w14:textId="77777777" w:rsidR="003D379B" w:rsidRPr="00983A8D" w:rsidRDefault="00240F0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613C12">
        <w:rPr>
          <w:sz w:val="20"/>
        </w:rPr>
        <w:t>Za kritje</w:t>
      </w:r>
      <w:r w:rsidR="003D379B" w:rsidRPr="00613C12">
        <w:rPr>
          <w:sz w:val="20"/>
        </w:rPr>
        <w:t xml:space="preserve"> presežkov odhodkov nad prihodki v bilanci prihodkov in odhodkov, presežkov izdatkov nad prejemki v računu finančnih terjatev in naložb ter odplačila dolgov v računu financiranja se občina za proračun leta 20</w:t>
      </w:r>
      <w:r w:rsidR="00101E39" w:rsidRPr="00613C12">
        <w:rPr>
          <w:sz w:val="20"/>
        </w:rPr>
        <w:t>2</w:t>
      </w:r>
      <w:r w:rsidR="00CE273F" w:rsidRPr="00613C12">
        <w:rPr>
          <w:sz w:val="20"/>
        </w:rPr>
        <w:t>1</w:t>
      </w:r>
      <w:r w:rsidR="003D379B" w:rsidRPr="00613C12">
        <w:rPr>
          <w:sz w:val="20"/>
        </w:rPr>
        <w:t xml:space="preserve"> lahko zadolži do višine</w:t>
      </w:r>
      <w:r w:rsidR="001F49F7" w:rsidRPr="00613C12">
        <w:rPr>
          <w:sz w:val="20"/>
        </w:rPr>
        <w:t xml:space="preserve"> </w:t>
      </w:r>
      <w:r w:rsidR="00CE273F" w:rsidRPr="00613C12">
        <w:rPr>
          <w:sz w:val="20"/>
        </w:rPr>
        <w:t>777.526</w:t>
      </w:r>
      <w:r w:rsidR="0099474A" w:rsidRPr="00613C12">
        <w:rPr>
          <w:sz w:val="20"/>
        </w:rPr>
        <w:t xml:space="preserve"> eurov</w:t>
      </w:r>
      <w:r w:rsidR="00CE273F" w:rsidRPr="00613C12">
        <w:rPr>
          <w:sz w:val="20"/>
        </w:rPr>
        <w:t>, od tega za 57.526,00 eur pri MGRT.</w:t>
      </w:r>
    </w:p>
    <w:p w14:paraId="43C6E78D" w14:textId="77777777" w:rsidR="00205CBF" w:rsidRPr="00983A8D" w:rsidRDefault="00205CBF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bookmarkStart w:id="1" w:name="_GoBack"/>
      <w:bookmarkEnd w:id="1"/>
    </w:p>
    <w:p w14:paraId="40ADF56C" w14:textId="77777777" w:rsidR="003D379B" w:rsidRPr="00983A8D" w:rsidRDefault="0099474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</w:t>
      </w:r>
      <w:r w:rsidR="003D379B" w:rsidRPr="00983A8D">
        <w:rPr>
          <w:sz w:val="20"/>
        </w:rPr>
        <w:t>oroštev občine za izpolnitev obveznosti javnih zavodov</w:t>
      </w:r>
      <w:r w:rsidR="00205CBF" w:rsidRPr="00983A8D">
        <w:rPr>
          <w:sz w:val="20"/>
        </w:rPr>
        <w:t>, javni</w:t>
      </w:r>
      <w:r w:rsidR="00FF64BA">
        <w:rPr>
          <w:sz w:val="20"/>
        </w:rPr>
        <w:t>h skladov in javnih agencij ter</w:t>
      </w:r>
      <w:r w:rsidR="00205CBF" w:rsidRPr="00983A8D">
        <w:rPr>
          <w:sz w:val="20"/>
        </w:rPr>
        <w:t xml:space="preserve"> </w:t>
      </w:r>
      <w:r w:rsidR="003D379B" w:rsidRPr="00983A8D">
        <w:rPr>
          <w:sz w:val="20"/>
        </w:rPr>
        <w:t>javnih podjetij, ka</w:t>
      </w:r>
      <w:r w:rsidRPr="00983A8D">
        <w:rPr>
          <w:sz w:val="20"/>
        </w:rPr>
        <w:t>terih ustanoviteljica je Občina Oplotnica</w:t>
      </w:r>
      <w:r w:rsidR="00CB0633" w:rsidRPr="00983A8D">
        <w:rPr>
          <w:sz w:val="20"/>
        </w:rPr>
        <w:t>, v letu 20</w:t>
      </w:r>
      <w:r w:rsidR="00101E39">
        <w:rPr>
          <w:sz w:val="20"/>
        </w:rPr>
        <w:t>2</w:t>
      </w:r>
      <w:r w:rsidR="00FB7DA5">
        <w:rPr>
          <w:sz w:val="20"/>
        </w:rPr>
        <w:t>1</w:t>
      </w:r>
      <w:r w:rsidR="003D379B" w:rsidRPr="00983A8D">
        <w:rPr>
          <w:sz w:val="20"/>
        </w:rPr>
        <w:t xml:space="preserve"> ne </w:t>
      </w:r>
      <w:r w:rsidRPr="00983A8D">
        <w:rPr>
          <w:sz w:val="20"/>
        </w:rPr>
        <w:t>bo dajala.</w:t>
      </w:r>
    </w:p>
    <w:p w14:paraId="6CAD0AF8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58ACB06" w14:textId="77777777" w:rsidR="003D379B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11. člen</w:t>
      </w:r>
    </w:p>
    <w:p w14:paraId="789B73A0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 xml:space="preserve">(obseg zadolževanja </w:t>
      </w:r>
      <w:r w:rsidR="000D06A5" w:rsidRPr="00983A8D">
        <w:rPr>
          <w:sz w:val="20"/>
        </w:rPr>
        <w:t>in izdanih poroštev posrednih u</w:t>
      </w:r>
      <w:r w:rsidR="00514890" w:rsidRPr="00983A8D">
        <w:rPr>
          <w:sz w:val="20"/>
        </w:rPr>
        <w:t xml:space="preserve">porabnikov občinskega proračuna </w:t>
      </w:r>
      <w:r w:rsidR="000D06A5" w:rsidRPr="00983A8D">
        <w:rPr>
          <w:sz w:val="20"/>
        </w:rPr>
        <w:t>in</w:t>
      </w:r>
      <w:r w:rsidRPr="00983A8D">
        <w:rPr>
          <w:sz w:val="20"/>
        </w:rPr>
        <w:t xml:space="preserve"> javnih podjetij</w:t>
      </w:r>
      <w:r w:rsidR="000D06A5" w:rsidRPr="00983A8D">
        <w:rPr>
          <w:sz w:val="20"/>
        </w:rPr>
        <w:t>, katerih ustanoviteljica je občina</w:t>
      </w:r>
      <w:r w:rsidRPr="00983A8D">
        <w:rPr>
          <w:sz w:val="20"/>
        </w:rPr>
        <w:t xml:space="preserve"> ter pravnih oseb, v katerih ima občina </w:t>
      </w:r>
      <w:r w:rsidR="000D06A5" w:rsidRPr="00983A8D">
        <w:rPr>
          <w:sz w:val="20"/>
        </w:rPr>
        <w:t>neposredno ali posredno prevladujoč</w:t>
      </w:r>
      <w:r w:rsidRPr="00983A8D">
        <w:rPr>
          <w:sz w:val="20"/>
        </w:rPr>
        <w:t xml:space="preserve"> vpliv na upravljanje)</w:t>
      </w:r>
    </w:p>
    <w:p w14:paraId="7EAFC82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389E1992" w14:textId="77777777" w:rsidR="003D379B" w:rsidRPr="00983A8D" w:rsidRDefault="000D06A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Posredni uporabniki občinskega proračuna, javna podjet</w:t>
      </w:r>
      <w:r w:rsidR="00E03464" w:rsidRPr="00983A8D">
        <w:rPr>
          <w:sz w:val="20"/>
        </w:rPr>
        <w:t>j</w:t>
      </w:r>
      <w:r w:rsidRPr="00983A8D">
        <w:rPr>
          <w:sz w:val="20"/>
        </w:rPr>
        <w:t xml:space="preserve">a, katerih ustanoviteljica je občina ter druge pravne osebe, v katerih ima občina neposredno ali posredno prevladujoč </w:t>
      </w:r>
      <w:r w:rsidR="00A651B6" w:rsidRPr="00983A8D">
        <w:rPr>
          <w:sz w:val="20"/>
        </w:rPr>
        <w:t>vpliv</w:t>
      </w:r>
      <w:r w:rsidR="00923997">
        <w:rPr>
          <w:sz w:val="20"/>
        </w:rPr>
        <w:t>,</w:t>
      </w:r>
      <w:r w:rsidR="001775CC" w:rsidRPr="00983A8D">
        <w:rPr>
          <w:sz w:val="20"/>
        </w:rPr>
        <w:t xml:space="preserve"> </w:t>
      </w:r>
      <w:r w:rsidR="003D379B" w:rsidRPr="00983A8D">
        <w:rPr>
          <w:sz w:val="20"/>
        </w:rPr>
        <w:t>se v letu 20</w:t>
      </w:r>
      <w:r w:rsidR="00101E39">
        <w:rPr>
          <w:sz w:val="20"/>
        </w:rPr>
        <w:t>2</w:t>
      </w:r>
      <w:r w:rsidR="00FB7DA5">
        <w:rPr>
          <w:sz w:val="20"/>
        </w:rPr>
        <w:t>1</w:t>
      </w:r>
      <w:r w:rsidR="003D379B" w:rsidRPr="00983A8D">
        <w:rPr>
          <w:sz w:val="20"/>
        </w:rPr>
        <w:t xml:space="preserve"> </w:t>
      </w:r>
      <w:r w:rsidR="008547A2" w:rsidRPr="00983A8D">
        <w:rPr>
          <w:sz w:val="20"/>
        </w:rPr>
        <w:t>ne</w:t>
      </w:r>
      <w:r w:rsidR="00497246" w:rsidRPr="00983A8D">
        <w:rPr>
          <w:sz w:val="20"/>
        </w:rPr>
        <w:t xml:space="preserve"> </w:t>
      </w:r>
      <w:r w:rsidR="003D379B" w:rsidRPr="00983A8D">
        <w:rPr>
          <w:sz w:val="20"/>
        </w:rPr>
        <w:t>zadolžijo</w:t>
      </w:r>
      <w:r w:rsidR="008547A2" w:rsidRPr="00983A8D">
        <w:rPr>
          <w:sz w:val="20"/>
        </w:rPr>
        <w:t>.</w:t>
      </w:r>
    </w:p>
    <w:p w14:paraId="2447BFB2" w14:textId="77777777" w:rsidR="008547A2" w:rsidRPr="00983A8D" w:rsidRDefault="008547A2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6F91D858" w14:textId="77777777" w:rsidR="003D379B" w:rsidRPr="00983A8D" w:rsidRDefault="000D06A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Posredni uporabniki občinskega proračuna, javna podjet</w:t>
      </w:r>
      <w:r w:rsidR="00E03464" w:rsidRPr="00983A8D">
        <w:rPr>
          <w:sz w:val="20"/>
        </w:rPr>
        <w:t>j</w:t>
      </w:r>
      <w:r w:rsidRPr="00983A8D">
        <w:rPr>
          <w:sz w:val="20"/>
        </w:rPr>
        <w:t xml:space="preserve">a, katerih ustanoviteljica je občina ter druge pravne osebe, v katerih ima občina neposredno ali posredno prevladujoč </w:t>
      </w:r>
      <w:r w:rsidR="00A651B6" w:rsidRPr="00983A8D">
        <w:rPr>
          <w:sz w:val="20"/>
        </w:rPr>
        <w:t>vpliv</w:t>
      </w:r>
      <w:r w:rsidR="00FF64BA">
        <w:rPr>
          <w:sz w:val="20"/>
        </w:rPr>
        <w:t>,</w:t>
      </w:r>
      <w:r w:rsidR="003D379B" w:rsidRPr="00983A8D">
        <w:rPr>
          <w:sz w:val="20"/>
        </w:rPr>
        <w:t xml:space="preserve"> v letu 20</w:t>
      </w:r>
      <w:r w:rsidR="00101E39">
        <w:rPr>
          <w:sz w:val="20"/>
        </w:rPr>
        <w:t>2</w:t>
      </w:r>
      <w:r w:rsidR="00FB7DA5">
        <w:rPr>
          <w:sz w:val="20"/>
        </w:rPr>
        <w:t>1</w:t>
      </w:r>
      <w:r w:rsidR="00FF64BA">
        <w:rPr>
          <w:sz w:val="20"/>
        </w:rPr>
        <w:t xml:space="preserve"> ne</w:t>
      </w:r>
      <w:r w:rsidR="003D379B" w:rsidRPr="00983A8D">
        <w:rPr>
          <w:sz w:val="20"/>
        </w:rPr>
        <w:t xml:space="preserve"> izdajo poroštva</w:t>
      </w:r>
      <w:r w:rsidR="002A52DE" w:rsidRPr="00983A8D">
        <w:rPr>
          <w:sz w:val="20"/>
        </w:rPr>
        <w:t>.</w:t>
      </w:r>
    </w:p>
    <w:p w14:paraId="49258927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00B6746" w14:textId="77777777" w:rsidR="003D379B" w:rsidRPr="00983A8D" w:rsidRDefault="00D0501C" w:rsidP="00D0501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12 člen</w:t>
      </w:r>
    </w:p>
    <w:p w14:paraId="1085B48F" w14:textId="77777777" w:rsidR="00D0501C" w:rsidRPr="00983A8D" w:rsidRDefault="00D0501C" w:rsidP="00D0501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(obseg zadolževanja občine za upravljanje z dolgom občinskega proračuna)</w:t>
      </w:r>
    </w:p>
    <w:p w14:paraId="746C9A67" w14:textId="77777777" w:rsidR="00D0501C" w:rsidRPr="00983A8D" w:rsidRDefault="00D0501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56C5410" w14:textId="77777777" w:rsidR="00D0501C" w:rsidRPr="00983A8D" w:rsidRDefault="00D0501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Za potrebe upravljanja občinskega dolga se občina lahko</w:t>
      </w:r>
      <w:r w:rsidR="004E255D" w:rsidRPr="00983A8D">
        <w:rPr>
          <w:sz w:val="20"/>
        </w:rPr>
        <w:t xml:space="preserve"> </w:t>
      </w:r>
      <w:r w:rsidR="005D16D8">
        <w:rPr>
          <w:sz w:val="20"/>
        </w:rPr>
        <w:t>v letu 20</w:t>
      </w:r>
      <w:r w:rsidR="00101E39">
        <w:rPr>
          <w:sz w:val="20"/>
        </w:rPr>
        <w:t>2</w:t>
      </w:r>
      <w:r w:rsidR="00FB7DA5">
        <w:rPr>
          <w:sz w:val="20"/>
        </w:rPr>
        <w:t>1</w:t>
      </w:r>
      <w:r w:rsidR="004E255D" w:rsidRPr="00983A8D">
        <w:rPr>
          <w:sz w:val="20"/>
        </w:rPr>
        <w:t xml:space="preserve"> </w:t>
      </w:r>
      <w:r w:rsidR="00FF64BA">
        <w:rPr>
          <w:sz w:val="20"/>
        </w:rPr>
        <w:t>zadolži do višine</w:t>
      </w:r>
      <w:r w:rsidR="002A52DE" w:rsidRPr="00983A8D">
        <w:rPr>
          <w:sz w:val="20"/>
        </w:rPr>
        <w:t xml:space="preserve"> </w:t>
      </w:r>
      <w:r w:rsidR="009F2B2B">
        <w:rPr>
          <w:sz w:val="20"/>
        </w:rPr>
        <w:t>3</w:t>
      </w:r>
      <w:r w:rsidR="00514890" w:rsidRPr="00983A8D">
        <w:rPr>
          <w:sz w:val="20"/>
        </w:rPr>
        <w:t>00</w:t>
      </w:r>
      <w:r w:rsidR="002A52DE" w:rsidRPr="00983A8D">
        <w:rPr>
          <w:sz w:val="20"/>
        </w:rPr>
        <w:t xml:space="preserve">.000 </w:t>
      </w:r>
      <w:r w:rsidRPr="00983A8D">
        <w:rPr>
          <w:sz w:val="20"/>
        </w:rPr>
        <w:t>eurov.</w:t>
      </w:r>
    </w:p>
    <w:p w14:paraId="27E199FE" w14:textId="77777777" w:rsidR="00D0501C" w:rsidRDefault="00D0501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4DD773F" w14:textId="77777777" w:rsidR="00FF64BA" w:rsidRPr="00983A8D" w:rsidRDefault="00FF64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0F347ACA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6. PREHODNE IN KONČNE DOLOČBE</w:t>
      </w:r>
    </w:p>
    <w:p w14:paraId="6B57551F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06979E1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1</w:t>
      </w:r>
      <w:r w:rsidR="00D0501C" w:rsidRPr="00983A8D">
        <w:rPr>
          <w:sz w:val="20"/>
        </w:rPr>
        <w:t>3</w:t>
      </w:r>
      <w:r w:rsidRPr="00983A8D">
        <w:rPr>
          <w:sz w:val="20"/>
        </w:rPr>
        <w:t>. člen</w:t>
      </w:r>
    </w:p>
    <w:p w14:paraId="39756AB4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(začasno financiranje v letu 20</w:t>
      </w:r>
      <w:r w:rsidR="00FA00C7">
        <w:rPr>
          <w:sz w:val="20"/>
        </w:rPr>
        <w:t>2</w:t>
      </w:r>
      <w:r w:rsidR="00FB7DA5">
        <w:rPr>
          <w:sz w:val="20"/>
        </w:rPr>
        <w:t>2</w:t>
      </w:r>
      <w:r w:rsidRPr="00983A8D">
        <w:rPr>
          <w:sz w:val="20"/>
        </w:rPr>
        <w:t>)</w:t>
      </w:r>
    </w:p>
    <w:p w14:paraId="688B5D8B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5909BC0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V obdobju začas</w:t>
      </w:r>
      <w:r w:rsidR="002A52DE" w:rsidRPr="00983A8D">
        <w:rPr>
          <w:sz w:val="20"/>
        </w:rPr>
        <w:t>nega financiranja Občine Oplotnica v letu 20</w:t>
      </w:r>
      <w:r w:rsidR="00FA00C7">
        <w:rPr>
          <w:sz w:val="20"/>
        </w:rPr>
        <w:t>2</w:t>
      </w:r>
      <w:r w:rsidR="00FB7DA5">
        <w:rPr>
          <w:sz w:val="20"/>
        </w:rPr>
        <w:t>2</w:t>
      </w:r>
      <w:r w:rsidRPr="00983A8D">
        <w:rPr>
          <w:sz w:val="20"/>
        </w:rPr>
        <w:t>, če bo začasno financiranje potrebno, se uporablja ta odlok in sklep o določitvi začasnega financiranja.</w:t>
      </w:r>
    </w:p>
    <w:p w14:paraId="57B3F10F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2D33C44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1</w:t>
      </w:r>
      <w:r w:rsidR="00D0501C" w:rsidRPr="00983A8D">
        <w:rPr>
          <w:sz w:val="20"/>
        </w:rPr>
        <w:t>4</w:t>
      </w:r>
      <w:r w:rsidRPr="00983A8D">
        <w:rPr>
          <w:sz w:val="20"/>
        </w:rPr>
        <w:t>. člen</w:t>
      </w:r>
    </w:p>
    <w:p w14:paraId="35FD02D3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0"/>
        </w:rPr>
      </w:pPr>
      <w:r w:rsidRPr="00983A8D">
        <w:rPr>
          <w:sz w:val="20"/>
        </w:rPr>
        <w:t>(uveljavitev odloka)</w:t>
      </w:r>
    </w:p>
    <w:p w14:paraId="4662333E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0549C27" w14:textId="77777777" w:rsidR="003D379B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 xml:space="preserve">Ta odlok začne veljati naslednji dan po objavi v </w:t>
      </w:r>
      <w:r w:rsidR="009F2B2B">
        <w:rPr>
          <w:sz w:val="20"/>
        </w:rPr>
        <w:t>Uradnem glasilu slovenskih občin</w:t>
      </w:r>
      <w:r w:rsidR="002A52DE" w:rsidRPr="00983A8D">
        <w:rPr>
          <w:sz w:val="20"/>
        </w:rPr>
        <w:t>.</w:t>
      </w:r>
    </w:p>
    <w:p w14:paraId="08F75AB7" w14:textId="77777777" w:rsidR="003910DC" w:rsidRPr="00983A8D" w:rsidRDefault="003910D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145FCA17" w14:textId="77777777" w:rsidR="002A52DE" w:rsidRPr="00983A8D" w:rsidRDefault="003D379B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Številka:</w:t>
      </w:r>
      <w:r w:rsidR="00583066" w:rsidRPr="00983A8D">
        <w:rPr>
          <w:sz w:val="20"/>
        </w:rPr>
        <w:t xml:space="preserve"> </w:t>
      </w:r>
    </w:p>
    <w:p w14:paraId="39D8A341" w14:textId="77777777" w:rsidR="009F2B2B" w:rsidRDefault="00755549" w:rsidP="0075554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>Oplotnica,</w:t>
      </w:r>
      <w:r w:rsidR="008E496D">
        <w:rPr>
          <w:sz w:val="20"/>
        </w:rPr>
        <w:t xml:space="preserve">  </w:t>
      </w:r>
      <w:r w:rsidR="003D379B" w:rsidRPr="00983A8D">
        <w:rPr>
          <w:sz w:val="20"/>
        </w:rPr>
        <w:tab/>
      </w:r>
      <w:r w:rsidR="003D379B" w:rsidRPr="00983A8D">
        <w:rPr>
          <w:sz w:val="20"/>
        </w:rPr>
        <w:tab/>
      </w:r>
      <w:r w:rsidR="005F36D3">
        <w:rPr>
          <w:sz w:val="20"/>
        </w:rPr>
        <w:tab/>
      </w:r>
      <w:r w:rsidR="009F2B2B">
        <w:rPr>
          <w:sz w:val="20"/>
        </w:rPr>
        <w:tab/>
      </w:r>
      <w:r w:rsidR="009F2B2B">
        <w:rPr>
          <w:sz w:val="20"/>
        </w:rPr>
        <w:tab/>
      </w:r>
      <w:r w:rsidR="002A52DE" w:rsidRPr="00983A8D">
        <w:rPr>
          <w:sz w:val="20"/>
        </w:rPr>
        <w:tab/>
      </w:r>
    </w:p>
    <w:p w14:paraId="46FBD8B8" w14:textId="77777777" w:rsidR="009F2B2B" w:rsidRDefault="009F2B2B" w:rsidP="0075554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6B5D818" w14:textId="77777777" w:rsidR="009F2B2B" w:rsidRDefault="009F2B2B" w:rsidP="0075554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92FF4F9" w14:textId="77777777" w:rsidR="003D379B" w:rsidRPr="00983A8D" w:rsidRDefault="009F2B2B" w:rsidP="00755549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3D379B" w:rsidRPr="00983A8D">
        <w:rPr>
          <w:sz w:val="20"/>
        </w:rPr>
        <w:t>OBČINA</w:t>
      </w:r>
      <w:r w:rsidR="002A52DE" w:rsidRPr="00983A8D">
        <w:rPr>
          <w:sz w:val="20"/>
        </w:rPr>
        <w:t xml:space="preserve"> OPLOTNICA</w:t>
      </w:r>
    </w:p>
    <w:p w14:paraId="4FD5CFA5" w14:textId="77777777" w:rsidR="003D379B" w:rsidRPr="00983A8D" w:rsidRDefault="002A52D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="00583066" w:rsidRPr="00983A8D">
        <w:rPr>
          <w:sz w:val="20"/>
        </w:rPr>
        <w:t>župan</w:t>
      </w:r>
    </w:p>
    <w:p w14:paraId="588BC8F4" w14:textId="77777777" w:rsidR="003910DC" w:rsidRDefault="00A41063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</w:r>
      <w:r w:rsidRPr="00983A8D">
        <w:rPr>
          <w:sz w:val="20"/>
        </w:rPr>
        <w:tab/>
        <w:t xml:space="preserve">        </w:t>
      </w:r>
      <w:r w:rsidR="002A52DE" w:rsidRPr="00983A8D">
        <w:rPr>
          <w:sz w:val="20"/>
        </w:rPr>
        <w:t xml:space="preserve">  Matjaž Orter</w:t>
      </w:r>
    </w:p>
    <w:p w14:paraId="05A91495" w14:textId="77777777" w:rsidR="00BF07C1" w:rsidRDefault="00BF07C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p w14:paraId="428746BC" w14:textId="77777777" w:rsidR="00BF07C1" w:rsidRDefault="00BF07C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0"/>
        </w:rPr>
      </w:pPr>
    </w:p>
    <w:sectPr w:rsidR="00BF07C1">
      <w:footerReference w:type="even" r:id="rId24"/>
      <w:footerReference w:type="default" r:id="rId2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EA4F" w14:textId="77777777" w:rsidR="00125124" w:rsidRDefault="00125124">
      <w:r>
        <w:separator/>
      </w:r>
    </w:p>
  </w:endnote>
  <w:endnote w:type="continuationSeparator" w:id="0">
    <w:p w14:paraId="6FC7FB22" w14:textId="77777777" w:rsidR="00125124" w:rsidRDefault="0012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ACA9" w14:textId="77777777" w:rsidR="00E80C12" w:rsidRDefault="00E80C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84AC61" w14:textId="77777777" w:rsidR="00E80C12" w:rsidRDefault="00E80C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1864" w14:textId="77777777" w:rsidR="00E80C12" w:rsidRPr="003751CF" w:rsidRDefault="00E80C12" w:rsidP="003751CF">
    <w:pPr>
      <w:pStyle w:val="Noga"/>
      <w:framePr w:wrap="around" w:vAnchor="text" w:hAnchor="page" w:x="5824" w:y="3"/>
      <w:rPr>
        <w:rStyle w:val="tevilkastrani"/>
        <w:rFonts w:ascii="Times New Roman" w:hAnsi="Times New Roman"/>
        <w:sz w:val="16"/>
        <w:szCs w:val="16"/>
      </w:rPr>
    </w:pPr>
    <w:r w:rsidRPr="003751CF">
      <w:rPr>
        <w:rStyle w:val="tevilkastrani"/>
        <w:sz w:val="16"/>
        <w:szCs w:val="16"/>
      </w:rPr>
      <w:fldChar w:fldCharType="begin"/>
    </w:r>
    <w:r w:rsidRPr="003751CF">
      <w:rPr>
        <w:rStyle w:val="tevilkastrani"/>
        <w:sz w:val="16"/>
        <w:szCs w:val="16"/>
      </w:rPr>
      <w:instrText xml:space="preserve">PAGE  </w:instrText>
    </w:r>
    <w:r w:rsidRPr="003751CF">
      <w:rPr>
        <w:rStyle w:val="tevilkastrani"/>
        <w:sz w:val="16"/>
        <w:szCs w:val="16"/>
      </w:rPr>
      <w:fldChar w:fldCharType="separate"/>
    </w:r>
    <w:r w:rsidR="00257187">
      <w:rPr>
        <w:rStyle w:val="tevilkastrani"/>
        <w:noProof/>
        <w:sz w:val="16"/>
        <w:szCs w:val="16"/>
      </w:rPr>
      <w:t>1</w:t>
    </w:r>
    <w:r w:rsidRPr="003751CF">
      <w:rPr>
        <w:rStyle w:val="tevilkastrani"/>
        <w:sz w:val="16"/>
        <w:szCs w:val="16"/>
      </w:rPr>
      <w:fldChar w:fldCharType="end"/>
    </w:r>
  </w:p>
  <w:p w14:paraId="01F4924B" w14:textId="77777777" w:rsidR="00E80C12" w:rsidRDefault="00E80C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F973" w14:textId="77777777" w:rsidR="00125124" w:rsidRDefault="00125124">
      <w:r>
        <w:separator/>
      </w:r>
    </w:p>
  </w:footnote>
  <w:footnote w:type="continuationSeparator" w:id="0">
    <w:p w14:paraId="3E41182A" w14:textId="77777777" w:rsidR="00125124" w:rsidRDefault="0012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501CE"/>
    <w:multiLevelType w:val="hybridMultilevel"/>
    <w:tmpl w:val="19460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276"/>
    <w:multiLevelType w:val="hybridMultilevel"/>
    <w:tmpl w:val="B4FCD74A"/>
    <w:lvl w:ilvl="0" w:tplc="27D474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45C"/>
    <w:multiLevelType w:val="hybridMultilevel"/>
    <w:tmpl w:val="A3E89566"/>
    <w:lvl w:ilvl="0" w:tplc="DE68F2BC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C4717"/>
    <w:multiLevelType w:val="hybridMultilevel"/>
    <w:tmpl w:val="ACE8C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5C2B"/>
    <w:multiLevelType w:val="hybridMultilevel"/>
    <w:tmpl w:val="0A20C3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7"/>
    <w:rsid w:val="0001021A"/>
    <w:rsid w:val="00054661"/>
    <w:rsid w:val="0007177B"/>
    <w:rsid w:val="00091793"/>
    <w:rsid w:val="00094C5C"/>
    <w:rsid w:val="00094D5B"/>
    <w:rsid w:val="000A0A15"/>
    <w:rsid w:val="000A0E96"/>
    <w:rsid w:val="000A291E"/>
    <w:rsid w:val="000D06A5"/>
    <w:rsid w:val="000E6826"/>
    <w:rsid w:val="00100874"/>
    <w:rsid w:val="00101E39"/>
    <w:rsid w:val="00105F62"/>
    <w:rsid w:val="001238F4"/>
    <w:rsid w:val="00125124"/>
    <w:rsid w:val="0015417D"/>
    <w:rsid w:val="0016758F"/>
    <w:rsid w:val="0017281E"/>
    <w:rsid w:val="001775CC"/>
    <w:rsid w:val="0018696B"/>
    <w:rsid w:val="001A600F"/>
    <w:rsid w:val="001E32D6"/>
    <w:rsid w:val="001F49F7"/>
    <w:rsid w:val="00205CBF"/>
    <w:rsid w:val="002141EF"/>
    <w:rsid w:val="00217086"/>
    <w:rsid w:val="00222627"/>
    <w:rsid w:val="00240F0E"/>
    <w:rsid w:val="00257187"/>
    <w:rsid w:val="002659E9"/>
    <w:rsid w:val="002668F4"/>
    <w:rsid w:val="002702ED"/>
    <w:rsid w:val="00281C45"/>
    <w:rsid w:val="00286852"/>
    <w:rsid w:val="002A15FF"/>
    <w:rsid w:val="002A52DE"/>
    <w:rsid w:val="002B123D"/>
    <w:rsid w:val="002B3BA0"/>
    <w:rsid w:val="002B4337"/>
    <w:rsid w:val="002F7A05"/>
    <w:rsid w:val="00300A9A"/>
    <w:rsid w:val="00302047"/>
    <w:rsid w:val="003039A8"/>
    <w:rsid w:val="00316186"/>
    <w:rsid w:val="00321B52"/>
    <w:rsid w:val="003353A9"/>
    <w:rsid w:val="00355BEB"/>
    <w:rsid w:val="00360313"/>
    <w:rsid w:val="00370C73"/>
    <w:rsid w:val="003751CF"/>
    <w:rsid w:val="0037727D"/>
    <w:rsid w:val="003863DA"/>
    <w:rsid w:val="003910DC"/>
    <w:rsid w:val="00395BE6"/>
    <w:rsid w:val="0039699D"/>
    <w:rsid w:val="00397F22"/>
    <w:rsid w:val="003A1771"/>
    <w:rsid w:val="003B66A5"/>
    <w:rsid w:val="003D212A"/>
    <w:rsid w:val="003D379B"/>
    <w:rsid w:val="003E5235"/>
    <w:rsid w:val="003F1BC0"/>
    <w:rsid w:val="003F4E46"/>
    <w:rsid w:val="003F7A46"/>
    <w:rsid w:val="004003F7"/>
    <w:rsid w:val="0041114A"/>
    <w:rsid w:val="004144EE"/>
    <w:rsid w:val="0041749D"/>
    <w:rsid w:val="00422578"/>
    <w:rsid w:val="00424743"/>
    <w:rsid w:val="00434477"/>
    <w:rsid w:val="00440B60"/>
    <w:rsid w:val="00440F4D"/>
    <w:rsid w:val="00444100"/>
    <w:rsid w:val="0044484F"/>
    <w:rsid w:val="00446A58"/>
    <w:rsid w:val="004541C9"/>
    <w:rsid w:val="0046034D"/>
    <w:rsid w:val="00464E85"/>
    <w:rsid w:val="00474B14"/>
    <w:rsid w:val="00484994"/>
    <w:rsid w:val="004923D7"/>
    <w:rsid w:val="00497246"/>
    <w:rsid w:val="004B640B"/>
    <w:rsid w:val="004C3E0B"/>
    <w:rsid w:val="004D2A89"/>
    <w:rsid w:val="004E255D"/>
    <w:rsid w:val="004E54B4"/>
    <w:rsid w:val="004F0A6E"/>
    <w:rsid w:val="004F5EDC"/>
    <w:rsid w:val="004F6BD3"/>
    <w:rsid w:val="00514890"/>
    <w:rsid w:val="005264EE"/>
    <w:rsid w:val="00527BF4"/>
    <w:rsid w:val="0053319C"/>
    <w:rsid w:val="005418CD"/>
    <w:rsid w:val="00542C74"/>
    <w:rsid w:val="00545495"/>
    <w:rsid w:val="005464C7"/>
    <w:rsid w:val="0054662D"/>
    <w:rsid w:val="005652ED"/>
    <w:rsid w:val="00583066"/>
    <w:rsid w:val="005A0D0E"/>
    <w:rsid w:val="005B68F5"/>
    <w:rsid w:val="005C45CE"/>
    <w:rsid w:val="005D16D8"/>
    <w:rsid w:val="005D18DA"/>
    <w:rsid w:val="005F36D3"/>
    <w:rsid w:val="006022E7"/>
    <w:rsid w:val="006038F1"/>
    <w:rsid w:val="00604A08"/>
    <w:rsid w:val="00613C12"/>
    <w:rsid w:val="006161D6"/>
    <w:rsid w:val="006174F2"/>
    <w:rsid w:val="00632231"/>
    <w:rsid w:val="006349B8"/>
    <w:rsid w:val="00666F8F"/>
    <w:rsid w:val="0067216C"/>
    <w:rsid w:val="006912A1"/>
    <w:rsid w:val="006A7621"/>
    <w:rsid w:val="006B0DA3"/>
    <w:rsid w:val="006C7F35"/>
    <w:rsid w:val="006D4349"/>
    <w:rsid w:val="006E53EC"/>
    <w:rsid w:val="006F0310"/>
    <w:rsid w:val="006F588D"/>
    <w:rsid w:val="0070000A"/>
    <w:rsid w:val="00705137"/>
    <w:rsid w:val="00705191"/>
    <w:rsid w:val="0072288C"/>
    <w:rsid w:val="0072475A"/>
    <w:rsid w:val="00726A1C"/>
    <w:rsid w:val="007343CA"/>
    <w:rsid w:val="007347B4"/>
    <w:rsid w:val="007369FF"/>
    <w:rsid w:val="00755549"/>
    <w:rsid w:val="007745BA"/>
    <w:rsid w:val="007833C8"/>
    <w:rsid w:val="007B02F4"/>
    <w:rsid w:val="007B474F"/>
    <w:rsid w:val="007B6D01"/>
    <w:rsid w:val="007C5B9A"/>
    <w:rsid w:val="007D0200"/>
    <w:rsid w:val="007F66BA"/>
    <w:rsid w:val="00802BA3"/>
    <w:rsid w:val="00803022"/>
    <w:rsid w:val="00820FDA"/>
    <w:rsid w:val="00821ADD"/>
    <w:rsid w:val="00823C4E"/>
    <w:rsid w:val="00843F1D"/>
    <w:rsid w:val="0084549D"/>
    <w:rsid w:val="00847D2B"/>
    <w:rsid w:val="008547A2"/>
    <w:rsid w:val="00860F4C"/>
    <w:rsid w:val="00861B4D"/>
    <w:rsid w:val="00862258"/>
    <w:rsid w:val="008703A8"/>
    <w:rsid w:val="00890A3F"/>
    <w:rsid w:val="00893429"/>
    <w:rsid w:val="00894856"/>
    <w:rsid w:val="00896086"/>
    <w:rsid w:val="008B3BA1"/>
    <w:rsid w:val="008C015B"/>
    <w:rsid w:val="008C716B"/>
    <w:rsid w:val="008D5825"/>
    <w:rsid w:val="008E496D"/>
    <w:rsid w:val="008F2572"/>
    <w:rsid w:val="008F41FC"/>
    <w:rsid w:val="008F7C2E"/>
    <w:rsid w:val="00901551"/>
    <w:rsid w:val="00922A33"/>
    <w:rsid w:val="00923997"/>
    <w:rsid w:val="00931E0F"/>
    <w:rsid w:val="00946A5E"/>
    <w:rsid w:val="009827E0"/>
    <w:rsid w:val="00983A8D"/>
    <w:rsid w:val="009840F0"/>
    <w:rsid w:val="00992DB6"/>
    <w:rsid w:val="0099474A"/>
    <w:rsid w:val="00996648"/>
    <w:rsid w:val="009A239E"/>
    <w:rsid w:val="009D2E19"/>
    <w:rsid w:val="009E3A04"/>
    <w:rsid w:val="009F2B2B"/>
    <w:rsid w:val="00A01FD4"/>
    <w:rsid w:val="00A07496"/>
    <w:rsid w:val="00A12A5F"/>
    <w:rsid w:val="00A25617"/>
    <w:rsid w:val="00A3690A"/>
    <w:rsid w:val="00A41063"/>
    <w:rsid w:val="00A43D42"/>
    <w:rsid w:val="00A46028"/>
    <w:rsid w:val="00A5472C"/>
    <w:rsid w:val="00A56DC4"/>
    <w:rsid w:val="00A60493"/>
    <w:rsid w:val="00A651B6"/>
    <w:rsid w:val="00A70323"/>
    <w:rsid w:val="00A81AD9"/>
    <w:rsid w:val="00A83AC7"/>
    <w:rsid w:val="00A93838"/>
    <w:rsid w:val="00AA6CEA"/>
    <w:rsid w:val="00AB0632"/>
    <w:rsid w:val="00AC3791"/>
    <w:rsid w:val="00AD7799"/>
    <w:rsid w:val="00B224DC"/>
    <w:rsid w:val="00B228E7"/>
    <w:rsid w:val="00B550F0"/>
    <w:rsid w:val="00B6122C"/>
    <w:rsid w:val="00B75F78"/>
    <w:rsid w:val="00B93FB6"/>
    <w:rsid w:val="00BB13BC"/>
    <w:rsid w:val="00BC464E"/>
    <w:rsid w:val="00BD1B80"/>
    <w:rsid w:val="00BD2515"/>
    <w:rsid w:val="00BE6428"/>
    <w:rsid w:val="00BE6AC5"/>
    <w:rsid w:val="00BF07C1"/>
    <w:rsid w:val="00C33862"/>
    <w:rsid w:val="00C33EEE"/>
    <w:rsid w:val="00C34549"/>
    <w:rsid w:val="00C37FDA"/>
    <w:rsid w:val="00C51CF4"/>
    <w:rsid w:val="00C5400D"/>
    <w:rsid w:val="00C61C29"/>
    <w:rsid w:val="00C868F5"/>
    <w:rsid w:val="00C97620"/>
    <w:rsid w:val="00CB0633"/>
    <w:rsid w:val="00CE273F"/>
    <w:rsid w:val="00CE39EA"/>
    <w:rsid w:val="00CF09B8"/>
    <w:rsid w:val="00CF79AE"/>
    <w:rsid w:val="00D04906"/>
    <w:rsid w:val="00D0501C"/>
    <w:rsid w:val="00D072B2"/>
    <w:rsid w:val="00D13D34"/>
    <w:rsid w:val="00D2334D"/>
    <w:rsid w:val="00D42044"/>
    <w:rsid w:val="00D42D34"/>
    <w:rsid w:val="00D512D1"/>
    <w:rsid w:val="00D6616B"/>
    <w:rsid w:val="00D74027"/>
    <w:rsid w:val="00D753D1"/>
    <w:rsid w:val="00D96FC3"/>
    <w:rsid w:val="00DA0A0E"/>
    <w:rsid w:val="00DA5942"/>
    <w:rsid w:val="00DA7201"/>
    <w:rsid w:val="00DB0B19"/>
    <w:rsid w:val="00DB7819"/>
    <w:rsid w:val="00DC0551"/>
    <w:rsid w:val="00DC1426"/>
    <w:rsid w:val="00DD1F02"/>
    <w:rsid w:val="00DE301E"/>
    <w:rsid w:val="00E00B09"/>
    <w:rsid w:val="00E0255D"/>
    <w:rsid w:val="00E03464"/>
    <w:rsid w:val="00E7313A"/>
    <w:rsid w:val="00E80C12"/>
    <w:rsid w:val="00E90E3C"/>
    <w:rsid w:val="00E92502"/>
    <w:rsid w:val="00EF3104"/>
    <w:rsid w:val="00F01506"/>
    <w:rsid w:val="00F04092"/>
    <w:rsid w:val="00F161CB"/>
    <w:rsid w:val="00F272B5"/>
    <w:rsid w:val="00F4623F"/>
    <w:rsid w:val="00F54EBA"/>
    <w:rsid w:val="00F55EC4"/>
    <w:rsid w:val="00F6121A"/>
    <w:rsid w:val="00F666DC"/>
    <w:rsid w:val="00F71830"/>
    <w:rsid w:val="00F7309C"/>
    <w:rsid w:val="00FA00C7"/>
    <w:rsid w:val="00FB3816"/>
    <w:rsid w:val="00FB6055"/>
    <w:rsid w:val="00FB7DA5"/>
    <w:rsid w:val="00FD5782"/>
    <w:rsid w:val="00FE6CB9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06A64"/>
  <w15:chartTrackingRefBased/>
  <w15:docId w15:val="{37057D98-D91E-406C-8392-96707030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aliases w:val="PodP"/>
    <w:basedOn w:val="Navaden"/>
    <w:next w:val="Navaden"/>
    <w:qFormat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0"/>
    </w:pPr>
    <w:rPr>
      <w:rFonts w:ascii="Times New Roman" w:hAnsi="Times New Roman"/>
      <w:b/>
      <w:snapToGrid w:val="0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-1440"/>
      </w:tabs>
    </w:pPr>
    <w:rPr>
      <w:rFonts w:ascii="Times New Roman" w:hAnsi="Times New Roman"/>
      <w:sz w:val="24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205CBF"/>
    <w:rPr>
      <w:rFonts w:ascii="Tahoma" w:hAnsi="Tahoma" w:cs="Tahoma"/>
      <w:sz w:val="16"/>
      <w:szCs w:val="16"/>
    </w:rPr>
  </w:style>
  <w:style w:type="character" w:styleId="Hiperpovezava">
    <w:name w:val="Hyperlink"/>
    <w:rsid w:val="00D74027"/>
    <w:rPr>
      <w:color w:val="0000FF"/>
      <w:u w:val="single"/>
    </w:rPr>
  </w:style>
  <w:style w:type="character" w:customStyle="1" w:styleId="Komentar-sklic">
    <w:name w:val="Komentar - sklic"/>
    <w:semiHidden/>
    <w:rsid w:val="00890A3F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890A3F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890A3F"/>
    <w:rPr>
      <w:b/>
      <w:bCs/>
    </w:rPr>
  </w:style>
  <w:style w:type="paragraph" w:styleId="Glava">
    <w:name w:val="header"/>
    <w:basedOn w:val="Navaden"/>
    <w:link w:val="GlavaZnak"/>
    <w:rsid w:val="003751C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751C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5757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60952">
      <w:bodyDiv w:val="1"/>
      <w:marLeft w:val="0"/>
      <w:marRight w:val="0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6429">
                              <w:marLeft w:val="44"/>
                              <w:marRight w:val="44"/>
                              <w:marTop w:val="44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1-01-04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22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hyperlink" Target="http://www.uradni-list.si/1/objava.jsp?sop=2013-01-36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23" Type="http://schemas.openxmlformats.org/officeDocument/2006/relationships/hyperlink" Target="http://www.uradni-list.si/1/objava.jsp?sop=2018-01-0544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13-21-0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15-01-37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0C85-D075-441F-A53C-752F11F0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1776</Words>
  <Characters>13558</Characters>
  <Application>Microsoft Office Word</Application>
  <DocSecurity>0</DocSecurity>
  <Lines>112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29</vt:lpstr>
      <vt:lpstr>Na podlagi 29</vt:lpstr>
    </vt:vector>
  </TitlesOfParts>
  <Company>MFRS</Company>
  <LinksUpToDate>false</LinksUpToDate>
  <CharactersWithSpaces>15304</CharactersWithSpaces>
  <SharedDoc>false</SharedDoc>
  <HLinks>
    <vt:vector size="84" baseType="variant">
      <vt:variant>
        <vt:i4>7471141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  <vt:variant>
        <vt:i4>7471139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http://www.uradni-list.si/1/objava.jsp?sop=2018-01-1356</vt:lpwstr>
      </vt:variant>
      <vt:variant>
        <vt:lpwstr/>
      </vt:variant>
      <vt:variant>
        <vt:i4>7536676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MF51040</dc:creator>
  <cp:keywords/>
  <dc:description/>
  <cp:lastModifiedBy>Danijela Dovnik</cp:lastModifiedBy>
  <cp:revision>14</cp:revision>
  <cp:lastPrinted>2021-01-22T07:49:00Z</cp:lastPrinted>
  <dcterms:created xsi:type="dcterms:W3CDTF">2021-01-20T14:36:00Z</dcterms:created>
  <dcterms:modified xsi:type="dcterms:W3CDTF">2021-01-22T08:30:00Z</dcterms:modified>
</cp:coreProperties>
</file>