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2F" w:rsidRPr="00AA3195" w:rsidRDefault="00D85A2F" w:rsidP="00D85A2F">
      <w:pPr>
        <w:autoSpaceDE w:val="0"/>
        <w:autoSpaceDN w:val="0"/>
        <w:adjustRightInd w:val="0"/>
      </w:pPr>
      <w:r w:rsidRPr="00AA3195">
        <w:t xml:space="preserve">Številka: </w:t>
      </w:r>
      <w:r w:rsidR="00AE26E8">
        <w:t>410-7/2019</w:t>
      </w:r>
    </w:p>
    <w:p w:rsidR="00D85A2F" w:rsidRPr="00AA3195" w:rsidRDefault="00D85A2F" w:rsidP="00D85A2F">
      <w:pPr>
        <w:autoSpaceDE w:val="0"/>
        <w:autoSpaceDN w:val="0"/>
        <w:adjustRightInd w:val="0"/>
      </w:pPr>
      <w:r>
        <w:t xml:space="preserve">Datum: </w:t>
      </w:r>
      <w:r w:rsidR="00894E5A">
        <w:t>9. 4</w:t>
      </w:r>
      <w:r>
        <w:t>. 2019</w:t>
      </w:r>
    </w:p>
    <w:p w:rsidR="00D85A2F" w:rsidRDefault="00D85A2F" w:rsidP="00D85A2F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D85A2F" w:rsidRPr="00AA3195" w:rsidRDefault="00D85A2F" w:rsidP="00D85A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MESTNI SVET</w:t>
      </w:r>
    </w:p>
    <w:p w:rsidR="00D85A2F" w:rsidRDefault="00D85A2F" w:rsidP="00D85A2F">
      <w:pPr>
        <w:autoSpaceDE w:val="0"/>
        <w:autoSpaceDN w:val="0"/>
        <w:adjustRightInd w:val="0"/>
        <w:rPr>
          <w:b/>
          <w:bCs/>
        </w:rPr>
      </w:pPr>
      <w:r w:rsidRPr="00AA3195">
        <w:rPr>
          <w:b/>
          <w:bCs/>
        </w:rPr>
        <w:t>MESTNE OBČINE PTUJ</w:t>
      </w:r>
    </w:p>
    <w:p w:rsidR="00DA2DE1" w:rsidRPr="00AA3195" w:rsidRDefault="00DA2DE1" w:rsidP="00D85A2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F2B">
              <w:rPr>
                <w:b/>
              </w:rPr>
              <w:t>ZADEVA:</w:t>
            </w:r>
          </w:p>
        </w:tc>
        <w:tc>
          <w:tcPr>
            <w:tcW w:w="6705" w:type="dxa"/>
            <w:shd w:val="clear" w:color="auto" w:fill="auto"/>
          </w:tcPr>
          <w:p w:rsidR="00D85A2F" w:rsidRPr="00C86F2B" w:rsidRDefault="00D85A2F" w:rsidP="00AE26E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E047D">
              <w:t>Predlog</w:t>
            </w:r>
            <w:r w:rsidRPr="00C86F2B">
              <w:rPr>
                <w:bCs/>
              </w:rPr>
              <w:t xml:space="preserve"> za obravnavo na </w:t>
            </w:r>
            <w:r w:rsidR="00AE26E8">
              <w:rPr>
                <w:bCs/>
              </w:rPr>
              <w:t>5</w:t>
            </w:r>
            <w:r w:rsidRPr="00C86F2B">
              <w:rPr>
                <w:bCs/>
              </w:rPr>
              <w:t>. redni seji Mestnega sveta Mestne občine Ptuj</w:t>
            </w: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4E047D" w:rsidRDefault="00D85A2F" w:rsidP="006D7990">
            <w:pPr>
              <w:autoSpaceDE w:val="0"/>
              <w:autoSpaceDN w:val="0"/>
              <w:adjustRightInd w:val="0"/>
              <w:jc w:val="both"/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NASLOV:</w:t>
            </w:r>
          </w:p>
        </w:tc>
        <w:tc>
          <w:tcPr>
            <w:tcW w:w="6705" w:type="dxa"/>
            <w:shd w:val="clear" w:color="auto" w:fill="auto"/>
          </w:tcPr>
          <w:p w:rsidR="00D85A2F" w:rsidRPr="0051243C" w:rsidRDefault="00D85A2F" w:rsidP="00AE26E8">
            <w:pPr>
              <w:autoSpaceDE w:val="0"/>
              <w:autoSpaceDN w:val="0"/>
              <w:adjustRightInd w:val="0"/>
              <w:jc w:val="both"/>
            </w:pPr>
            <w:r w:rsidRPr="0051243C">
              <w:t xml:space="preserve">Predlog Sklepa o potrditvi </w:t>
            </w:r>
            <w:r w:rsidR="00AE26E8" w:rsidRPr="0051243C">
              <w:t xml:space="preserve">spremembe </w:t>
            </w:r>
            <w:r w:rsidRPr="0051243C">
              <w:t xml:space="preserve">Načrta razvojnega programa (NRP) »Ureditev površin za </w:t>
            </w:r>
            <w:r w:rsidR="00AE26E8" w:rsidRPr="0051243C">
              <w:t>pešce in kolesarje na Gregorčičevem drevoredu</w:t>
            </w:r>
            <w:r w:rsidR="00400A3F" w:rsidRPr="0051243C">
              <w:t>«</w:t>
            </w: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C310A9" w:rsidRDefault="00D85A2F" w:rsidP="006D7990">
            <w:pPr>
              <w:autoSpaceDE w:val="0"/>
              <w:autoSpaceDN w:val="0"/>
              <w:adjustRightInd w:val="0"/>
              <w:jc w:val="both"/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PRIPRAVIL:</w:t>
            </w:r>
          </w:p>
        </w:tc>
        <w:tc>
          <w:tcPr>
            <w:tcW w:w="6705" w:type="dxa"/>
            <w:shd w:val="clear" w:color="auto" w:fill="auto"/>
          </w:tcPr>
          <w:p w:rsidR="00D85A2F" w:rsidRDefault="00894E5A" w:rsidP="006D7990">
            <w:pPr>
              <w:autoSpaceDE w:val="0"/>
              <w:autoSpaceDN w:val="0"/>
              <w:adjustRightInd w:val="0"/>
            </w:pPr>
            <w:r>
              <w:t>Oddelek za gospodarske dejavnosti</w:t>
            </w:r>
          </w:p>
          <w:p w:rsidR="00D85A2F" w:rsidRPr="004E047D" w:rsidRDefault="00D85A2F" w:rsidP="006D7990">
            <w:pPr>
              <w:autoSpaceDE w:val="0"/>
              <w:autoSpaceDN w:val="0"/>
              <w:adjustRightInd w:val="0"/>
            </w:pPr>
            <w:r>
              <w:t>Tina Zamuda, višja svetovalka</w:t>
            </w: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Default="00D85A2F" w:rsidP="006D7990">
            <w:pPr>
              <w:autoSpaceDE w:val="0"/>
              <w:autoSpaceDN w:val="0"/>
              <w:adjustRightInd w:val="0"/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</w:rPr>
            </w:pPr>
            <w:r w:rsidRPr="00C86F2B">
              <w:rPr>
                <w:b/>
              </w:rPr>
              <w:t xml:space="preserve">PRAVNA </w:t>
            </w:r>
          </w:p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PODLAGA:</w:t>
            </w:r>
          </w:p>
        </w:tc>
        <w:tc>
          <w:tcPr>
            <w:tcW w:w="6705" w:type="dxa"/>
            <w:shd w:val="clear" w:color="auto" w:fill="auto"/>
          </w:tcPr>
          <w:p w:rsidR="00D85A2F" w:rsidRPr="004E047D" w:rsidRDefault="00183B2B" w:rsidP="006F40A4">
            <w:pPr>
              <w:autoSpaceDE w:val="0"/>
              <w:autoSpaceDN w:val="0"/>
              <w:adjustRightInd w:val="0"/>
              <w:jc w:val="both"/>
            </w:pPr>
            <w:r w:rsidRPr="00AA4FA0">
              <w:t>23. člen Statuta Mestne občine Ptuj (Uradni vestnik Mestne občine Ptuj, št. 9/07) in 76. člen Poslovnika Mestnega sveta Mestne občine Ptuj (Uradni vestnik Mestne občine Ptuj, št. 12/07, 1/09, 2/14, 7/15 in 9/17)</w:t>
            </w:r>
          </w:p>
        </w:tc>
      </w:tr>
      <w:tr w:rsidR="00183B2B" w:rsidRPr="00C86F2B" w:rsidTr="00F20CA9">
        <w:tc>
          <w:tcPr>
            <w:tcW w:w="2689" w:type="dxa"/>
            <w:shd w:val="clear" w:color="auto" w:fill="auto"/>
          </w:tcPr>
          <w:p w:rsidR="00183B2B" w:rsidRPr="00C86F2B" w:rsidRDefault="00183B2B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183B2B" w:rsidRPr="008831AF" w:rsidRDefault="00183B2B" w:rsidP="006D79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  <w:bCs/>
              </w:rPr>
              <w:t>POROČEVALEC:</w:t>
            </w:r>
          </w:p>
        </w:tc>
        <w:tc>
          <w:tcPr>
            <w:tcW w:w="6705" w:type="dxa"/>
            <w:shd w:val="clear" w:color="auto" w:fill="auto"/>
          </w:tcPr>
          <w:p w:rsidR="00D85A2F" w:rsidRDefault="00D15798" w:rsidP="00EA4E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798">
              <w:rPr>
                <w:bCs/>
              </w:rPr>
              <w:t>Andrej Trunk</w:t>
            </w:r>
            <w:r w:rsidR="00D85A2F" w:rsidRPr="00D15798">
              <w:rPr>
                <w:bCs/>
              </w:rPr>
              <w:t xml:space="preserve">, </w:t>
            </w:r>
            <w:r w:rsidRPr="00D15798">
              <w:rPr>
                <w:bCs/>
              </w:rPr>
              <w:t>vodja Oddelka</w:t>
            </w:r>
            <w:r w:rsidR="00894E5A" w:rsidRPr="00D15798">
              <w:rPr>
                <w:bCs/>
              </w:rPr>
              <w:t xml:space="preserve"> za gospodarske dejavnosti</w:t>
            </w:r>
          </w:p>
          <w:p w:rsidR="00E96B86" w:rsidRPr="00D15798" w:rsidRDefault="00E96B86" w:rsidP="00EA4E1D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Tina Zamuda, višja svetovalka, Oddelek za gospodarske dejavnosti</w:t>
            </w: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6F2B">
              <w:rPr>
                <w:b/>
                <w:bCs/>
              </w:rPr>
              <w:t>PRISTOJNO</w:t>
            </w:r>
          </w:p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F2B">
              <w:rPr>
                <w:b/>
                <w:bCs/>
              </w:rPr>
              <w:t>DELOVNO TELO:</w:t>
            </w:r>
          </w:p>
        </w:tc>
        <w:tc>
          <w:tcPr>
            <w:tcW w:w="6705" w:type="dxa"/>
            <w:shd w:val="clear" w:color="auto" w:fill="auto"/>
          </w:tcPr>
          <w:p w:rsidR="00D85A2F" w:rsidRPr="00C86F2B" w:rsidRDefault="00D85A2F" w:rsidP="00EA4E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F2B">
              <w:rPr>
                <w:bCs/>
              </w:rPr>
              <w:t>Odbor za finance, Odbor za gospodarstvo, Odbor za okolje in prostor in gospodarsko infrastrukturo</w:t>
            </w:r>
          </w:p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Default="00D85A2F" w:rsidP="006D7990">
            <w:pPr>
              <w:autoSpaceDE w:val="0"/>
              <w:autoSpaceDN w:val="0"/>
              <w:adjustRightInd w:val="0"/>
              <w:jc w:val="both"/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6F2B">
              <w:rPr>
                <w:b/>
                <w:bCs/>
              </w:rPr>
              <w:t>PREDLOG SKLEPA:</w:t>
            </w:r>
          </w:p>
        </w:tc>
        <w:tc>
          <w:tcPr>
            <w:tcW w:w="6705" w:type="dxa"/>
            <w:shd w:val="clear" w:color="auto" w:fill="auto"/>
          </w:tcPr>
          <w:p w:rsidR="00D85A2F" w:rsidRDefault="00D85A2F" w:rsidP="00894E5A">
            <w:pPr>
              <w:autoSpaceDE w:val="0"/>
              <w:autoSpaceDN w:val="0"/>
              <w:adjustRightInd w:val="0"/>
              <w:jc w:val="both"/>
            </w:pPr>
            <w:r>
              <w:t>Mestni svet</w:t>
            </w:r>
            <w:r w:rsidRPr="00AA3195">
              <w:t xml:space="preserve"> Mestne občine P</w:t>
            </w:r>
            <w:r>
              <w:t xml:space="preserve">tuj sprejme </w:t>
            </w:r>
            <w:r w:rsidRPr="00AA3195">
              <w:t xml:space="preserve">predlog </w:t>
            </w:r>
            <w:r w:rsidRPr="00C310A9">
              <w:t xml:space="preserve">Sklepa o potrditvi </w:t>
            </w:r>
            <w:r w:rsidR="00894E5A">
              <w:t xml:space="preserve">spremembe </w:t>
            </w:r>
            <w:r>
              <w:t xml:space="preserve">Načrta razvojnega programa (NRP) </w:t>
            </w:r>
            <w:r w:rsidR="00894E5A" w:rsidRPr="00894E5A">
              <w:t>»Ureditev površin za pešce in kolesarje na Gregorčičevem drevoredu«</w:t>
            </w:r>
          </w:p>
          <w:p w:rsidR="00894E5A" w:rsidRPr="00C86F2B" w:rsidRDefault="00894E5A" w:rsidP="00894E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D85A2F" w:rsidRPr="00AA3195" w:rsidRDefault="00D85A2F" w:rsidP="00D85A2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="00400A3F">
        <w:rPr>
          <w:b/>
          <w:bCs/>
        </w:rPr>
        <w:t xml:space="preserve">                         </w:t>
      </w:r>
      <w:r w:rsidR="0028200C">
        <w:rPr>
          <w:b/>
          <w:bCs/>
        </w:rPr>
        <w:t xml:space="preserve"> </w:t>
      </w:r>
      <w:r>
        <w:rPr>
          <w:b/>
          <w:bCs/>
        </w:rPr>
        <w:t>Nuška GAJŠEK</w:t>
      </w:r>
      <w:r w:rsidRPr="00AA3195">
        <w:rPr>
          <w:b/>
          <w:bCs/>
        </w:rPr>
        <w:t>,</w:t>
      </w:r>
    </w:p>
    <w:p w:rsidR="00D85A2F" w:rsidRPr="00AA3195" w:rsidRDefault="00400A3F" w:rsidP="00400A3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D85A2F" w:rsidRPr="00AA3195">
        <w:rPr>
          <w:b/>
          <w:bCs/>
        </w:rPr>
        <w:t>župan</w:t>
      </w:r>
      <w:r w:rsidR="00D85A2F">
        <w:rPr>
          <w:b/>
          <w:bCs/>
        </w:rPr>
        <w:t>ja</w:t>
      </w:r>
      <w:r w:rsidR="00D85A2F" w:rsidRPr="00AA3195">
        <w:rPr>
          <w:b/>
          <w:bCs/>
        </w:rPr>
        <w:t xml:space="preserve"> Mestne občine Ptuj</w:t>
      </w:r>
    </w:p>
    <w:p w:rsidR="00D85A2F" w:rsidRDefault="00D85A2F" w:rsidP="00D85A2F">
      <w:pPr>
        <w:autoSpaceDE w:val="0"/>
        <w:autoSpaceDN w:val="0"/>
        <w:adjustRightInd w:val="0"/>
      </w:pPr>
    </w:p>
    <w:p w:rsidR="00D85A2F" w:rsidRPr="00AA3195" w:rsidRDefault="00D85A2F" w:rsidP="00D85A2F">
      <w:pPr>
        <w:autoSpaceDE w:val="0"/>
        <w:autoSpaceDN w:val="0"/>
        <w:adjustRightInd w:val="0"/>
      </w:pPr>
      <w:r w:rsidRPr="00AA3195">
        <w:t>Priloge:</w:t>
      </w:r>
    </w:p>
    <w:p w:rsidR="00D85A2F" w:rsidRDefault="00D85A2F" w:rsidP="00D85A2F">
      <w:pPr>
        <w:numPr>
          <w:ilvl w:val="0"/>
          <w:numId w:val="8"/>
        </w:numPr>
        <w:autoSpaceDE w:val="0"/>
        <w:autoSpaceDN w:val="0"/>
        <w:adjustRightInd w:val="0"/>
      </w:pPr>
      <w:r w:rsidRPr="0030166E">
        <w:t>predlog sklepa z obrazložitvijo</w:t>
      </w:r>
      <w:r w:rsidRPr="0036716A">
        <w:t xml:space="preserve"> </w:t>
      </w:r>
    </w:p>
    <w:p w:rsidR="00894E5A" w:rsidRDefault="00D85A2F" w:rsidP="00894E5A">
      <w:pPr>
        <w:numPr>
          <w:ilvl w:val="0"/>
          <w:numId w:val="8"/>
        </w:numPr>
        <w:autoSpaceDE w:val="0"/>
        <w:autoSpaceDN w:val="0"/>
        <w:adjustRightInd w:val="0"/>
      </w:pPr>
      <w:r w:rsidRPr="002875D1">
        <w:t xml:space="preserve">Obrazec 3: </w:t>
      </w:r>
      <w:r w:rsidRPr="0036716A">
        <w:t xml:space="preserve">Načrt razvojnega programa (NRP) </w:t>
      </w:r>
      <w:r w:rsidR="00894E5A" w:rsidRPr="00894E5A">
        <w:t>»Ureditev površin za pešce in kolesarje na Gregorčičevem drevoredu«</w:t>
      </w:r>
    </w:p>
    <w:p w:rsidR="00097307" w:rsidRPr="0052092B" w:rsidRDefault="000E42C3" w:rsidP="00894E5A">
      <w:pPr>
        <w:autoSpaceDE w:val="0"/>
        <w:autoSpaceDN w:val="0"/>
        <w:adjustRightInd w:val="0"/>
        <w:ind w:left="720"/>
        <w:jc w:val="right"/>
      </w:pPr>
      <w:r w:rsidRPr="0052092B">
        <w:br w:type="page"/>
      </w:r>
      <w:r w:rsidR="00097307" w:rsidRPr="0052092B">
        <w:lastRenderedPageBreak/>
        <w:t>PREDLOG</w:t>
      </w:r>
    </w:p>
    <w:p w:rsidR="00097307" w:rsidRPr="0052092B" w:rsidRDefault="0028200C" w:rsidP="00703BF6">
      <w:pPr>
        <w:jc w:val="right"/>
      </w:pPr>
      <w:r>
        <w:t>a</w:t>
      </w:r>
      <w:r w:rsidR="00400A3F">
        <w:t>pril 2019</w:t>
      </w:r>
    </w:p>
    <w:p w:rsidR="00097307" w:rsidRPr="0052092B" w:rsidRDefault="00097307" w:rsidP="00703BF6"/>
    <w:p w:rsidR="00C85045" w:rsidRPr="0052092B" w:rsidRDefault="00C85045" w:rsidP="00C85045">
      <w:pPr>
        <w:jc w:val="both"/>
      </w:pPr>
      <w:r w:rsidRPr="006F40A4">
        <w:rPr>
          <w:shd w:val="clear" w:color="auto" w:fill="FFFFFF" w:themeFill="background1"/>
        </w:rPr>
        <w:t xml:space="preserve">Na podlagi prvega odstavka 8. člena Odloka o proračunu Mestne občine Ptuj za leto </w:t>
      </w:r>
      <w:r w:rsidR="00894E5A" w:rsidRPr="006F40A4">
        <w:rPr>
          <w:shd w:val="clear" w:color="auto" w:fill="FFFFFF" w:themeFill="background1"/>
        </w:rPr>
        <w:t>2019</w:t>
      </w:r>
      <w:r w:rsidRPr="006F40A4">
        <w:t xml:space="preserve"> </w:t>
      </w:r>
      <w:r w:rsidRPr="0052092B">
        <w:t xml:space="preserve">(Uradni vestnik Mestne občine Ptuj, št. </w:t>
      </w:r>
      <w:r w:rsidR="006F40A4">
        <w:t>4/19</w:t>
      </w:r>
      <w:r w:rsidRPr="0052092B">
        <w:t>) in 12. člena Statuta Mestne občine Ptuj (Uradni vestnik Mestne občine Ptuj, št. 9/07) je Mestni svet Mestne občine Ptuj na ___ seji, dne ___________, sprejel naslednji</w:t>
      </w:r>
    </w:p>
    <w:p w:rsidR="00A115CA" w:rsidRPr="0052092B" w:rsidRDefault="00A115CA" w:rsidP="00703BF6">
      <w:pPr>
        <w:jc w:val="right"/>
      </w:pPr>
    </w:p>
    <w:p w:rsidR="00A115CA" w:rsidRPr="0052092B" w:rsidRDefault="00A115CA" w:rsidP="00703BF6">
      <w:pPr>
        <w:jc w:val="center"/>
        <w:rPr>
          <w:b/>
          <w:caps/>
        </w:rPr>
      </w:pPr>
      <w:r w:rsidRPr="0052092B">
        <w:rPr>
          <w:b/>
          <w:caps/>
        </w:rPr>
        <w:t>Sklep</w:t>
      </w:r>
    </w:p>
    <w:p w:rsidR="00B5283C" w:rsidRPr="0052092B" w:rsidRDefault="00A115CA" w:rsidP="00703BF6">
      <w:pPr>
        <w:jc w:val="center"/>
        <w:rPr>
          <w:b/>
          <w:caps/>
        </w:rPr>
      </w:pPr>
      <w:r w:rsidRPr="0052092B">
        <w:rPr>
          <w:b/>
          <w:caps/>
        </w:rPr>
        <w:t xml:space="preserve">o </w:t>
      </w:r>
      <w:r w:rsidR="00D75085" w:rsidRPr="0052092B">
        <w:rPr>
          <w:b/>
          <w:caps/>
        </w:rPr>
        <w:t>POTRDITVI</w:t>
      </w:r>
      <w:r w:rsidR="003E7FED" w:rsidRPr="0052092B">
        <w:rPr>
          <w:b/>
          <w:caps/>
        </w:rPr>
        <w:t xml:space="preserve"> </w:t>
      </w:r>
      <w:r w:rsidR="00FC5126" w:rsidRPr="0052092B">
        <w:rPr>
          <w:b/>
          <w:caps/>
        </w:rPr>
        <w:t xml:space="preserve">SPREMEMBE </w:t>
      </w:r>
      <w:r w:rsidR="00B5283C" w:rsidRPr="0052092B">
        <w:rPr>
          <w:b/>
          <w:caps/>
        </w:rPr>
        <w:t>NAČRTA RAZVOJNEGA PROGRAMA (NRP)</w:t>
      </w:r>
    </w:p>
    <w:p w:rsidR="009B3911" w:rsidRDefault="00400A3F" w:rsidP="00703BF6">
      <w:pPr>
        <w:jc w:val="center"/>
        <w:rPr>
          <w:b/>
          <w:caps/>
        </w:rPr>
      </w:pPr>
      <w:r w:rsidRPr="00400A3F">
        <w:rPr>
          <w:b/>
          <w:caps/>
        </w:rPr>
        <w:t>»Ureditev površin za pešce in kolesarje na Gregorčičevem drevoredu«</w:t>
      </w:r>
    </w:p>
    <w:p w:rsidR="00AD50F0" w:rsidRPr="0052092B" w:rsidRDefault="00AD50F0" w:rsidP="00703BF6">
      <w:pPr>
        <w:jc w:val="center"/>
        <w:rPr>
          <w:b/>
          <w:caps/>
        </w:rPr>
      </w:pPr>
    </w:p>
    <w:p w:rsidR="00A115CA" w:rsidRPr="0052092B" w:rsidRDefault="00A115CA" w:rsidP="00703BF6">
      <w:pPr>
        <w:jc w:val="center"/>
        <w:rPr>
          <w:b/>
        </w:rPr>
      </w:pPr>
      <w:r w:rsidRPr="0052092B">
        <w:rPr>
          <w:b/>
        </w:rPr>
        <w:t>1.</w:t>
      </w:r>
    </w:p>
    <w:p w:rsidR="008130D9" w:rsidRPr="00AA4FA0" w:rsidRDefault="008130D9" w:rsidP="008130D9">
      <w:pPr>
        <w:tabs>
          <w:tab w:val="left" w:pos="3402"/>
        </w:tabs>
        <w:jc w:val="both"/>
      </w:pPr>
      <w:r w:rsidRPr="00AA4FA0">
        <w:t xml:space="preserve">Mestni svet Mestne občine Ptuj potrjuje </w:t>
      </w:r>
      <w:r w:rsidR="00E82561">
        <w:t xml:space="preserve">spremembo Načrta razvojnega programa (NRP) </w:t>
      </w:r>
      <w:r w:rsidRPr="00AA4FA0">
        <w:t>»</w:t>
      </w:r>
      <w:r w:rsidRPr="00BE3CF2">
        <w:t>Ureditev površin za pešce in kolesarje na Gregorčičevem drevoredu</w:t>
      </w:r>
      <w:r w:rsidRPr="00AA4FA0">
        <w:t>«.</w:t>
      </w:r>
    </w:p>
    <w:p w:rsidR="003560AB" w:rsidRPr="0052092B" w:rsidRDefault="003560AB" w:rsidP="00703BF6">
      <w:pPr>
        <w:jc w:val="both"/>
      </w:pPr>
    </w:p>
    <w:p w:rsidR="00D87A41" w:rsidRPr="0052092B" w:rsidRDefault="00D87A41" w:rsidP="00703BF6">
      <w:pPr>
        <w:jc w:val="center"/>
        <w:rPr>
          <w:b/>
        </w:rPr>
      </w:pPr>
      <w:r w:rsidRPr="0052092B">
        <w:rPr>
          <w:b/>
        </w:rPr>
        <w:t>2.</w:t>
      </w:r>
    </w:p>
    <w:p w:rsidR="00C85045" w:rsidRPr="0050390C" w:rsidRDefault="00C85045" w:rsidP="00C85045">
      <w:pPr>
        <w:jc w:val="both"/>
      </w:pPr>
      <w:r w:rsidRPr="00B14718">
        <w:t xml:space="preserve">Finančna sredstva za </w:t>
      </w:r>
      <w:r>
        <w:t>izvedbo</w:t>
      </w:r>
      <w:r w:rsidRPr="00B14718">
        <w:t xml:space="preserve"> projekta bo Mestna občina Ptuj zagotovila iz </w:t>
      </w:r>
      <w:r>
        <w:t>Kohezijskega sklada, Ministrstva za infrastrukturo in proračuna Mestne občine Ptuj.</w:t>
      </w:r>
    </w:p>
    <w:p w:rsidR="00D87A41" w:rsidRPr="0052092B" w:rsidRDefault="00D87A41" w:rsidP="00703BF6">
      <w:pPr>
        <w:jc w:val="both"/>
      </w:pPr>
    </w:p>
    <w:p w:rsidR="00D87A41" w:rsidRPr="0052092B" w:rsidRDefault="00D87A41" w:rsidP="00703BF6">
      <w:pPr>
        <w:jc w:val="center"/>
        <w:rPr>
          <w:b/>
        </w:rPr>
      </w:pPr>
      <w:r w:rsidRPr="0052092B">
        <w:rPr>
          <w:b/>
        </w:rPr>
        <w:t>3.</w:t>
      </w:r>
    </w:p>
    <w:p w:rsidR="00D87A41" w:rsidRPr="0052092B" w:rsidRDefault="00D87A41" w:rsidP="00703BF6">
      <w:r w:rsidRPr="0052092B">
        <w:t>Ta sklep začne veljati z dnem sprejema na Mestnem svetu Mestne občine Ptuj.</w:t>
      </w:r>
    </w:p>
    <w:p w:rsidR="00D87A41" w:rsidRPr="0052092B" w:rsidRDefault="00D87A41" w:rsidP="00703BF6">
      <w:pPr>
        <w:jc w:val="both"/>
      </w:pPr>
    </w:p>
    <w:p w:rsidR="00D87A41" w:rsidRPr="0052092B" w:rsidRDefault="00D87A41" w:rsidP="00703BF6">
      <w:pPr>
        <w:jc w:val="both"/>
      </w:pPr>
    </w:p>
    <w:p w:rsidR="00257031" w:rsidRPr="0052092B" w:rsidRDefault="00D87A41" w:rsidP="00703BF6">
      <w:r w:rsidRPr="0052092B">
        <w:t xml:space="preserve">Številka: </w:t>
      </w:r>
      <w:r w:rsidR="00E479F1">
        <w:t>410-7/2019</w:t>
      </w:r>
    </w:p>
    <w:p w:rsidR="00D87A41" w:rsidRPr="0052092B" w:rsidRDefault="00D87A41" w:rsidP="00703BF6">
      <w:r w:rsidRPr="0052092B">
        <w:t xml:space="preserve">Datum: </w:t>
      </w:r>
    </w:p>
    <w:p w:rsidR="00D87A41" w:rsidRPr="0052092B" w:rsidRDefault="00D87A41" w:rsidP="00703BF6">
      <w:pPr>
        <w:pBdr>
          <w:bottom w:val="single" w:sz="4" w:space="1" w:color="auto"/>
        </w:pBdr>
      </w:pPr>
    </w:p>
    <w:p w:rsidR="00D87A41" w:rsidRPr="0052092B" w:rsidRDefault="00D87A41" w:rsidP="00703BF6">
      <w:pPr>
        <w:rPr>
          <w:sz w:val="16"/>
          <w:szCs w:val="16"/>
        </w:rPr>
      </w:pPr>
    </w:p>
    <w:p w:rsidR="00D87A41" w:rsidRDefault="00D87A41" w:rsidP="00703BF6">
      <w:pPr>
        <w:jc w:val="center"/>
        <w:rPr>
          <w:b/>
        </w:rPr>
      </w:pPr>
      <w:r w:rsidRPr="00894E5A">
        <w:rPr>
          <w:b/>
        </w:rPr>
        <w:t>Obrazložitev:</w:t>
      </w:r>
    </w:p>
    <w:p w:rsidR="00894E5A" w:rsidRPr="0052092B" w:rsidRDefault="00894E5A" w:rsidP="00703BF6">
      <w:pPr>
        <w:jc w:val="center"/>
        <w:rPr>
          <w:b/>
        </w:rPr>
      </w:pPr>
    </w:p>
    <w:p w:rsidR="00894E5A" w:rsidRPr="002173AB" w:rsidRDefault="00894E5A" w:rsidP="00894E5A">
      <w:pPr>
        <w:jc w:val="both"/>
        <w:rPr>
          <w:rFonts w:cstheme="minorHAnsi"/>
        </w:rPr>
      </w:pPr>
      <w:r w:rsidRPr="002173AB">
        <w:rPr>
          <w:rFonts w:cstheme="minorHAnsi"/>
        </w:rPr>
        <w:t xml:space="preserve">Mestna občina Ptuj se je s projektom Ureditev površin za pešce in kolesarje na Gregorčičevem drevoredu prijavila </w:t>
      </w:r>
      <w:r w:rsidR="0089724D">
        <w:rPr>
          <w:rFonts w:cstheme="minorHAnsi"/>
        </w:rPr>
        <w:t>v letu 2018 na</w:t>
      </w:r>
      <w:r w:rsidRPr="002173AB">
        <w:rPr>
          <w:rFonts w:cstheme="minorHAnsi"/>
        </w:rPr>
        <w:t xml:space="preserve"> 1. Javno povabilo k predložitvi vlog za sofinanciranje operacij trajnostne mobilnosti z mehanizmom CTN (sofinanciranje s sredstvi kohezijskega sklada) v okviru »Operativnega programa Evropske kohezijske politike za obdobje 2014-2020«, 4. prednostne osi »Trajnostna raba in proizvodnja energije ter pametna</w:t>
      </w:r>
      <w:r w:rsidR="00E82561">
        <w:rPr>
          <w:rFonts w:cstheme="minorHAnsi"/>
        </w:rPr>
        <w:t xml:space="preserve"> omrežja«, tematskega cilja 4 »</w:t>
      </w:r>
      <w:r w:rsidRPr="002173AB">
        <w:rPr>
          <w:rFonts w:cstheme="minorHAnsi"/>
        </w:rPr>
        <w:t xml:space="preserve">Podpora prehodu na </w:t>
      </w:r>
      <w:proofErr w:type="spellStart"/>
      <w:r w:rsidRPr="002173AB">
        <w:rPr>
          <w:rFonts w:cstheme="minorHAnsi"/>
        </w:rPr>
        <w:t>nizkoogljično</w:t>
      </w:r>
      <w:proofErr w:type="spellEnd"/>
      <w:r w:rsidRPr="002173AB">
        <w:rPr>
          <w:rFonts w:cstheme="minorHAnsi"/>
        </w:rPr>
        <w:t xml:space="preserve"> g</w:t>
      </w:r>
      <w:r w:rsidR="00E82561">
        <w:rPr>
          <w:rFonts w:cstheme="minorHAnsi"/>
        </w:rPr>
        <w:t xml:space="preserve">ospodarstvo v vseh sektorjih«, </w:t>
      </w:r>
      <w:r w:rsidRPr="002173AB">
        <w:rPr>
          <w:rFonts w:cstheme="minorHAnsi"/>
        </w:rPr>
        <w:t xml:space="preserve">Prednostne naložbe 4.4 »Spodbujanje </w:t>
      </w:r>
      <w:proofErr w:type="spellStart"/>
      <w:r w:rsidRPr="002173AB">
        <w:rPr>
          <w:rFonts w:cstheme="minorHAnsi"/>
        </w:rPr>
        <w:t>nizkoogljičnih</w:t>
      </w:r>
      <w:proofErr w:type="spellEnd"/>
      <w:r w:rsidRPr="002173AB">
        <w:rPr>
          <w:rFonts w:cstheme="minorHAnsi"/>
        </w:rPr>
        <w:t xml:space="preserve"> strategij za vse vrste območij, zlasti za urbana območja, vključno s spodbujanjem trajnostne </w:t>
      </w:r>
      <w:proofErr w:type="spellStart"/>
      <w:r w:rsidRPr="002173AB">
        <w:rPr>
          <w:rFonts w:cstheme="minorHAnsi"/>
        </w:rPr>
        <w:t>multimodalne</w:t>
      </w:r>
      <w:proofErr w:type="spellEnd"/>
      <w:r w:rsidRPr="002173AB">
        <w:rPr>
          <w:rFonts w:cstheme="minorHAnsi"/>
        </w:rPr>
        <w:t xml:space="preserve"> urbane mobilnosti in ustreznimi omilitvenimi ukrepi</w:t>
      </w:r>
      <w:r w:rsidR="00E82561">
        <w:rPr>
          <w:rFonts w:cstheme="minorHAnsi"/>
        </w:rPr>
        <w:t>«</w:t>
      </w:r>
      <w:r w:rsidRPr="002173AB">
        <w:rPr>
          <w:rFonts w:cstheme="minorHAnsi"/>
        </w:rPr>
        <w:t>. ZMOS kot posredniški organ je s Sklepom skupščine št. 303-4/2018-21</w:t>
      </w:r>
      <w:r w:rsidR="0089724D">
        <w:rPr>
          <w:rFonts w:cstheme="minorHAnsi"/>
        </w:rPr>
        <w:t>, z dne 7. 9. 2018</w:t>
      </w:r>
      <w:r w:rsidRPr="002173AB">
        <w:rPr>
          <w:rFonts w:cstheme="minorHAnsi"/>
        </w:rPr>
        <w:t xml:space="preserve"> potrdil projekt, zato investitorka Mestna občina Ptuj nadaljuje s prijavo na 2. fazo prijave neposredne potrditve operacij pri </w:t>
      </w:r>
      <w:r w:rsidR="00E82561">
        <w:rPr>
          <w:rFonts w:cstheme="minorHAnsi"/>
        </w:rPr>
        <w:t>p</w:t>
      </w:r>
      <w:r w:rsidR="0089724D">
        <w:rPr>
          <w:rFonts w:cstheme="minorHAnsi"/>
        </w:rPr>
        <w:t>osredniškemu organu</w:t>
      </w:r>
      <w:r w:rsidRPr="002173AB">
        <w:rPr>
          <w:rFonts w:cstheme="minorHAnsi"/>
        </w:rPr>
        <w:t xml:space="preserve"> Ministrstvo za infrastrukturo, za kar pa potrebuje  potrjen investicijski program.</w:t>
      </w:r>
      <w:r w:rsidR="0089724D">
        <w:rPr>
          <w:rFonts w:cstheme="minorHAnsi"/>
        </w:rPr>
        <w:t xml:space="preserve"> Rok za oddajo projekta na 2. fazo je 26. 6. 2019</w:t>
      </w:r>
      <w:r w:rsidR="004538C1">
        <w:rPr>
          <w:rFonts w:cstheme="minorHAnsi"/>
        </w:rPr>
        <w:t>.</w:t>
      </w:r>
    </w:p>
    <w:p w:rsidR="00894E5A" w:rsidRDefault="00894E5A" w:rsidP="00894E5A">
      <w:pPr>
        <w:jc w:val="both"/>
      </w:pPr>
    </w:p>
    <w:p w:rsidR="00894E5A" w:rsidRDefault="00894E5A" w:rsidP="00894E5A">
      <w:pPr>
        <w:pStyle w:val="Glava"/>
        <w:jc w:val="both"/>
      </w:pPr>
      <w:r w:rsidRPr="00F71787">
        <w:t>Namen predmetne investicije je zagotavljanje večje promet</w:t>
      </w:r>
      <w:r w:rsidR="004538C1">
        <w:t>ne varnosti peščev in kolesarje</w:t>
      </w:r>
      <w:r w:rsidRPr="00F71787">
        <w:t xml:space="preserve">, zmanjševanje negativnih vplivov motornega prometa na okolje, vzpodbujanje trajnostne mobilnosti in uporabe koles za vsakodnevna opravila, kot alternative avtomobilskim prevozom. </w:t>
      </w:r>
    </w:p>
    <w:p w:rsidR="00894E5A" w:rsidRDefault="00894E5A" w:rsidP="00894E5A">
      <w:pPr>
        <w:pStyle w:val="Glava"/>
        <w:jc w:val="both"/>
      </w:pPr>
    </w:p>
    <w:p w:rsidR="0089724D" w:rsidRDefault="0089724D" w:rsidP="00894E5A">
      <w:pPr>
        <w:spacing w:line="276" w:lineRule="auto"/>
        <w:jc w:val="both"/>
        <w:rPr>
          <w:rFonts w:cstheme="minorHAnsi"/>
          <w:b/>
          <w:color w:val="000000" w:themeColor="text1"/>
        </w:rPr>
      </w:pPr>
    </w:p>
    <w:p w:rsidR="00894E5A" w:rsidRPr="002D5ED1" w:rsidRDefault="00894E5A" w:rsidP="00894E5A">
      <w:pPr>
        <w:spacing w:line="276" w:lineRule="auto"/>
        <w:jc w:val="both"/>
        <w:rPr>
          <w:rFonts w:cstheme="minorHAnsi"/>
          <w:b/>
          <w:color w:val="000000" w:themeColor="text1"/>
        </w:rPr>
      </w:pPr>
      <w:r w:rsidRPr="002D5ED1">
        <w:rPr>
          <w:rFonts w:cstheme="minorHAnsi"/>
          <w:b/>
          <w:color w:val="000000" w:themeColor="text1"/>
        </w:rPr>
        <w:lastRenderedPageBreak/>
        <w:t>Operativni cilji investicije so:</w:t>
      </w:r>
    </w:p>
    <w:p w:rsidR="00894E5A" w:rsidRPr="003C433E" w:rsidRDefault="00894E5A" w:rsidP="003C433E">
      <w:pPr>
        <w:pStyle w:val="Glava"/>
        <w:numPr>
          <w:ilvl w:val="0"/>
          <w:numId w:val="10"/>
        </w:numPr>
        <w:ind w:left="426"/>
        <w:jc w:val="both"/>
      </w:pPr>
      <w:r w:rsidRPr="003C433E">
        <w:t>Ureditev obojestranskih pločnikov s kolesarskim pasom z navezavo na Osojnikovo cesto na eni strani in na Potrčevo cesto na drugi strani v dolžini 193,33 m.</w:t>
      </w:r>
    </w:p>
    <w:p w:rsidR="00894E5A" w:rsidRPr="003C433E" w:rsidRDefault="00E82561" w:rsidP="003C433E">
      <w:pPr>
        <w:pStyle w:val="Glava"/>
        <w:numPr>
          <w:ilvl w:val="0"/>
          <w:numId w:val="10"/>
        </w:numPr>
        <w:ind w:left="426"/>
        <w:jc w:val="both"/>
      </w:pPr>
      <w:r>
        <w:t xml:space="preserve">Rekonstrukcija ceste </w:t>
      </w:r>
      <w:r w:rsidR="00894E5A" w:rsidRPr="003C433E">
        <w:t>v dolžini 193,33 m.</w:t>
      </w:r>
    </w:p>
    <w:p w:rsidR="00894E5A" w:rsidRPr="003C433E" w:rsidRDefault="00894E5A" w:rsidP="003C433E">
      <w:pPr>
        <w:pStyle w:val="Glava"/>
        <w:numPr>
          <w:ilvl w:val="0"/>
          <w:numId w:val="10"/>
        </w:numPr>
        <w:ind w:left="426"/>
        <w:jc w:val="both"/>
      </w:pPr>
      <w:r w:rsidRPr="003C433E">
        <w:t>Ureditev javne razsvetljave.</w:t>
      </w:r>
    </w:p>
    <w:p w:rsidR="00894E5A" w:rsidRPr="003C433E" w:rsidRDefault="00894E5A" w:rsidP="003C433E">
      <w:pPr>
        <w:pStyle w:val="Glava"/>
        <w:numPr>
          <w:ilvl w:val="0"/>
          <w:numId w:val="10"/>
        </w:numPr>
        <w:ind w:left="426"/>
        <w:jc w:val="both"/>
      </w:pPr>
      <w:r w:rsidRPr="003C433E">
        <w:t xml:space="preserve">Zamenjava vseh obstoječih komunalnih vodov oziroma obnovitev komunalne infrastrukture. </w:t>
      </w:r>
    </w:p>
    <w:p w:rsidR="00894E5A" w:rsidRPr="003C433E" w:rsidRDefault="00894E5A" w:rsidP="003C433E">
      <w:pPr>
        <w:pStyle w:val="Glava"/>
        <w:numPr>
          <w:ilvl w:val="0"/>
          <w:numId w:val="10"/>
        </w:numPr>
        <w:ind w:left="426"/>
        <w:jc w:val="both"/>
      </w:pPr>
      <w:r w:rsidRPr="003C433E">
        <w:t>Namestitev urbane opreme in zasaditev.</w:t>
      </w:r>
    </w:p>
    <w:p w:rsidR="00894E5A" w:rsidRPr="00F71787" w:rsidRDefault="00894E5A" w:rsidP="00894E5A">
      <w:pPr>
        <w:pStyle w:val="Glava"/>
        <w:jc w:val="both"/>
      </w:pPr>
    </w:p>
    <w:p w:rsidR="00686FEB" w:rsidRPr="002173AB" w:rsidRDefault="00686FEB" w:rsidP="00686FEB">
      <w:pPr>
        <w:jc w:val="both"/>
        <w:rPr>
          <w:rFonts w:cstheme="minorHAnsi"/>
        </w:rPr>
      </w:pPr>
      <w:r w:rsidRPr="002173AB">
        <w:rPr>
          <w:rFonts w:cstheme="minorHAnsi"/>
        </w:rPr>
        <w:t>Vrednost investicijskega projekta oz. višina in</w:t>
      </w:r>
      <w:r>
        <w:rPr>
          <w:rFonts w:cstheme="minorHAnsi"/>
        </w:rPr>
        <w:t xml:space="preserve">vesticijskih stroškov z DDV znaša </w:t>
      </w:r>
      <w:r w:rsidRPr="002173AB">
        <w:rPr>
          <w:rFonts w:cstheme="minorHAnsi"/>
        </w:rPr>
        <w:t xml:space="preserve">po </w:t>
      </w:r>
      <w:r w:rsidRPr="006D3941">
        <w:rPr>
          <w:rFonts w:cstheme="minorHAnsi"/>
        </w:rPr>
        <w:t xml:space="preserve">stalnih  cenah </w:t>
      </w:r>
      <w:r>
        <w:rPr>
          <w:rFonts w:cstheme="minorHAnsi"/>
        </w:rPr>
        <w:t>576.911,81 EUR in po tekočih cenah 584.904,81 EUR</w:t>
      </w:r>
      <w:r w:rsidRPr="006D3941">
        <w:rPr>
          <w:rFonts w:cstheme="minorHAnsi"/>
        </w:rPr>
        <w:t>.</w:t>
      </w:r>
      <w:r w:rsidRPr="002173AB">
        <w:rPr>
          <w:rFonts w:cstheme="minorHAnsi"/>
        </w:rPr>
        <w:t xml:space="preserve"> V skladu s smernicami: Kolesarjem prijazna infrastruktura – Smernice za umeščanje kolesarske infrastrukture v urbanih območjih ter Infrastruktura za pešce – Splošne usmeritve, </w:t>
      </w:r>
      <w:r w:rsidRPr="006D3941">
        <w:rPr>
          <w:rFonts w:cstheme="minorHAnsi"/>
        </w:rPr>
        <w:t xml:space="preserve">znaša višina upravičenih stroškov </w:t>
      </w:r>
      <w:r>
        <w:rPr>
          <w:rFonts w:cstheme="minorHAnsi"/>
        </w:rPr>
        <w:t>340.108,04 EUR</w:t>
      </w:r>
      <w:r w:rsidRPr="006D3941">
        <w:rPr>
          <w:rFonts w:cstheme="minorHAnsi"/>
        </w:rPr>
        <w:t xml:space="preserve"> ter višina neupravičenih stroškov </w:t>
      </w:r>
      <w:r>
        <w:rPr>
          <w:rFonts w:cstheme="minorHAnsi"/>
        </w:rPr>
        <w:t xml:space="preserve">244.796,77 </w:t>
      </w:r>
      <w:r w:rsidRPr="00C771B0">
        <w:rPr>
          <w:rFonts w:cstheme="minorHAnsi"/>
        </w:rPr>
        <w:t>EUR</w:t>
      </w:r>
      <w:r w:rsidRPr="00B95322">
        <w:rPr>
          <w:rFonts w:cstheme="minorHAnsi"/>
          <w:sz w:val="20"/>
          <w:szCs w:val="20"/>
        </w:rPr>
        <w:t>.</w:t>
      </w:r>
      <w:r w:rsidRPr="002173AB">
        <w:rPr>
          <w:rFonts w:cstheme="minorHAnsi"/>
        </w:rPr>
        <w:t xml:space="preserve"> </w:t>
      </w:r>
    </w:p>
    <w:p w:rsidR="00894E5A" w:rsidRDefault="00894E5A" w:rsidP="00894E5A">
      <w:pPr>
        <w:jc w:val="both"/>
      </w:pPr>
    </w:p>
    <w:p w:rsidR="00894E5A" w:rsidRDefault="00894E5A" w:rsidP="00894E5A">
      <w:pPr>
        <w:jc w:val="both"/>
      </w:pPr>
      <w:r>
        <w:t>Viri financiranja</w:t>
      </w:r>
    </w:p>
    <w:tbl>
      <w:tblPr>
        <w:tblStyle w:val="Tabelamrea"/>
        <w:tblW w:w="9558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296"/>
        <w:gridCol w:w="1296"/>
        <w:gridCol w:w="876"/>
      </w:tblGrid>
      <w:tr w:rsidR="003C433E" w:rsidRPr="003C433E" w:rsidTr="003C433E">
        <w:trPr>
          <w:trHeight w:val="363"/>
        </w:trPr>
        <w:tc>
          <w:tcPr>
            <w:tcW w:w="3256" w:type="dxa"/>
            <w:shd w:val="clear" w:color="auto" w:fill="E5B8B7" w:themeFill="accent2" w:themeFillTint="66"/>
            <w:noWrap/>
            <w:hideMark/>
          </w:tcPr>
          <w:p w:rsidR="00894E5A" w:rsidRPr="003C433E" w:rsidRDefault="00894E5A" w:rsidP="00ED3A8D">
            <w:pPr>
              <w:jc w:val="center"/>
              <w:rPr>
                <w:b/>
                <w:color w:val="000000"/>
              </w:rPr>
            </w:pPr>
            <w:r w:rsidRPr="003C433E">
              <w:rPr>
                <w:b/>
                <w:color w:val="000000"/>
              </w:rPr>
              <w:t>VIRI FINANCIRANJA</w:t>
            </w:r>
          </w:p>
        </w:tc>
        <w:tc>
          <w:tcPr>
            <w:tcW w:w="1417" w:type="dxa"/>
            <w:shd w:val="clear" w:color="auto" w:fill="E5B8B7" w:themeFill="accent2" w:themeFillTint="66"/>
            <w:noWrap/>
            <w:hideMark/>
          </w:tcPr>
          <w:p w:rsidR="00894E5A" w:rsidRPr="003C433E" w:rsidRDefault="00894E5A" w:rsidP="00ED3A8D">
            <w:pPr>
              <w:jc w:val="center"/>
              <w:rPr>
                <w:b/>
                <w:color w:val="000000"/>
              </w:rPr>
            </w:pPr>
            <w:r w:rsidRPr="003C433E">
              <w:rPr>
                <w:b/>
                <w:color w:val="000000"/>
              </w:rPr>
              <w:t>2018</w:t>
            </w:r>
          </w:p>
        </w:tc>
        <w:tc>
          <w:tcPr>
            <w:tcW w:w="1418" w:type="dxa"/>
            <w:shd w:val="clear" w:color="auto" w:fill="E5B8B7" w:themeFill="accent2" w:themeFillTint="66"/>
            <w:noWrap/>
            <w:hideMark/>
          </w:tcPr>
          <w:p w:rsidR="00894E5A" w:rsidRPr="003C433E" w:rsidRDefault="00894E5A" w:rsidP="00ED3A8D">
            <w:pPr>
              <w:jc w:val="center"/>
              <w:rPr>
                <w:b/>
                <w:color w:val="000000"/>
              </w:rPr>
            </w:pPr>
            <w:r w:rsidRPr="003C433E">
              <w:rPr>
                <w:b/>
                <w:color w:val="000000"/>
              </w:rPr>
              <w:t>2019</w:t>
            </w:r>
          </w:p>
        </w:tc>
        <w:tc>
          <w:tcPr>
            <w:tcW w:w="1295" w:type="dxa"/>
            <w:shd w:val="clear" w:color="auto" w:fill="E5B8B7" w:themeFill="accent2" w:themeFillTint="66"/>
            <w:noWrap/>
            <w:hideMark/>
          </w:tcPr>
          <w:p w:rsidR="00894E5A" w:rsidRPr="003C433E" w:rsidRDefault="00894E5A" w:rsidP="00ED3A8D">
            <w:pPr>
              <w:jc w:val="center"/>
              <w:rPr>
                <w:b/>
                <w:color w:val="000000"/>
              </w:rPr>
            </w:pPr>
            <w:r w:rsidRPr="003C433E">
              <w:rPr>
                <w:b/>
                <w:color w:val="000000"/>
              </w:rPr>
              <w:t>2020</w:t>
            </w:r>
          </w:p>
        </w:tc>
        <w:tc>
          <w:tcPr>
            <w:tcW w:w="1296" w:type="dxa"/>
            <w:shd w:val="clear" w:color="auto" w:fill="E5B8B7" w:themeFill="accent2" w:themeFillTint="66"/>
            <w:noWrap/>
            <w:hideMark/>
          </w:tcPr>
          <w:p w:rsidR="00894E5A" w:rsidRPr="003C433E" w:rsidRDefault="00894E5A" w:rsidP="00ED3A8D">
            <w:pPr>
              <w:jc w:val="center"/>
              <w:rPr>
                <w:b/>
                <w:color w:val="000000"/>
              </w:rPr>
            </w:pPr>
            <w:r w:rsidRPr="003C433E">
              <w:rPr>
                <w:b/>
                <w:color w:val="000000"/>
              </w:rPr>
              <w:t>Skupaj</w:t>
            </w:r>
          </w:p>
        </w:tc>
        <w:tc>
          <w:tcPr>
            <w:tcW w:w="876" w:type="dxa"/>
            <w:shd w:val="clear" w:color="auto" w:fill="E5B8B7" w:themeFill="accent2" w:themeFillTint="66"/>
            <w:noWrap/>
            <w:hideMark/>
          </w:tcPr>
          <w:p w:rsidR="00894E5A" w:rsidRPr="003C433E" w:rsidRDefault="00894E5A" w:rsidP="00ED3A8D">
            <w:pPr>
              <w:rPr>
                <w:b/>
                <w:color w:val="000000"/>
              </w:rPr>
            </w:pPr>
            <w:r w:rsidRPr="003C433E">
              <w:rPr>
                <w:b/>
                <w:color w:val="000000"/>
              </w:rPr>
              <w:t>Delež v %</w:t>
            </w:r>
          </w:p>
        </w:tc>
      </w:tr>
      <w:tr w:rsidR="00894E5A" w:rsidRPr="003C433E" w:rsidTr="003C433E">
        <w:trPr>
          <w:trHeight w:val="230"/>
        </w:trPr>
        <w:tc>
          <w:tcPr>
            <w:tcW w:w="3256" w:type="dxa"/>
            <w:noWrap/>
            <w:hideMark/>
          </w:tcPr>
          <w:p w:rsidR="00894E5A" w:rsidRPr="003C433E" w:rsidRDefault="00894E5A" w:rsidP="00ED3A8D">
            <w:pPr>
              <w:rPr>
                <w:b/>
                <w:color w:val="000000"/>
              </w:rPr>
            </w:pPr>
            <w:r w:rsidRPr="003C433E">
              <w:rPr>
                <w:b/>
                <w:color w:val="000000"/>
              </w:rPr>
              <w:t>Mestna občina Ptuj</w:t>
            </w:r>
          </w:p>
        </w:tc>
        <w:tc>
          <w:tcPr>
            <w:tcW w:w="1417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23.790,00</w:t>
            </w:r>
          </w:p>
        </w:tc>
        <w:tc>
          <w:tcPr>
            <w:tcW w:w="1418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132.437,52</w:t>
            </w:r>
          </w:p>
        </w:tc>
        <w:tc>
          <w:tcPr>
            <w:tcW w:w="1295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139.585,45</w:t>
            </w:r>
          </w:p>
        </w:tc>
        <w:tc>
          <w:tcPr>
            <w:tcW w:w="1296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295.812,97</w:t>
            </w:r>
          </w:p>
        </w:tc>
        <w:tc>
          <w:tcPr>
            <w:tcW w:w="876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50,57</w:t>
            </w:r>
          </w:p>
        </w:tc>
      </w:tr>
      <w:tr w:rsidR="00894E5A" w:rsidRPr="003C433E" w:rsidTr="003C433E">
        <w:trPr>
          <w:trHeight w:val="230"/>
        </w:trPr>
        <w:tc>
          <w:tcPr>
            <w:tcW w:w="3256" w:type="dxa"/>
            <w:noWrap/>
            <w:hideMark/>
          </w:tcPr>
          <w:p w:rsidR="00894E5A" w:rsidRPr="003C433E" w:rsidRDefault="00894E5A" w:rsidP="00ED3A8D">
            <w:pPr>
              <w:rPr>
                <w:b/>
                <w:color w:val="000000"/>
              </w:rPr>
            </w:pPr>
            <w:r w:rsidRPr="003C433E">
              <w:rPr>
                <w:b/>
                <w:color w:val="000000"/>
              </w:rPr>
              <w:t>Kohezijski sklad</w:t>
            </w:r>
          </w:p>
        </w:tc>
        <w:tc>
          <w:tcPr>
            <w:tcW w:w="1417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0,00</w:t>
            </w:r>
          </w:p>
        </w:tc>
        <w:tc>
          <w:tcPr>
            <w:tcW w:w="1295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245.728,06</w:t>
            </w:r>
          </w:p>
        </w:tc>
        <w:tc>
          <w:tcPr>
            <w:tcW w:w="1296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245.728,06</w:t>
            </w:r>
          </w:p>
        </w:tc>
        <w:tc>
          <w:tcPr>
            <w:tcW w:w="876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42,01</w:t>
            </w:r>
          </w:p>
        </w:tc>
      </w:tr>
      <w:tr w:rsidR="00894E5A" w:rsidRPr="003C433E" w:rsidTr="003C433E">
        <w:trPr>
          <w:trHeight w:val="230"/>
        </w:trPr>
        <w:tc>
          <w:tcPr>
            <w:tcW w:w="3256" w:type="dxa"/>
            <w:noWrap/>
            <w:hideMark/>
          </w:tcPr>
          <w:p w:rsidR="00894E5A" w:rsidRPr="003C433E" w:rsidRDefault="00894E5A" w:rsidP="00ED3A8D">
            <w:pPr>
              <w:rPr>
                <w:b/>
                <w:color w:val="000000"/>
              </w:rPr>
            </w:pPr>
            <w:r w:rsidRPr="003C433E">
              <w:rPr>
                <w:b/>
                <w:color w:val="000000"/>
              </w:rPr>
              <w:t>Ministrstvo za infrastrukturo</w:t>
            </w:r>
          </w:p>
        </w:tc>
        <w:tc>
          <w:tcPr>
            <w:tcW w:w="1417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0,00</w:t>
            </w:r>
          </w:p>
        </w:tc>
        <w:tc>
          <w:tcPr>
            <w:tcW w:w="1295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43.363,78</w:t>
            </w:r>
          </w:p>
        </w:tc>
        <w:tc>
          <w:tcPr>
            <w:tcW w:w="1296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43.363,78</w:t>
            </w:r>
          </w:p>
        </w:tc>
        <w:tc>
          <w:tcPr>
            <w:tcW w:w="876" w:type="dxa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7,41</w:t>
            </w:r>
          </w:p>
        </w:tc>
      </w:tr>
      <w:tr w:rsidR="003C433E" w:rsidRPr="003C433E" w:rsidTr="003C433E">
        <w:trPr>
          <w:trHeight w:val="421"/>
        </w:trPr>
        <w:tc>
          <w:tcPr>
            <w:tcW w:w="3256" w:type="dxa"/>
            <w:shd w:val="clear" w:color="auto" w:fill="E5B8B7" w:themeFill="accent2" w:themeFillTint="66"/>
            <w:noWrap/>
            <w:hideMark/>
          </w:tcPr>
          <w:p w:rsidR="00894E5A" w:rsidRPr="003C433E" w:rsidRDefault="00894E5A" w:rsidP="00ED3A8D">
            <w:pPr>
              <w:rPr>
                <w:b/>
                <w:color w:val="000000"/>
              </w:rPr>
            </w:pPr>
            <w:r w:rsidRPr="003C433E">
              <w:rPr>
                <w:b/>
                <w:color w:val="000000"/>
              </w:rPr>
              <w:t>SKUPAJ</w:t>
            </w:r>
          </w:p>
        </w:tc>
        <w:tc>
          <w:tcPr>
            <w:tcW w:w="1417" w:type="dxa"/>
            <w:shd w:val="clear" w:color="auto" w:fill="E5B8B7" w:themeFill="accent2" w:themeFillTint="66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23.790,00</w:t>
            </w:r>
          </w:p>
        </w:tc>
        <w:tc>
          <w:tcPr>
            <w:tcW w:w="1418" w:type="dxa"/>
            <w:shd w:val="clear" w:color="auto" w:fill="E5B8B7" w:themeFill="accent2" w:themeFillTint="66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132.437,52</w:t>
            </w:r>
          </w:p>
        </w:tc>
        <w:tc>
          <w:tcPr>
            <w:tcW w:w="1295" w:type="dxa"/>
            <w:shd w:val="clear" w:color="auto" w:fill="E5B8B7" w:themeFill="accent2" w:themeFillTint="66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428.677,29</w:t>
            </w:r>
          </w:p>
        </w:tc>
        <w:tc>
          <w:tcPr>
            <w:tcW w:w="1296" w:type="dxa"/>
            <w:shd w:val="clear" w:color="auto" w:fill="E5B8B7" w:themeFill="accent2" w:themeFillTint="66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584.904,81</w:t>
            </w:r>
          </w:p>
        </w:tc>
        <w:tc>
          <w:tcPr>
            <w:tcW w:w="876" w:type="dxa"/>
            <w:shd w:val="clear" w:color="auto" w:fill="E5B8B7" w:themeFill="accent2" w:themeFillTint="66"/>
            <w:noWrap/>
            <w:hideMark/>
          </w:tcPr>
          <w:p w:rsidR="00894E5A" w:rsidRPr="003C433E" w:rsidRDefault="00894E5A" w:rsidP="00ED3A8D">
            <w:pPr>
              <w:jc w:val="right"/>
              <w:rPr>
                <w:color w:val="000000"/>
              </w:rPr>
            </w:pPr>
            <w:r w:rsidRPr="003C433E">
              <w:rPr>
                <w:color w:val="000000"/>
              </w:rPr>
              <w:t>100,00</w:t>
            </w:r>
          </w:p>
        </w:tc>
      </w:tr>
    </w:tbl>
    <w:p w:rsidR="00894E5A" w:rsidRDefault="00894E5A" w:rsidP="00894E5A">
      <w:pPr>
        <w:jc w:val="both"/>
      </w:pPr>
    </w:p>
    <w:p w:rsidR="00894E5A" w:rsidRDefault="00894E5A" w:rsidP="00894E5A">
      <w:pPr>
        <w:jc w:val="both"/>
        <w:rPr>
          <w:rFonts w:cstheme="minorHAnsi"/>
        </w:rPr>
      </w:pPr>
      <w:r>
        <w:rPr>
          <w:rFonts w:cstheme="minorHAnsi"/>
        </w:rPr>
        <w:t xml:space="preserve">Mestna občina Ptuj bo pridobila nepovratna sredstva EU iz mehanizma CTN PN 4.4., in sicer 85% upravičenih stroškov investicije  (od tega 85% Kohezijski sklad ter 15%  udeležba Ministrstva za infrastrukturo). Preostale stroške (15% upravičenih stroškov, DDV in neupravičene stroške) bo zagotovila Mestna občina Ptuj iz proračuna. V Načrtu razvojnih programov </w:t>
      </w:r>
      <w:r w:rsidR="003C433E">
        <w:rPr>
          <w:rFonts w:cstheme="minorHAnsi"/>
        </w:rPr>
        <w:t>je investicija na postavki 6580</w:t>
      </w:r>
      <w:r>
        <w:rPr>
          <w:rFonts w:cstheme="minorHAnsi"/>
        </w:rPr>
        <w:t xml:space="preserve"> </w:t>
      </w:r>
      <w:r w:rsidR="003C433E">
        <w:rPr>
          <w:rFonts w:cstheme="minorHAnsi"/>
        </w:rPr>
        <w:t>in</w:t>
      </w:r>
      <w:r>
        <w:rPr>
          <w:rFonts w:cstheme="minorHAnsi"/>
        </w:rPr>
        <w:t xml:space="preserve"> bo usklajena</w:t>
      </w:r>
      <w:r w:rsidR="003C433E">
        <w:rPr>
          <w:rFonts w:cstheme="minorHAnsi"/>
        </w:rPr>
        <w:t xml:space="preserve"> s predloženim investicijskim programom</w:t>
      </w:r>
      <w:r>
        <w:rPr>
          <w:rFonts w:cstheme="minorHAnsi"/>
        </w:rPr>
        <w:t xml:space="preserve"> z rebalansom proračuna 2019, kar je tudi zahteva posredniškega organa Ministrstva za infrastrukturo.</w:t>
      </w:r>
    </w:p>
    <w:p w:rsidR="00D87A41" w:rsidRPr="0052092B" w:rsidRDefault="00D87A41" w:rsidP="00703BF6"/>
    <w:p w:rsidR="00894E5A" w:rsidRDefault="00D87A41" w:rsidP="00703BF6">
      <w:pPr>
        <w:jc w:val="both"/>
      </w:pPr>
      <w:r w:rsidRPr="0052092B">
        <w:t>Na podlagi navedenega Mestnemu svetu Mestne občine Ptuj predlagam, da predloženi dokument obravnava in sprejme predlagani sklep.</w:t>
      </w:r>
    </w:p>
    <w:p w:rsidR="00C37782" w:rsidRDefault="00C37782" w:rsidP="00703BF6">
      <w:pPr>
        <w:jc w:val="both"/>
      </w:pPr>
    </w:p>
    <w:p w:rsidR="00D87A41" w:rsidRPr="0052092B" w:rsidRDefault="00D87A41" w:rsidP="00703BF6">
      <w:pPr>
        <w:jc w:val="both"/>
        <w:rPr>
          <w:b/>
        </w:rPr>
      </w:pPr>
      <w:r w:rsidRPr="0052092B">
        <w:t>Pripravila:</w:t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  <w:t xml:space="preserve">     </w:t>
      </w:r>
      <w:r w:rsidR="00C37782">
        <w:rPr>
          <w:b/>
        </w:rPr>
        <w:t xml:space="preserve"> </w:t>
      </w:r>
      <w:r w:rsidR="00703BF6" w:rsidRPr="0052092B">
        <w:rPr>
          <w:b/>
        </w:rPr>
        <w:t xml:space="preserve"> </w:t>
      </w:r>
      <w:r w:rsidR="002D0071">
        <w:rPr>
          <w:b/>
        </w:rPr>
        <w:t>Nuška GAJŠEK</w:t>
      </w:r>
      <w:r w:rsidRPr="0052092B">
        <w:rPr>
          <w:b/>
        </w:rPr>
        <w:t>,</w:t>
      </w:r>
    </w:p>
    <w:p w:rsidR="00D87A41" w:rsidRPr="004E3B2D" w:rsidRDefault="00750A33" w:rsidP="00703BF6">
      <w:pPr>
        <w:jc w:val="both"/>
        <w:rPr>
          <w:b/>
        </w:rPr>
      </w:pPr>
      <w:r>
        <w:t>Tina Zamuda</w:t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>
        <w:t xml:space="preserve">            </w:t>
      </w:r>
      <w:r w:rsidR="00D87A41" w:rsidRPr="0052092B">
        <w:rPr>
          <w:b/>
        </w:rPr>
        <w:t>župan</w:t>
      </w:r>
      <w:r w:rsidR="002D0071">
        <w:rPr>
          <w:b/>
        </w:rPr>
        <w:t>ja</w:t>
      </w:r>
      <w:r w:rsidR="00D87A41" w:rsidRPr="0052092B">
        <w:rPr>
          <w:b/>
        </w:rPr>
        <w:t xml:space="preserve"> Mestne občine Ptuj</w:t>
      </w:r>
    </w:p>
    <w:p w:rsidR="00D87A41" w:rsidRPr="00136704" w:rsidRDefault="00D87A41" w:rsidP="00703BF6">
      <w:pPr>
        <w:jc w:val="both"/>
        <w:rPr>
          <w:b/>
        </w:rPr>
      </w:pPr>
    </w:p>
    <w:sectPr w:rsidR="00D87A41" w:rsidRPr="00136704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90" w:rsidRDefault="00916990">
      <w:r>
        <w:separator/>
      </w:r>
    </w:p>
  </w:endnote>
  <w:endnote w:type="continuationSeparator" w:id="0">
    <w:p w:rsidR="00916990" w:rsidRDefault="0091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90" w:rsidRDefault="00916990">
      <w:r>
        <w:separator/>
      </w:r>
    </w:p>
  </w:footnote>
  <w:footnote w:type="continuationSeparator" w:id="0">
    <w:p w:rsidR="00916990" w:rsidRDefault="0091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 w:rsidR="00D85A2F">
            <w:rPr>
              <w:sz w:val="22"/>
            </w:rPr>
            <w:t>JA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85A2F" w:rsidRDefault="00D85A2F" w:rsidP="006D3DCC">
          <w:pPr>
            <w:pStyle w:val="Glava"/>
          </w:pPr>
        </w:p>
        <w:p w:rsidR="00D85A2F" w:rsidRPr="00D85A2F" w:rsidRDefault="00D85A2F" w:rsidP="00D85A2F"/>
        <w:p w:rsidR="00D85A2F" w:rsidRPr="00D85A2F" w:rsidRDefault="00D85A2F" w:rsidP="00D85A2F"/>
        <w:p w:rsidR="00D85A2F" w:rsidRPr="00D85A2F" w:rsidRDefault="00D85A2F" w:rsidP="00D85A2F"/>
        <w:p w:rsidR="00D85A2F" w:rsidRDefault="00D85A2F" w:rsidP="00D85A2F"/>
        <w:p w:rsidR="00D85A2F" w:rsidRDefault="00D85A2F" w:rsidP="00D85A2F"/>
        <w:p w:rsidR="00D75085" w:rsidRPr="00D85A2F" w:rsidRDefault="00D75085" w:rsidP="00D85A2F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804813"/>
    <w:multiLevelType w:val="hybridMultilevel"/>
    <w:tmpl w:val="7F5ED138"/>
    <w:lvl w:ilvl="0" w:tplc="CCEC0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92D07"/>
    <w:multiLevelType w:val="hybridMultilevel"/>
    <w:tmpl w:val="20748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09C"/>
    <w:rsid w:val="00005C43"/>
    <w:rsid w:val="00005D12"/>
    <w:rsid w:val="000073D0"/>
    <w:rsid w:val="00037924"/>
    <w:rsid w:val="00046752"/>
    <w:rsid w:val="000544C1"/>
    <w:rsid w:val="00054B0C"/>
    <w:rsid w:val="000560DD"/>
    <w:rsid w:val="0007513B"/>
    <w:rsid w:val="00085317"/>
    <w:rsid w:val="00094385"/>
    <w:rsid w:val="00097029"/>
    <w:rsid w:val="00097293"/>
    <w:rsid w:val="00097307"/>
    <w:rsid w:val="000C1E72"/>
    <w:rsid w:val="000C4106"/>
    <w:rsid w:val="000D6253"/>
    <w:rsid w:val="000E3F5F"/>
    <w:rsid w:val="000E42C3"/>
    <w:rsid w:val="000F0493"/>
    <w:rsid w:val="000F2984"/>
    <w:rsid w:val="00105339"/>
    <w:rsid w:val="00122378"/>
    <w:rsid w:val="001225E9"/>
    <w:rsid w:val="001235D0"/>
    <w:rsid w:val="00136704"/>
    <w:rsid w:val="0014287A"/>
    <w:rsid w:val="0014457D"/>
    <w:rsid w:val="00161F10"/>
    <w:rsid w:val="00162D3E"/>
    <w:rsid w:val="00174A7E"/>
    <w:rsid w:val="00177755"/>
    <w:rsid w:val="00181AD2"/>
    <w:rsid w:val="00183B2B"/>
    <w:rsid w:val="00194894"/>
    <w:rsid w:val="0019517D"/>
    <w:rsid w:val="001B5A8F"/>
    <w:rsid w:val="001C0EC7"/>
    <w:rsid w:val="001D32E4"/>
    <w:rsid w:val="001E246C"/>
    <w:rsid w:val="001E6B9C"/>
    <w:rsid w:val="001F2DE3"/>
    <w:rsid w:val="00200405"/>
    <w:rsid w:val="00203B6D"/>
    <w:rsid w:val="002043ED"/>
    <w:rsid w:val="00223A8A"/>
    <w:rsid w:val="00227047"/>
    <w:rsid w:val="002349EE"/>
    <w:rsid w:val="00242B7A"/>
    <w:rsid w:val="002550D0"/>
    <w:rsid w:val="00257031"/>
    <w:rsid w:val="002611D3"/>
    <w:rsid w:val="002639D8"/>
    <w:rsid w:val="00265E35"/>
    <w:rsid w:val="002669DE"/>
    <w:rsid w:val="00266B26"/>
    <w:rsid w:val="0028200C"/>
    <w:rsid w:val="002C0275"/>
    <w:rsid w:val="002C7616"/>
    <w:rsid w:val="002D0071"/>
    <w:rsid w:val="002E56EB"/>
    <w:rsid w:val="002F36AD"/>
    <w:rsid w:val="002F68A3"/>
    <w:rsid w:val="00302680"/>
    <w:rsid w:val="00303202"/>
    <w:rsid w:val="00307FDA"/>
    <w:rsid w:val="00313442"/>
    <w:rsid w:val="00313CEC"/>
    <w:rsid w:val="0031476F"/>
    <w:rsid w:val="00316F25"/>
    <w:rsid w:val="00317551"/>
    <w:rsid w:val="003225DC"/>
    <w:rsid w:val="00327E05"/>
    <w:rsid w:val="00331CA1"/>
    <w:rsid w:val="00342EFD"/>
    <w:rsid w:val="00354BFF"/>
    <w:rsid w:val="003560AB"/>
    <w:rsid w:val="003628CB"/>
    <w:rsid w:val="003659EF"/>
    <w:rsid w:val="00365E89"/>
    <w:rsid w:val="0036683C"/>
    <w:rsid w:val="003739BA"/>
    <w:rsid w:val="00376518"/>
    <w:rsid w:val="003810A7"/>
    <w:rsid w:val="00387834"/>
    <w:rsid w:val="00396438"/>
    <w:rsid w:val="003B0D4B"/>
    <w:rsid w:val="003B18A0"/>
    <w:rsid w:val="003C433E"/>
    <w:rsid w:val="003C4A3B"/>
    <w:rsid w:val="003D185D"/>
    <w:rsid w:val="003E7FED"/>
    <w:rsid w:val="00400A3F"/>
    <w:rsid w:val="0041370A"/>
    <w:rsid w:val="0043041D"/>
    <w:rsid w:val="004374BD"/>
    <w:rsid w:val="004538C1"/>
    <w:rsid w:val="00460C93"/>
    <w:rsid w:val="004632D1"/>
    <w:rsid w:val="004653CD"/>
    <w:rsid w:val="00487DF4"/>
    <w:rsid w:val="00492CE7"/>
    <w:rsid w:val="004948CB"/>
    <w:rsid w:val="004A6E70"/>
    <w:rsid w:val="004B340B"/>
    <w:rsid w:val="004B5193"/>
    <w:rsid w:val="004C1AA7"/>
    <w:rsid w:val="004D50B1"/>
    <w:rsid w:val="004E07B1"/>
    <w:rsid w:val="004E368E"/>
    <w:rsid w:val="004F5251"/>
    <w:rsid w:val="004F6500"/>
    <w:rsid w:val="004F71C3"/>
    <w:rsid w:val="00506F2F"/>
    <w:rsid w:val="005107D2"/>
    <w:rsid w:val="0051243C"/>
    <w:rsid w:val="005156DD"/>
    <w:rsid w:val="0052092B"/>
    <w:rsid w:val="005268DA"/>
    <w:rsid w:val="00542613"/>
    <w:rsid w:val="00550D51"/>
    <w:rsid w:val="00552CBD"/>
    <w:rsid w:val="00553F16"/>
    <w:rsid w:val="00575584"/>
    <w:rsid w:val="00580C87"/>
    <w:rsid w:val="005856EC"/>
    <w:rsid w:val="005873FD"/>
    <w:rsid w:val="00587562"/>
    <w:rsid w:val="00590651"/>
    <w:rsid w:val="00590C9A"/>
    <w:rsid w:val="00594126"/>
    <w:rsid w:val="005A6480"/>
    <w:rsid w:val="005B66F0"/>
    <w:rsid w:val="005D6B9A"/>
    <w:rsid w:val="005D728C"/>
    <w:rsid w:val="005E2CED"/>
    <w:rsid w:val="005E527D"/>
    <w:rsid w:val="005E592B"/>
    <w:rsid w:val="005F2B81"/>
    <w:rsid w:val="005F2BEC"/>
    <w:rsid w:val="00611E0D"/>
    <w:rsid w:val="0061559A"/>
    <w:rsid w:val="006225BF"/>
    <w:rsid w:val="00637998"/>
    <w:rsid w:val="0066495D"/>
    <w:rsid w:val="00670FFD"/>
    <w:rsid w:val="006766B5"/>
    <w:rsid w:val="00686FEB"/>
    <w:rsid w:val="0069113E"/>
    <w:rsid w:val="006913F2"/>
    <w:rsid w:val="00693846"/>
    <w:rsid w:val="006A0503"/>
    <w:rsid w:val="006A5C07"/>
    <w:rsid w:val="006B6268"/>
    <w:rsid w:val="006C2349"/>
    <w:rsid w:val="006D3188"/>
    <w:rsid w:val="006D3DCC"/>
    <w:rsid w:val="006E2A00"/>
    <w:rsid w:val="006E3DB0"/>
    <w:rsid w:val="006E734E"/>
    <w:rsid w:val="006F3BB7"/>
    <w:rsid w:val="006F40A4"/>
    <w:rsid w:val="006F7ADD"/>
    <w:rsid w:val="00701425"/>
    <w:rsid w:val="00703BF6"/>
    <w:rsid w:val="00705D2D"/>
    <w:rsid w:val="007067CB"/>
    <w:rsid w:val="00710694"/>
    <w:rsid w:val="00733A9D"/>
    <w:rsid w:val="00733C03"/>
    <w:rsid w:val="00734465"/>
    <w:rsid w:val="00735585"/>
    <w:rsid w:val="007358BF"/>
    <w:rsid w:val="00750A33"/>
    <w:rsid w:val="00753E9F"/>
    <w:rsid w:val="00766124"/>
    <w:rsid w:val="00766F3E"/>
    <w:rsid w:val="00780F14"/>
    <w:rsid w:val="00793A88"/>
    <w:rsid w:val="00795E84"/>
    <w:rsid w:val="007B1FC8"/>
    <w:rsid w:val="007B7B2D"/>
    <w:rsid w:val="007C1A3D"/>
    <w:rsid w:val="007C2F2C"/>
    <w:rsid w:val="007E34AA"/>
    <w:rsid w:val="007E3519"/>
    <w:rsid w:val="007E50AA"/>
    <w:rsid w:val="007E6B04"/>
    <w:rsid w:val="007F02B6"/>
    <w:rsid w:val="00811E6B"/>
    <w:rsid w:val="008130D9"/>
    <w:rsid w:val="008134F6"/>
    <w:rsid w:val="00820D01"/>
    <w:rsid w:val="00820E31"/>
    <w:rsid w:val="0082485C"/>
    <w:rsid w:val="00825CE4"/>
    <w:rsid w:val="00826685"/>
    <w:rsid w:val="00833AE7"/>
    <w:rsid w:val="00840B74"/>
    <w:rsid w:val="00840C2F"/>
    <w:rsid w:val="00846DF2"/>
    <w:rsid w:val="00851636"/>
    <w:rsid w:val="00852A3C"/>
    <w:rsid w:val="00854D79"/>
    <w:rsid w:val="00855B35"/>
    <w:rsid w:val="00877A10"/>
    <w:rsid w:val="008821B8"/>
    <w:rsid w:val="00892492"/>
    <w:rsid w:val="00894E5A"/>
    <w:rsid w:val="0089724D"/>
    <w:rsid w:val="008A48D0"/>
    <w:rsid w:val="008A57C6"/>
    <w:rsid w:val="008A6166"/>
    <w:rsid w:val="008B2761"/>
    <w:rsid w:val="008B71E2"/>
    <w:rsid w:val="008C7258"/>
    <w:rsid w:val="008C7A1B"/>
    <w:rsid w:val="008D536A"/>
    <w:rsid w:val="008F6D47"/>
    <w:rsid w:val="008F760E"/>
    <w:rsid w:val="008F78CE"/>
    <w:rsid w:val="00904FD3"/>
    <w:rsid w:val="00914C7E"/>
    <w:rsid w:val="00916990"/>
    <w:rsid w:val="00946867"/>
    <w:rsid w:val="00950060"/>
    <w:rsid w:val="00952ABA"/>
    <w:rsid w:val="00955A88"/>
    <w:rsid w:val="00964897"/>
    <w:rsid w:val="00965D9F"/>
    <w:rsid w:val="00967143"/>
    <w:rsid w:val="009768AF"/>
    <w:rsid w:val="00997AD5"/>
    <w:rsid w:val="009A4258"/>
    <w:rsid w:val="009A6B9F"/>
    <w:rsid w:val="009B3911"/>
    <w:rsid w:val="009C1614"/>
    <w:rsid w:val="009C2636"/>
    <w:rsid w:val="009D34B5"/>
    <w:rsid w:val="009D60C5"/>
    <w:rsid w:val="009D79A8"/>
    <w:rsid w:val="009F099C"/>
    <w:rsid w:val="009F4E96"/>
    <w:rsid w:val="009F64F2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533EB"/>
    <w:rsid w:val="00A5712B"/>
    <w:rsid w:val="00A71A96"/>
    <w:rsid w:val="00A77EE9"/>
    <w:rsid w:val="00A8186A"/>
    <w:rsid w:val="00A958EA"/>
    <w:rsid w:val="00AA0776"/>
    <w:rsid w:val="00AA192A"/>
    <w:rsid w:val="00AA1F51"/>
    <w:rsid w:val="00AB15D8"/>
    <w:rsid w:val="00AC2784"/>
    <w:rsid w:val="00AD194A"/>
    <w:rsid w:val="00AD50F0"/>
    <w:rsid w:val="00AE0886"/>
    <w:rsid w:val="00AE26E8"/>
    <w:rsid w:val="00AE2CFF"/>
    <w:rsid w:val="00AE697F"/>
    <w:rsid w:val="00AF4D15"/>
    <w:rsid w:val="00AF5E77"/>
    <w:rsid w:val="00AF7C94"/>
    <w:rsid w:val="00B026B8"/>
    <w:rsid w:val="00B06019"/>
    <w:rsid w:val="00B2418B"/>
    <w:rsid w:val="00B321AC"/>
    <w:rsid w:val="00B35565"/>
    <w:rsid w:val="00B5283C"/>
    <w:rsid w:val="00B564E3"/>
    <w:rsid w:val="00B61013"/>
    <w:rsid w:val="00B71195"/>
    <w:rsid w:val="00B93F44"/>
    <w:rsid w:val="00BA21D2"/>
    <w:rsid w:val="00BC6813"/>
    <w:rsid w:val="00BD4B4D"/>
    <w:rsid w:val="00BD7797"/>
    <w:rsid w:val="00BE4610"/>
    <w:rsid w:val="00BE67F7"/>
    <w:rsid w:val="00C0275B"/>
    <w:rsid w:val="00C06FF4"/>
    <w:rsid w:val="00C10993"/>
    <w:rsid w:val="00C14FC2"/>
    <w:rsid w:val="00C1558F"/>
    <w:rsid w:val="00C21AA9"/>
    <w:rsid w:val="00C26598"/>
    <w:rsid w:val="00C323C4"/>
    <w:rsid w:val="00C32809"/>
    <w:rsid w:val="00C37782"/>
    <w:rsid w:val="00C705ED"/>
    <w:rsid w:val="00C7249C"/>
    <w:rsid w:val="00C85045"/>
    <w:rsid w:val="00C87456"/>
    <w:rsid w:val="00C901F1"/>
    <w:rsid w:val="00C94BC7"/>
    <w:rsid w:val="00C959AE"/>
    <w:rsid w:val="00CE04DA"/>
    <w:rsid w:val="00CE373F"/>
    <w:rsid w:val="00CE4436"/>
    <w:rsid w:val="00CF1AF8"/>
    <w:rsid w:val="00CF6330"/>
    <w:rsid w:val="00D00229"/>
    <w:rsid w:val="00D00DA1"/>
    <w:rsid w:val="00D04F89"/>
    <w:rsid w:val="00D06B21"/>
    <w:rsid w:val="00D131B1"/>
    <w:rsid w:val="00D15798"/>
    <w:rsid w:val="00D15968"/>
    <w:rsid w:val="00D5171F"/>
    <w:rsid w:val="00D52478"/>
    <w:rsid w:val="00D67023"/>
    <w:rsid w:val="00D70F6F"/>
    <w:rsid w:val="00D7459C"/>
    <w:rsid w:val="00D75085"/>
    <w:rsid w:val="00D7649A"/>
    <w:rsid w:val="00D82A2D"/>
    <w:rsid w:val="00D82D00"/>
    <w:rsid w:val="00D850AA"/>
    <w:rsid w:val="00D85A2F"/>
    <w:rsid w:val="00D8690E"/>
    <w:rsid w:val="00D87A41"/>
    <w:rsid w:val="00D952C7"/>
    <w:rsid w:val="00D9704D"/>
    <w:rsid w:val="00DA0DDA"/>
    <w:rsid w:val="00DA2DE1"/>
    <w:rsid w:val="00DB18E1"/>
    <w:rsid w:val="00DB3819"/>
    <w:rsid w:val="00DB4931"/>
    <w:rsid w:val="00DD53F8"/>
    <w:rsid w:val="00DE174E"/>
    <w:rsid w:val="00E154DD"/>
    <w:rsid w:val="00E212F4"/>
    <w:rsid w:val="00E25CCD"/>
    <w:rsid w:val="00E44389"/>
    <w:rsid w:val="00E470C3"/>
    <w:rsid w:val="00E479F1"/>
    <w:rsid w:val="00E50ECF"/>
    <w:rsid w:val="00E61273"/>
    <w:rsid w:val="00E63038"/>
    <w:rsid w:val="00E6682F"/>
    <w:rsid w:val="00E722E1"/>
    <w:rsid w:val="00E74A15"/>
    <w:rsid w:val="00E80517"/>
    <w:rsid w:val="00E82561"/>
    <w:rsid w:val="00E92947"/>
    <w:rsid w:val="00E95313"/>
    <w:rsid w:val="00E96B86"/>
    <w:rsid w:val="00EA3BF9"/>
    <w:rsid w:val="00EA4E1D"/>
    <w:rsid w:val="00EA6465"/>
    <w:rsid w:val="00EB7E57"/>
    <w:rsid w:val="00EC3D24"/>
    <w:rsid w:val="00ED5138"/>
    <w:rsid w:val="00EE0ED1"/>
    <w:rsid w:val="00EF7B66"/>
    <w:rsid w:val="00F06E94"/>
    <w:rsid w:val="00F14F1E"/>
    <w:rsid w:val="00F20CA9"/>
    <w:rsid w:val="00F32F3D"/>
    <w:rsid w:val="00F42FB9"/>
    <w:rsid w:val="00F64257"/>
    <w:rsid w:val="00F71F49"/>
    <w:rsid w:val="00F76B7F"/>
    <w:rsid w:val="00F911A8"/>
    <w:rsid w:val="00F95934"/>
    <w:rsid w:val="00FA3E61"/>
    <w:rsid w:val="00FB689B"/>
    <w:rsid w:val="00FC338D"/>
    <w:rsid w:val="00FC5126"/>
    <w:rsid w:val="00FE0C23"/>
    <w:rsid w:val="00FE3598"/>
    <w:rsid w:val="00FE402B"/>
    <w:rsid w:val="00FE4F06"/>
    <w:rsid w:val="00FE6824"/>
    <w:rsid w:val="00FF1E9C"/>
    <w:rsid w:val="00FF4AF9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95CED-DD23-4EBA-8F11-DF32BE4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D85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02D15D-AB19-418E-B7BF-D6718F7F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36</cp:revision>
  <cp:lastPrinted>2015-09-09T05:07:00Z</cp:lastPrinted>
  <dcterms:created xsi:type="dcterms:W3CDTF">2017-07-05T15:25:00Z</dcterms:created>
  <dcterms:modified xsi:type="dcterms:W3CDTF">2019-04-10T09:10:00Z</dcterms:modified>
</cp:coreProperties>
</file>