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98" w:rsidRPr="007573A0" w:rsidRDefault="005E26EA">
      <w:pPr>
        <w:jc w:val="both"/>
        <w:rPr>
          <w:iCs/>
        </w:rPr>
      </w:pPr>
      <w:bookmarkStart w:id="0" w:name="_GoBack"/>
      <w:bookmarkEnd w:id="0"/>
      <w:r w:rsidRPr="007573A0">
        <w:rPr>
          <w:bCs/>
          <w:iCs/>
        </w:rPr>
        <w:t>Številka: 3505-8/2015</w:t>
      </w:r>
    </w:p>
    <w:p w:rsidR="00ED7298" w:rsidRPr="007573A0" w:rsidRDefault="005E26EA">
      <w:pPr>
        <w:jc w:val="both"/>
        <w:rPr>
          <w:iCs/>
        </w:rPr>
      </w:pPr>
      <w:r w:rsidRPr="007573A0">
        <w:rPr>
          <w:bCs/>
          <w:iCs/>
        </w:rPr>
        <w:t>Datum:</w:t>
      </w:r>
      <w:r w:rsidRPr="007573A0">
        <w:rPr>
          <w:iCs/>
        </w:rPr>
        <w:t xml:space="preserve"> 27. 3. 2017</w:t>
      </w:r>
    </w:p>
    <w:p w:rsidR="00ED7298" w:rsidRPr="007573A0" w:rsidRDefault="00ED7298">
      <w:pPr>
        <w:jc w:val="both"/>
        <w:rPr>
          <w:iCs/>
          <w:color w:val="943634" w:themeColor="accent2" w:themeShade="BF"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5E26EA">
      <w:pPr>
        <w:jc w:val="both"/>
        <w:rPr>
          <w:b/>
          <w:bCs/>
          <w:iCs/>
        </w:rPr>
      </w:pPr>
      <w:r w:rsidRPr="007573A0">
        <w:rPr>
          <w:b/>
          <w:bCs/>
          <w:iCs/>
        </w:rPr>
        <w:t>MESTNEMU SVETU</w:t>
      </w:r>
    </w:p>
    <w:p w:rsidR="00ED7298" w:rsidRPr="007573A0" w:rsidRDefault="005E26EA">
      <w:pPr>
        <w:jc w:val="both"/>
        <w:rPr>
          <w:b/>
          <w:bCs/>
          <w:iCs/>
        </w:rPr>
      </w:pPr>
      <w:r w:rsidRPr="007573A0">
        <w:rPr>
          <w:b/>
          <w:bCs/>
          <w:iCs/>
        </w:rPr>
        <w:t>MESTNE OBČINE PTUJ</w:t>
      </w: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b/>
          <w:bCs/>
          <w:iCs/>
        </w:rPr>
      </w:pPr>
    </w:p>
    <w:p w:rsidR="00ED7298" w:rsidRPr="007573A0" w:rsidRDefault="00ED7298">
      <w:pPr>
        <w:jc w:val="both"/>
        <w:rPr>
          <w:b/>
          <w:bCs/>
          <w:iCs/>
        </w:rPr>
      </w:pPr>
    </w:p>
    <w:p w:rsidR="00ED7298" w:rsidRPr="007573A0" w:rsidRDefault="005E26EA">
      <w:pPr>
        <w:ind w:left="1440" w:hanging="1440"/>
        <w:jc w:val="both"/>
        <w:rPr>
          <w:b/>
          <w:iCs/>
        </w:rPr>
      </w:pPr>
      <w:r w:rsidRPr="007573A0">
        <w:rPr>
          <w:b/>
          <w:bCs/>
          <w:iCs/>
        </w:rPr>
        <w:t>ZADEVA:</w:t>
      </w:r>
      <w:r w:rsidRPr="007573A0">
        <w:rPr>
          <w:iCs/>
        </w:rPr>
        <w:tab/>
      </w:r>
      <w:r w:rsidRPr="007573A0">
        <w:rPr>
          <w:b/>
          <w:iCs/>
        </w:rPr>
        <w:t>Predlog</w:t>
      </w:r>
      <w:r w:rsidRPr="007573A0">
        <w:rPr>
          <w:iCs/>
        </w:rPr>
        <w:t xml:space="preserve"> S</w:t>
      </w:r>
      <w:r w:rsidRPr="007573A0">
        <w:rPr>
          <w:b/>
          <w:iCs/>
        </w:rPr>
        <w:t xml:space="preserve">tališč do pripomb javnosti podanih v času javne razgrnitve dopolnjenega </w:t>
      </w:r>
      <w:r w:rsidRPr="007573A0">
        <w:rPr>
          <w:b/>
          <w:iCs/>
        </w:rPr>
        <w:tab/>
        <w:t>osnutka Odloka o občinskem podrobnem prostorskem načrtu za enoto urejanja prostor</w:t>
      </w:r>
      <w:r w:rsidR="00EF02C1" w:rsidRPr="007573A0">
        <w:rPr>
          <w:b/>
          <w:iCs/>
        </w:rPr>
        <w:t>a za enoto urejanja prostora BT</w:t>
      </w:r>
      <w:r w:rsidRPr="007573A0">
        <w:rPr>
          <w:b/>
          <w:iCs/>
        </w:rPr>
        <w:t>23 Ptuj</w:t>
      </w:r>
      <w:r w:rsidR="00EF02C1" w:rsidRPr="007573A0">
        <w:rPr>
          <w:b/>
          <w:iCs/>
        </w:rPr>
        <w:t xml:space="preserve"> </w:t>
      </w:r>
      <w:r w:rsidRPr="007573A0">
        <w:rPr>
          <w:b/>
          <w:iCs/>
        </w:rPr>
        <w:t>- T</w:t>
      </w:r>
      <w:r w:rsidR="00EF02C1" w:rsidRPr="007573A0">
        <w:rPr>
          <w:b/>
          <w:iCs/>
        </w:rPr>
        <w:t>urnišče</w:t>
      </w:r>
      <w:r w:rsidRPr="007573A0">
        <w:rPr>
          <w:b/>
          <w:iCs/>
        </w:rPr>
        <w:t xml:space="preserve"> 2 </w:t>
      </w:r>
    </w:p>
    <w:p w:rsidR="00ED7298" w:rsidRPr="007573A0" w:rsidRDefault="00ED7298">
      <w:pPr>
        <w:ind w:left="1440" w:hanging="1440"/>
        <w:jc w:val="both"/>
        <w:rPr>
          <w:b/>
          <w:iCs/>
        </w:rPr>
      </w:pPr>
    </w:p>
    <w:p w:rsidR="00ED7298" w:rsidRPr="007573A0" w:rsidRDefault="00ED7298">
      <w:pPr>
        <w:jc w:val="both"/>
        <w:rPr>
          <w:b/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>Na podlagi 23. člena Statuta Mestne občine Ptuj (Uradni vestnik Mestne občine Ptuj, št. 9/07) in v skladu s 99. členom Poslovnika Mestnega sveta Mestne občine Ptuj (Uradni vestnik Mestne občine Ptuj, št. 12/07, 1/09, 2/14 in 7/15) predlagam mestnemu svetu v obravnavo predlog Stališč do pripomb javnosti podanih v času javne razgrnitve dopolnjenega osnutka Odloka o občinskem podrobnem prostorskem načrtu za enoto urejanja prostora BT 23 Ptuj</w:t>
      </w:r>
      <w:r w:rsidR="003F4EA0" w:rsidRPr="007573A0">
        <w:rPr>
          <w:iCs/>
        </w:rPr>
        <w:t xml:space="preserve"> </w:t>
      </w:r>
      <w:r w:rsidRPr="007573A0">
        <w:rPr>
          <w:iCs/>
        </w:rPr>
        <w:t>- T</w:t>
      </w:r>
      <w:r w:rsidR="00EF02C1" w:rsidRPr="007573A0">
        <w:rPr>
          <w:iCs/>
        </w:rPr>
        <w:t>urnišče</w:t>
      </w:r>
      <w:r w:rsidRPr="007573A0">
        <w:rPr>
          <w:iCs/>
        </w:rPr>
        <w:t xml:space="preserve"> 2</w:t>
      </w:r>
      <w:r w:rsidR="008F2FBA" w:rsidRPr="007573A0">
        <w:rPr>
          <w:iCs/>
        </w:rPr>
        <w:t>.</w:t>
      </w: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ab/>
      </w:r>
      <w:r w:rsidRPr="007573A0">
        <w:rPr>
          <w:iCs/>
        </w:rPr>
        <w:tab/>
      </w:r>
      <w:r w:rsidRPr="007573A0">
        <w:rPr>
          <w:iCs/>
        </w:rPr>
        <w:tab/>
      </w:r>
      <w:r w:rsidRPr="007573A0">
        <w:rPr>
          <w:iCs/>
        </w:rPr>
        <w:tab/>
      </w:r>
      <w:r w:rsidRPr="007573A0">
        <w:rPr>
          <w:iCs/>
        </w:rPr>
        <w:tab/>
      </w:r>
      <w:r w:rsidRPr="007573A0">
        <w:rPr>
          <w:iCs/>
        </w:rPr>
        <w:tab/>
      </w:r>
      <w:r w:rsidRPr="007573A0">
        <w:rPr>
          <w:iCs/>
        </w:rPr>
        <w:tab/>
        <w:t xml:space="preserve">  </w:t>
      </w:r>
      <w:r w:rsidRPr="007573A0">
        <w:rPr>
          <w:iCs/>
        </w:rPr>
        <w:tab/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7298" w:rsidRPr="007573A0">
        <w:tc>
          <w:tcPr>
            <w:tcW w:w="3070" w:type="dxa"/>
            <w:shd w:val="clear" w:color="auto" w:fill="auto"/>
          </w:tcPr>
          <w:p w:rsidR="00ED7298" w:rsidRPr="007573A0" w:rsidRDefault="00ED7298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7573A0" w:rsidRDefault="00ED7298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7573A0" w:rsidRDefault="005E26EA">
            <w:pPr>
              <w:tabs>
                <w:tab w:val="center" w:pos="6480"/>
              </w:tabs>
              <w:jc w:val="center"/>
              <w:outlineLvl w:val="0"/>
            </w:pPr>
            <w:r w:rsidRPr="007573A0">
              <w:t>Miran SENČAR,</w:t>
            </w:r>
          </w:p>
          <w:p w:rsidR="00ED7298" w:rsidRPr="007573A0" w:rsidRDefault="005E26EA">
            <w:pPr>
              <w:tabs>
                <w:tab w:val="center" w:pos="6480"/>
              </w:tabs>
              <w:jc w:val="center"/>
              <w:outlineLvl w:val="0"/>
            </w:pPr>
            <w:r w:rsidRPr="007573A0">
              <w:t>župan Mestne občine Ptuj</w:t>
            </w:r>
          </w:p>
        </w:tc>
      </w:tr>
    </w:tbl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ED7298">
      <w:pPr>
        <w:jc w:val="both"/>
        <w:rPr>
          <w:iCs/>
        </w:rPr>
      </w:pP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 xml:space="preserve">Priloge: </w:t>
      </w: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>-  stališča do pripomb javnosti z obrazložitvijo</w:t>
      </w: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>-  grafični prikaz predlaganih ureditev (razgrnjeno gradivo)</w:t>
      </w:r>
    </w:p>
    <w:p w:rsidR="00ED7298" w:rsidRPr="007573A0" w:rsidRDefault="00ED7298">
      <w:pPr>
        <w:jc w:val="both"/>
      </w:pPr>
    </w:p>
    <w:p w:rsidR="00ED7298" w:rsidRPr="007573A0" w:rsidRDefault="00ED7298">
      <w:pPr>
        <w:jc w:val="right"/>
        <w:rPr>
          <w:b/>
          <w:lang w:val="en-US" w:eastAsia="en-US"/>
        </w:rPr>
      </w:pPr>
    </w:p>
    <w:p w:rsidR="00ED7298" w:rsidRPr="007573A0" w:rsidRDefault="00ED7298">
      <w:pPr>
        <w:jc w:val="right"/>
        <w:rPr>
          <w:lang w:val="en-US" w:eastAsia="en-US"/>
        </w:rPr>
      </w:pPr>
    </w:p>
    <w:p w:rsidR="00ED7298" w:rsidRPr="007573A0" w:rsidRDefault="005E26EA">
      <w:pPr>
        <w:jc w:val="right"/>
        <w:rPr>
          <w:lang w:val="en-US" w:eastAsia="en-US"/>
        </w:rPr>
      </w:pPr>
      <w:proofErr w:type="spellStart"/>
      <w:r w:rsidRPr="007573A0">
        <w:rPr>
          <w:lang w:val="en-US" w:eastAsia="en-US"/>
        </w:rPr>
        <w:lastRenderedPageBreak/>
        <w:t>P</w:t>
      </w:r>
      <w:r w:rsidR="008F2FBA" w:rsidRPr="007573A0">
        <w:rPr>
          <w:lang w:val="en-US" w:eastAsia="en-US"/>
        </w:rPr>
        <w:t>redlog</w:t>
      </w:r>
      <w:proofErr w:type="spellEnd"/>
    </w:p>
    <w:p w:rsidR="00ED7298" w:rsidRDefault="005E26EA">
      <w:pPr>
        <w:jc w:val="right"/>
        <w:rPr>
          <w:lang w:eastAsia="en-US"/>
        </w:rPr>
      </w:pP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Pr="007573A0">
        <w:rPr>
          <w:lang w:val="en-US" w:eastAsia="en-US"/>
        </w:rPr>
        <w:tab/>
      </w:r>
      <w:r w:rsidR="008F2FBA" w:rsidRPr="007573A0">
        <w:rPr>
          <w:lang w:eastAsia="en-US"/>
        </w:rPr>
        <w:t>april</w:t>
      </w:r>
      <w:r w:rsidRPr="007573A0">
        <w:rPr>
          <w:lang w:eastAsia="en-US"/>
        </w:rPr>
        <w:t xml:space="preserve"> 2017</w:t>
      </w:r>
    </w:p>
    <w:p w:rsidR="001D0A79" w:rsidRPr="007573A0" w:rsidRDefault="001D0A79">
      <w:pPr>
        <w:jc w:val="right"/>
        <w:rPr>
          <w:lang w:eastAsia="en-US"/>
        </w:rPr>
      </w:pPr>
    </w:p>
    <w:p w:rsidR="00ED7298" w:rsidRPr="007573A0" w:rsidRDefault="005E26EA">
      <w:pPr>
        <w:jc w:val="both"/>
        <w:rPr>
          <w:lang w:eastAsia="en-US"/>
        </w:rPr>
      </w:pPr>
      <w:r w:rsidRPr="007573A0">
        <w:rPr>
          <w:lang w:eastAsia="en-US"/>
        </w:rPr>
        <w:t>Na podlagi 60. člena Zakona o prostorskem načrtovanju (Uradni list RS, št. 33/07, 70/08 - ZVO-1B, 108/09, 80/10 - ZUPUDPP, 43/11 - ZKZ-C, 57/12, 57/</w:t>
      </w:r>
      <w:r w:rsidR="001D0A79">
        <w:rPr>
          <w:lang w:eastAsia="en-US"/>
        </w:rPr>
        <w:t xml:space="preserve">12 - ZUPUDPP-A, 109/12, 35/13 - </w:t>
      </w:r>
      <w:r w:rsidRPr="007573A0">
        <w:rPr>
          <w:lang w:eastAsia="en-US"/>
        </w:rPr>
        <w:t xml:space="preserve">skl. US, 76/14 - </w:t>
      </w:r>
      <w:r w:rsidR="005F3EC3" w:rsidRPr="007573A0">
        <w:rPr>
          <w:lang w:eastAsia="en-US"/>
        </w:rPr>
        <w:t>dol</w:t>
      </w:r>
      <w:r w:rsidRPr="007573A0">
        <w:rPr>
          <w:lang w:eastAsia="en-US"/>
        </w:rPr>
        <w:t>. US in 14/15 - ZUUJFO) ter 12. člena Statuta Mestne občine Ptuj (Uradni vestnik Mestne občine Ptuj, št. 9/07) je Mestni svet Mestne občine Ptuj na svoji ________ seji, dne _________, sprejel</w:t>
      </w:r>
    </w:p>
    <w:p w:rsidR="00242742" w:rsidRPr="007573A0" w:rsidRDefault="00242742">
      <w:pPr>
        <w:jc w:val="both"/>
        <w:rPr>
          <w:lang w:eastAsia="en-US"/>
        </w:rPr>
      </w:pPr>
    </w:p>
    <w:p w:rsidR="00ED7298" w:rsidRPr="007573A0" w:rsidRDefault="005E26EA">
      <w:pPr>
        <w:jc w:val="center"/>
        <w:rPr>
          <w:b/>
          <w:lang w:eastAsia="en-US"/>
        </w:rPr>
      </w:pPr>
      <w:r w:rsidRPr="007573A0">
        <w:rPr>
          <w:b/>
          <w:lang w:eastAsia="en-US"/>
        </w:rPr>
        <w:t xml:space="preserve">S T A L I Š Č A </w:t>
      </w:r>
    </w:p>
    <w:p w:rsidR="00ED7298" w:rsidRPr="007573A0" w:rsidRDefault="005E26EA">
      <w:pPr>
        <w:jc w:val="center"/>
        <w:rPr>
          <w:b/>
          <w:lang w:eastAsia="en-US"/>
        </w:rPr>
      </w:pPr>
      <w:r w:rsidRPr="007573A0">
        <w:rPr>
          <w:b/>
          <w:lang w:eastAsia="en-US"/>
        </w:rPr>
        <w:t>do pripomb javnosti podanih v času javne razgrnitve</w:t>
      </w:r>
    </w:p>
    <w:p w:rsidR="00ED7298" w:rsidRPr="007573A0" w:rsidRDefault="005E26EA">
      <w:pPr>
        <w:jc w:val="center"/>
        <w:rPr>
          <w:b/>
          <w:lang w:eastAsia="en-US"/>
        </w:rPr>
      </w:pPr>
      <w:r w:rsidRPr="007573A0">
        <w:rPr>
          <w:b/>
          <w:lang w:eastAsia="en-US"/>
        </w:rPr>
        <w:t xml:space="preserve">dopolnjenega </w:t>
      </w:r>
      <w:r w:rsidRPr="007573A0">
        <w:rPr>
          <w:b/>
          <w:lang w:eastAsia="en-US"/>
        </w:rPr>
        <w:tab/>
        <w:t xml:space="preserve">osnutka Odloka o občinskem podrobnem prostorskem načrtu </w:t>
      </w:r>
    </w:p>
    <w:p w:rsidR="00ED7298" w:rsidRPr="007573A0" w:rsidRDefault="005E26EA">
      <w:pPr>
        <w:jc w:val="center"/>
        <w:rPr>
          <w:lang w:eastAsia="en-US"/>
        </w:rPr>
      </w:pPr>
      <w:r w:rsidRPr="007573A0">
        <w:rPr>
          <w:b/>
          <w:lang w:eastAsia="en-US"/>
        </w:rPr>
        <w:t>za enoto urejanja prostora BT 23 Ptuj</w:t>
      </w:r>
      <w:r w:rsidR="003F4EA0" w:rsidRPr="007573A0">
        <w:rPr>
          <w:b/>
          <w:lang w:eastAsia="en-US"/>
        </w:rPr>
        <w:t xml:space="preserve"> </w:t>
      </w:r>
      <w:r w:rsidRPr="007573A0">
        <w:rPr>
          <w:b/>
          <w:lang w:eastAsia="en-US"/>
        </w:rPr>
        <w:t>- T</w:t>
      </w:r>
      <w:r w:rsidR="00491EBB" w:rsidRPr="007573A0">
        <w:rPr>
          <w:b/>
          <w:lang w:eastAsia="en-US"/>
        </w:rPr>
        <w:t>urnišče</w:t>
      </w:r>
      <w:r w:rsidRPr="007573A0">
        <w:rPr>
          <w:b/>
          <w:lang w:eastAsia="en-US"/>
        </w:rPr>
        <w:t xml:space="preserve"> 2</w:t>
      </w:r>
    </w:p>
    <w:p w:rsidR="00ED7298" w:rsidRPr="007573A0" w:rsidRDefault="00ED7298">
      <w:pPr>
        <w:tabs>
          <w:tab w:val="center" w:pos="6480"/>
        </w:tabs>
        <w:outlineLvl w:val="0"/>
        <w:rPr>
          <w:rFonts w:eastAsia="Calibri"/>
        </w:rPr>
      </w:pPr>
    </w:p>
    <w:p w:rsidR="00242742" w:rsidRPr="007573A0" w:rsidRDefault="00242742">
      <w:pPr>
        <w:tabs>
          <w:tab w:val="center" w:pos="6480"/>
        </w:tabs>
        <w:outlineLvl w:val="0"/>
        <w:rPr>
          <w:rFonts w:eastAsia="Calibri"/>
        </w:rPr>
      </w:pPr>
    </w:p>
    <w:p w:rsidR="00ED7298" w:rsidRPr="007573A0" w:rsidRDefault="005E26EA">
      <w:pPr>
        <w:numPr>
          <w:ilvl w:val="0"/>
          <w:numId w:val="1"/>
        </w:numPr>
        <w:ind w:left="720"/>
        <w:rPr>
          <w:b/>
        </w:rPr>
      </w:pPr>
      <w:r w:rsidRPr="007573A0">
        <w:rPr>
          <w:b/>
        </w:rPr>
        <w:t>Pripombe podane v času javne razgrnitve in vpisane v knjigo pripomb:</w:t>
      </w:r>
    </w:p>
    <w:p w:rsidR="00ED7298" w:rsidRPr="007573A0" w:rsidRDefault="00ED7298">
      <w:pPr>
        <w:ind w:left="66"/>
      </w:pPr>
    </w:p>
    <w:p w:rsidR="00ED7298" w:rsidRPr="007573A0" w:rsidRDefault="005E26EA" w:rsidP="00E92C97">
      <w:pPr>
        <w:pStyle w:val="Odstavekseznama"/>
        <w:numPr>
          <w:ilvl w:val="1"/>
          <w:numId w:val="1"/>
        </w:numPr>
        <w:ind w:left="426" w:hanging="426"/>
        <w:jc w:val="both"/>
        <w:rPr>
          <w:b/>
        </w:rPr>
      </w:pPr>
      <w:r w:rsidRPr="007573A0">
        <w:rPr>
          <w:b/>
        </w:rPr>
        <w:t>Pripomba z dne 1. 3. 2017:</w:t>
      </w:r>
    </w:p>
    <w:p w:rsidR="00ED7298" w:rsidRPr="007573A0" w:rsidRDefault="005E26EA">
      <w:pPr>
        <w:jc w:val="both"/>
      </w:pPr>
      <w:r w:rsidRPr="007573A0">
        <w:t>Izgradnja podaljšane Žunkovičeve ulice</w:t>
      </w:r>
      <w:r w:rsidR="008F2FBA" w:rsidRPr="007573A0">
        <w:t>.</w:t>
      </w:r>
    </w:p>
    <w:p w:rsidR="00ED7298" w:rsidRPr="007573A0" w:rsidRDefault="005E26EA">
      <w:pPr>
        <w:jc w:val="both"/>
      </w:pPr>
      <w:r w:rsidRPr="007573A0">
        <w:t>Leta 1997 sva z možem kupila zemljišče za omenjeno ulico v dolžino 100</w:t>
      </w:r>
      <w:r w:rsidR="00D54EC9" w:rsidRPr="007573A0">
        <w:t xml:space="preserve"> </w:t>
      </w:r>
      <w:r w:rsidRPr="007573A0">
        <w:t>m in širino 8,37</w:t>
      </w:r>
      <w:r w:rsidR="008F2FBA" w:rsidRPr="007573A0">
        <w:t xml:space="preserve"> </w:t>
      </w:r>
      <w:r w:rsidRPr="007573A0">
        <w:t xml:space="preserve">m. Takrat je bila to zelenica. S svojimi sredstvi sva naredila izkop in </w:t>
      </w:r>
      <w:proofErr w:type="spellStart"/>
      <w:r w:rsidR="008F2FBA" w:rsidRPr="007573A0">
        <w:t>gram</w:t>
      </w:r>
      <w:r w:rsidR="005F3EC3" w:rsidRPr="007573A0">
        <w:t>ozirala</w:t>
      </w:r>
      <w:proofErr w:type="spellEnd"/>
      <w:r w:rsidRPr="007573A0">
        <w:t>, utrdila vse do asfaltne prevleke, kar je potem leta 2004 naredila občina. Za odkup zemljišča sva plačala 10.000</w:t>
      </w:r>
      <w:r w:rsidR="00B80A87" w:rsidRPr="007573A0">
        <w:t xml:space="preserve"> DEM</w:t>
      </w:r>
      <w:r w:rsidRPr="007573A0">
        <w:t>, za ureditev ulice pa še dobrih 10.000</w:t>
      </w:r>
      <w:r w:rsidR="00B80A87" w:rsidRPr="007573A0">
        <w:t xml:space="preserve"> </w:t>
      </w:r>
      <w:r w:rsidR="008F2FBA" w:rsidRPr="007573A0">
        <w:t>EUR</w:t>
      </w:r>
      <w:r w:rsidRPr="007573A0">
        <w:t xml:space="preserve"> plus naše delo in najem vseh strojev. Zato smatrava, da sva upravičena do odškodnine v tej vrednosti, ker bodo drugi, novi sosedje souporabljali to cesto.</w:t>
      </w:r>
    </w:p>
    <w:p w:rsidR="00ED7298" w:rsidRPr="007573A0" w:rsidRDefault="005E26EA">
      <w:pPr>
        <w:jc w:val="both"/>
      </w:pPr>
      <w:r w:rsidRPr="007573A0">
        <w:t>Zato vas vljudno prosiva, da naju vključite v vse obravnave, ki se tičejo izgradnje Žunkovičeve ulice. Finančni del izgradnje v dolžini 65</w:t>
      </w:r>
      <w:r w:rsidR="00B80A87" w:rsidRPr="007573A0">
        <w:t xml:space="preserve"> </w:t>
      </w:r>
      <w:r w:rsidRPr="007573A0">
        <w:t>m in širine 7</w:t>
      </w:r>
      <w:r w:rsidR="00B80A87" w:rsidRPr="007573A0">
        <w:t xml:space="preserve"> </w:t>
      </w:r>
      <w:r w:rsidRPr="007573A0">
        <w:t>m bi lahko pripadal nama kot odškodnina za že zgrajeno cesto.</w:t>
      </w:r>
    </w:p>
    <w:p w:rsidR="001D0A79" w:rsidRDefault="001D0A79">
      <w:pPr>
        <w:jc w:val="both"/>
      </w:pPr>
    </w:p>
    <w:p w:rsidR="00ED7298" w:rsidRPr="007573A0" w:rsidRDefault="005E26EA">
      <w:pPr>
        <w:jc w:val="both"/>
      </w:pPr>
      <w:r w:rsidRPr="007573A0">
        <w:t>Smuk Anica</w:t>
      </w:r>
    </w:p>
    <w:p w:rsidR="00ED7298" w:rsidRPr="007573A0" w:rsidRDefault="005E26EA">
      <w:pPr>
        <w:jc w:val="both"/>
      </w:pPr>
      <w:r w:rsidRPr="007573A0">
        <w:t>Smuk Stanislav</w:t>
      </w:r>
    </w:p>
    <w:p w:rsidR="00ED7298" w:rsidRPr="007573A0" w:rsidRDefault="00ED7298">
      <w:pPr>
        <w:jc w:val="both"/>
      </w:pPr>
    </w:p>
    <w:p w:rsidR="00ED7298" w:rsidRPr="007573A0" w:rsidRDefault="005E26EA">
      <w:pPr>
        <w:jc w:val="both"/>
        <w:rPr>
          <w:b/>
        </w:rPr>
      </w:pPr>
      <w:r w:rsidRPr="007573A0">
        <w:rPr>
          <w:b/>
        </w:rPr>
        <w:t xml:space="preserve">Stališče do pripombe: Pripomba </w:t>
      </w:r>
      <w:r w:rsidR="00242742" w:rsidRPr="007573A0">
        <w:rPr>
          <w:b/>
        </w:rPr>
        <w:t xml:space="preserve">se </w:t>
      </w:r>
      <w:r w:rsidRPr="007573A0">
        <w:rPr>
          <w:b/>
        </w:rPr>
        <w:t>ne upošteva.</w:t>
      </w:r>
    </w:p>
    <w:p w:rsidR="00ED7298" w:rsidRPr="007573A0" w:rsidRDefault="005E26EA">
      <w:pPr>
        <w:jc w:val="both"/>
      </w:pPr>
      <w:r w:rsidRPr="007573A0">
        <w:t xml:space="preserve"> </w:t>
      </w:r>
    </w:p>
    <w:p w:rsidR="00ED7298" w:rsidRPr="007573A0" w:rsidRDefault="005E26EA">
      <w:pPr>
        <w:jc w:val="both"/>
      </w:pPr>
      <w:r w:rsidRPr="007573A0">
        <w:t>Pripomba se nanaša na postopke, ki niso predmet razgrnjenega prostorskega akta. V OPPN predvidene ureditve se navezujejo na omenjeno Žunkovičevo ulico, ki je opredeljena kot javno dobro. Kljub temu so na Oddelku za gospodarske zadeve Mestne občine Ptuj z zadevo seznanjeni, v sklopu javne razprave sta bila prisotna dajalca pripomb pozvana, da na Oddelek za gospodarske zadeve dostavita čim več dokumentov, na osnovi katerih se bo lahko pristopilo k reševanju zadeve.</w:t>
      </w:r>
    </w:p>
    <w:p w:rsidR="00ED7298" w:rsidRPr="007573A0" w:rsidRDefault="00ED7298">
      <w:pPr>
        <w:jc w:val="both"/>
      </w:pPr>
    </w:p>
    <w:p w:rsidR="00ED7298" w:rsidRPr="007573A0" w:rsidRDefault="005E26EA">
      <w:pPr>
        <w:jc w:val="both"/>
      </w:pPr>
      <w:r w:rsidRPr="007573A0">
        <w:rPr>
          <w:b/>
        </w:rPr>
        <w:t>2. Pripomba z dne 21. 3. 2017:</w:t>
      </w:r>
    </w:p>
    <w:p w:rsidR="008F2FBA" w:rsidRPr="007573A0" w:rsidRDefault="005E26EA">
      <w:pPr>
        <w:jc w:val="both"/>
      </w:pPr>
      <w:r w:rsidRPr="007573A0">
        <w:t xml:space="preserve">Glede na to, da ta prostorski načrt sedaj končno omogoča dostop do obstoječe stanovanjske hiše na </w:t>
      </w:r>
      <w:r w:rsidR="00EF02C1" w:rsidRPr="007573A0">
        <w:t>parc.</w:t>
      </w:r>
      <w:r w:rsidRPr="007573A0">
        <w:t xml:space="preserve"> št. 3508/2 – tako,</w:t>
      </w:r>
      <w:r w:rsidR="008B7DC3" w:rsidRPr="007573A0">
        <w:t xml:space="preserve"> kot je bilo predvideno v lokacijskem</w:t>
      </w:r>
      <w:r w:rsidRPr="007573A0">
        <w:t xml:space="preserve"> in gradbenem dovoljenju za ta objekt in do </w:t>
      </w:r>
      <w:r w:rsidR="00EF02C1" w:rsidRPr="007573A0">
        <w:t>parc.</w:t>
      </w:r>
      <w:r w:rsidRPr="007573A0">
        <w:t xml:space="preserve"> št. 3506/3, prosimo, da bi se čimprej pristopilo k ure</w:t>
      </w:r>
      <w:r w:rsidR="00EF02C1" w:rsidRPr="007573A0">
        <w:t xml:space="preserve">ditvi ceste na parceli št. 3462, </w:t>
      </w:r>
      <w:r w:rsidR="005F3EC3" w:rsidRPr="007573A0">
        <w:t>k</w:t>
      </w:r>
      <w:r w:rsidR="00EF02C1" w:rsidRPr="007573A0">
        <w:t>.</w:t>
      </w:r>
      <w:r w:rsidR="005F3EC3" w:rsidRPr="007573A0">
        <w:t>o</w:t>
      </w:r>
      <w:r w:rsidRPr="007573A0">
        <w:t xml:space="preserve">. Ptuj – tako da bi parceli imeli končno rešen dostop. </w:t>
      </w:r>
    </w:p>
    <w:p w:rsidR="001D0A79" w:rsidRDefault="001D0A79">
      <w:pPr>
        <w:jc w:val="both"/>
      </w:pPr>
    </w:p>
    <w:p w:rsidR="00ED7298" w:rsidRPr="007573A0" w:rsidRDefault="005E26EA">
      <w:pPr>
        <w:jc w:val="both"/>
      </w:pPr>
      <w:r w:rsidRPr="007573A0">
        <w:t>Težak Jožica</w:t>
      </w:r>
    </w:p>
    <w:p w:rsidR="00ED7298" w:rsidRPr="007573A0" w:rsidRDefault="00ED7298">
      <w:pPr>
        <w:jc w:val="both"/>
      </w:pPr>
    </w:p>
    <w:p w:rsidR="00ED7298" w:rsidRPr="007573A0" w:rsidRDefault="005E26EA">
      <w:pPr>
        <w:jc w:val="both"/>
      </w:pPr>
      <w:r w:rsidRPr="007573A0">
        <w:lastRenderedPageBreak/>
        <w:t>Stanovalci ob obstoječi mak</w:t>
      </w:r>
      <w:r w:rsidR="008C7673" w:rsidRPr="007573A0">
        <w:t>adamski cesti Drevenšek Janez, Ulica Šercerjeve brigade 20, Gajser Jože, Ulica</w:t>
      </w:r>
      <w:r w:rsidRPr="007573A0">
        <w:t xml:space="preserve"> Šerc</w:t>
      </w:r>
      <w:r w:rsidR="00E07794" w:rsidRPr="007573A0">
        <w:t>erjeve</w:t>
      </w:r>
      <w:r w:rsidR="008C7673" w:rsidRPr="007573A0">
        <w:t xml:space="preserve"> brigade 24,</w:t>
      </w:r>
      <w:r w:rsidRPr="007573A0">
        <w:t xml:space="preserve"> Vogler Kar</w:t>
      </w:r>
      <w:r w:rsidR="008C7673" w:rsidRPr="007573A0">
        <w:t>l, Ulica</w:t>
      </w:r>
      <w:r w:rsidRPr="007573A0">
        <w:t xml:space="preserve"> Šerc</w:t>
      </w:r>
      <w:r w:rsidR="008C7673" w:rsidRPr="007573A0">
        <w:t xml:space="preserve">erjeve brigade 22, Merc Jože, Ulica </w:t>
      </w:r>
      <w:r w:rsidR="00E07794" w:rsidRPr="007573A0">
        <w:t>Šercerjeve brigade</w:t>
      </w:r>
      <w:r w:rsidR="008C7673" w:rsidRPr="007573A0">
        <w:t xml:space="preserve"> 24a,</w:t>
      </w:r>
      <w:r w:rsidR="00E07794" w:rsidRPr="007573A0">
        <w:t xml:space="preserve"> Šmigoc Matjaž, U</w:t>
      </w:r>
      <w:r w:rsidR="008C7673" w:rsidRPr="007573A0">
        <w:t>lica</w:t>
      </w:r>
      <w:r w:rsidR="00E07794" w:rsidRPr="007573A0">
        <w:t xml:space="preserve"> Šercerjeve</w:t>
      </w:r>
      <w:r w:rsidRPr="007573A0">
        <w:t xml:space="preserve"> br</w:t>
      </w:r>
      <w:r w:rsidR="00E07794" w:rsidRPr="007573A0">
        <w:t>igade</w:t>
      </w:r>
      <w:r w:rsidR="008C7673" w:rsidRPr="007573A0">
        <w:t xml:space="preserve"> 24b in Težak Jožica, Ulica</w:t>
      </w:r>
      <w:r w:rsidRPr="007573A0">
        <w:t xml:space="preserve"> 14. divizije 11</w:t>
      </w:r>
      <w:r w:rsidR="008C7673" w:rsidRPr="007573A0">
        <w:t xml:space="preserve"> - pa</w:t>
      </w:r>
      <w:r w:rsidRPr="007573A0">
        <w:t xml:space="preserve"> tudi predlagamo, da omenjena makadamska cesta ne bi imela prehoda na novo predvideno </w:t>
      </w:r>
      <w:r w:rsidR="008B7DC3" w:rsidRPr="007573A0">
        <w:t>U</w:t>
      </w:r>
      <w:r w:rsidR="008C7673" w:rsidRPr="007573A0">
        <w:t xml:space="preserve">lico </w:t>
      </w:r>
      <w:r w:rsidRPr="007573A0">
        <w:t>14. divizije, ampak bi bila na tem delu slepa.</w:t>
      </w:r>
    </w:p>
    <w:p w:rsidR="00ED7298" w:rsidRPr="007573A0" w:rsidRDefault="00ED7298">
      <w:pPr>
        <w:jc w:val="both"/>
      </w:pPr>
    </w:p>
    <w:p w:rsidR="00ED7298" w:rsidRPr="007573A0" w:rsidRDefault="005E26EA">
      <w:pPr>
        <w:jc w:val="both"/>
      </w:pPr>
      <w:bookmarkStart w:id="1" w:name="__DdeLink__374_1945851924"/>
      <w:r w:rsidRPr="007573A0">
        <w:rPr>
          <w:b/>
        </w:rPr>
        <w:t>Stališče do pripombe: Pripomba</w:t>
      </w:r>
      <w:r w:rsidR="00242742" w:rsidRPr="007573A0">
        <w:rPr>
          <w:b/>
        </w:rPr>
        <w:t xml:space="preserve"> se</w:t>
      </w:r>
      <w:r w:rsidRPr="007573A0">
        <w:rPr>
          <w:b/>
        </w:rPr>
        <w:t xml:space="preserve"> </w:t>
      </w:r>
      <w:bookmarkEnd w:id="1"/>
      <w:r w:rsidRPr="007573A0">
        <w:rPr>
          <w:b/>
        </w:rPr>
        <w:t>delno upošteva.</w:t>
      </w:r>
    </w:p>
    <w:p w:rsidR="00242742" w:rsidRPr="007573A0" w:rsidRDefault="00242742">
      <w:pPr>
        <w:jc w:val="both"/>
      </w:pPr>
    </w:p>
    <w:p w:rsidR="00ED7298" w:rsidRPr="007573A0" w:rsidRDefault="005E26EA">
      <w:pPr>
        <w:jc w:val="both"/>
      </w:pPr>
      <w:r w:rsidRPr="007573A0">
        <w:t xml:space="preserve">V prostorskem aktu je predvidena etapna izgradnja gospodarske javne infrastrukture in javnega dobra, ki se za posamezno etapo izvedeta  v celoti v skladu z napredovanjem gradnje. Zaporedje in obseg posameznih etap v OPPN niso opredeljeni. Posamezne etape se bodo določile v skladu z investicijskimi namerami in s </w:t>
      </w:r>
      <w:r w:rsidR="00E92C97" w:rsidRPr="007573A0">
        <w:t>P</w:t>
      </w:r>
      <w:r w:rsidRPr="007573A0">
        <w:t xml:space="preserve">rogramom opremljanja zemljišč za gradnjo, ki se bo izdelal po sprejetju  OPPN. V grafičnem delu OPPN – karta </w:t>
      </w:r>
      <w:r w:rsidR="00E92C97" w:rsidRPr="007573A0">
        <w:t xml:space="preserve">št. </w:t>
      </w:r>
      <w:r w:rsidRPr="007573A0">
        <w:t xml:space="preserve">6 – </w:t>
      </w:r>
      <w:r w:rsidR="00E92C97" w:rsidRPr="007573A0">
        <w:t>Situacija prometne ureditve</w:t>
      </w:r>
      <w:r w:rsidRPr="007573A0">
        <w:t>, se bodo vrisale možnosti dostopa</w:t>
      </w:r>
      <w:r w:rsidR="00C315E8" w:rsidRPr="007573A0">
        <w:t xml:space="preserve"> do zemljišč s parcelnimi št. 3506/3, 3508/2 in</w:t>
      </w:r>
      <w:r w:rsidRPr="007573A0">
        <w:t xml:space="preserve"> 3510/10,</w:t>
      </w:r>
      <w:r w:rsidR="00C315E8" w:rsidRPr="007573A0">
        <w:t xml:space="preserve"> vse</w:t>
      </w:r>
      <w:r w:rsidRPr="007573A0">
        <w:t xml:space="preserve"> </w:t>
      </w:r>
      <w:r w:rsidR="005F3EC3" w:rsidRPr="007573A0">
        <w:t>k</w:t>
      </w:r>
      <w:r w:rsidR="008F2FBA" w:rsidRPr="007573A0">
        <w:t>.</w:t>
      </w:r>
      <w:r w:rsidR="005F3EC3" w:rsidRPr="007573A0">
        <w:t>o</w:t>
      </w:r>
      <w:r w:rsidRPr="007573A0">
        <w:t xml:space="preserve">. </w:t>
      </w:r>
      <w:r w:rsidR="008F2FBA" w:rsidRPr="007573A0">
        <w:t>400-</w:t>
      </w:r>
      <w:r w:rsidRPr="007573A0">
        <w:t>Ptuj. Pripomba se v tem delu upošteva.</w:t>
      </w:r>
    </w:p>
    <w:p w:rsidR="00ED7298" w:rsidRPr="007573A0" w:rsidRDefault="00ED7298">
      <w:pPr>
        <w:jc w:val="both"/>
      </w:pPr>
    </w:p>
    <w:p w:rsidR="00ED7298" w:rsidRPr="007573A0" w:rsidRDefault="005E26EA">
      <w:pPr>
        <w:jc w:val="both"/>
      </w:pPr>
      <w:r w:rsidRPr="007573A0">
        <w:t>Povezava obstoječe makadamske</w:t>
      </w:r>
      <w:r w:rsidR="00C315E8" w:rsidRPr="007573A0">
        <w:t xml:space="preserve"> ceste na predvideno cesto - Ulico</w:t>
      </w:r>
      <w:r w:rsidRPr="007573A0">
        <w:t xml:space="preserve"> 14 divizije je predvidena predvsem zaradi zagotavljana neoviranega dostopa in preprečevanja vzvratne vožnje komunalnih vozil. Povezava je v skladu z usmeritvami iz 69. člena (gradnja in urejanje prometnega omrežja) Odloka o Občinskem prostorskem načrtu Mestne občine Ptuj (</w:t>
      </w:r>
      <w:r w:rsidRPr="007573A0">
        <w:rPr>
          <w:rFonts w:eastAsia="Lucida Sans Unicode"/>
          <w:lang w:eastAsia="en-US" w:bidi="en-US"/>
        </w:rPr>
        <w:t>Uradni vestnik Mestne občine Ptuj,</w:t>
      </w:r>
      <w:r w:rsidR="005F3EC3" w:rsidRPr="007573A0">
        <w:rPr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5F3EC3" w:rsidRPr="007573A0">
        <w:rPr>
          <w:rFonts w:eastAsia="Lucida Sans Unicode"/>
          <w:lang w:eastAsia="en-US" w:bidi="en-US"/>
        </w:rPr>
        <w:t>št. 10/15,  8/</w:t>
      </w:r>
      <w:r w:rsidR="00DC6626">
        <w:rPr>
          <w:rFonts w:eastAsia="Lucida Sans Unicode"/>
          <w:lang w:eastAsia="en-US" w:bidi="en-US"/>
        </w:rPr>
        <w:t>16, 8/16 – obvezna razlaga, 1/17, 2/17 – obvezna razlaga in 4/</w:t>
      </w:r>
      <w:r w:rsidR="005F3EC3" w:rsidRPr="007573A0">
        <w:rPr>
          <w:rFonts w:eastAsia="Lucida Sans Unicode"/>
          <w:lang w:eastAsia="en-US" w:bidi="en-US"/>
        </w:rPr>
        <w:t>17 – obvezna razlaga</w:t>
      </w:r>
      <w:r w:rsidRPr="007573A0">
        <w:t>). Pripomba se v tem delu ne upošteva.</w:t>
      </w:r>
    </w:p>
    <w:p w:rsidR="00ED7298" w:rsidRPr="007573A0" w:rsidRDefault="00ED7298">
      <w:pPr>
        <w:jc w:val="both"/>
      </w:pPr>
    </w:p>
    <w:p w:rsidR="00242742" w:rsidRPr="007573A0" w:rsidRDefault="00242742" w:rsidP="00242742">
      <w:pPr>
        <w:jc w:val="both"/>
        <w:rPr>
          <w:b/>
        </w:rPr>
      </w:pPr>
      <w:r w:rsidRPr="007573A0">
        <w:rPr>
          <w:b/>
        </w:rPr>
        <w:t>II. Pripombe prispele po pošti (na naslov Skupne občinske uprave občin v Spodnjem Podravju):</w:t>
      </w:r>
    </w:p>
    <w:p w:rsidR="00242742" w:rsidRPr="007573A0" w:rsidRDefault="00242742" w:rsidP="00242742">
      <w:pPr>
        <w:jc w:val="both"/>
      </w:pPr>
    </w:p>
    <w:p w:rsidR="00242742" w:rsidRPr="007573A0" w:rsidRDefault="00242742" w:rsidP="00242742">
      <w:pPr>
        <w:jc w:val="both"/>
      </w:pPr>
      <w:r w:rsidRPr="007573A0">
        <w:t>Pripomb poslanih po pošti ni bilo.</w:t>
      </w:r>
    </w:p>
    <w:p w:rsidR="00ED7298" w:rsidRPr="007573A0" w:rsidRDefault="00ED7298"/>
    <w:p w:rsidR="00ED7298" w:rsidRPr="007573A0" w:rsidRDefault="005E26EA">
      <w:pPr>
        <w:rPr>
          <w:iCs/>
        </w:rPr>
      </w:pPr>
      <w:r w:rsidRPr="007573A0">
        <w:rPr>
          <w:iCs/>
        </w:rPr>
        <w:t xml:space="preserve">Številka: </w:t>
      </w:r>
      <w:r w:rsidRPr="007573A0">
        <w:rPr>
          <w:bCs/>
          <w:iCs/>
        </w:rPr>
        <w:t>3505-8/2015</w:t>
      </w:r>
    </w:p>
    <w:p w:rsidR="00ED7298" w:rsidRPr="007573A0" w:rsidRDefault="005E26EA">
      <w:pPr>
        <w:rPr>
          <w:iCs/>
        </w:rPr>
      </w:pPr>
      <w:r w:rsidRPr="007573A0">
        <w:rPr>
          <w:iCs/>
        </w:rPr>
        <w:t xml:space="preserve">Datum:  </w:t>
      </w:r>
    </w:p>
    <w:p w:rsidR="00ED7298" w:rsidRPr="007573A0" w:rsidRDefault="00ED7298">
      <w:pPr>
        <w:pBdr>
          <w:bottom w:val="single" w:sz="12" w:space="1" w:color="00000A"/>
        </w:pBdr>
        <w:rPr>
          <w:iCs/>
          <w:color w:val="943634" w:themeColor="accent2" w:themeShade="BF"/>
        </w:rPr>
      </w:pPr>
    </w:p>
    <w:p w:rsidR="00ED7298" w:rsidRPr="007573A0" w:rsidRDefault="00ED7298">
      <w:pPr>
        <w:rPr>
          <w:iCs/>
          <w:color w:val="943634" w:themeColor="accent2" w:themeShade="BF"/>
        </w:rPr>
      </w:pPr>
    </w:p>
    <w:p w:rsidR="00ED7298" w:rsidRPr="007573A0" w:rsidRDefault="005E26EA">
      <w:pPr>
        <w:jc w:val="center"/>
        <w:rPr>
          <w:b/>
          <w:iCs/>
        </w:rPr>
      </w:pPr>
      <w:r w:rsidRPr="007573A0">
        <w:rPr>
          <w:b/>
          <w:iCs/>
        </w:rPr>
        <w:t>Obrazložitev:</w:t>
      </w:r>
    </w:p>
    <w:p w:rsidR="00ED7298" w:rsidRPr="007573A0" w:rsidRDefault="00ED7298">
      <w:pPr>
        <w:jc w:val="center"/>
        <w:rPr>
          <w:b/>
          <w:iCs/>
          <w:color w:val="943634" w:themeColor="accent2" w:themeShade="BF"/>
        </w:rPr>
      </w:pP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>V času od 20. 2. 2017 do 22. 3. 2017 je potekala javna razgrnitev dopolnjenega osnutka Odloka o občinskem podrobnem prostorskem načrtu za enoto urejanja prostora BT 23 Ptuj</w:t>
      </w:r>
      <w:r w:rsidR="008F2FBA" w:rsidRPr="007573A0">
        <w:rPr>
          <w:iCs/>
        </w:rPr>
        <w:t xml:space="preserve"> </w:t>
      </w:r>
      <w:r w:rsidRPr="007573A0">
        <w:rPr>
          <w:iCs/>
        </w:rPr>
        <w:t>- T</w:t>
      </w:r>
      <w:r w:rsidR="00EF02C1" w:rsidRPr="007573A0">
        <w:rPr>
          <w:iCs/>
        </w:rPr>
        <w:t>urnišče</w:t>
      </w:r>
      <w:r w:rsidRPr="007573A0">
        <w:rPr>
          <w:iCs/>
        </w:rPr>
        <w:t xml:space="preserve"> 2. V času javne razgrnitve je bila dne 1. 3. 2017 izvedena javna obravnava razgrnjenega gradiva.</w:t>
      </w:r>
    </w:p>
    <w:p w:rsidR="00ED7298" w:rsidRPr="007573A0" w:rsidRDefault="00ED7298">
      <w:pPr>
        <w:jc w:val="both"/>
        <w:rPr>
          <w:iCs/>
        </w:rPr>
      </w:pP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 xml:space="preserve">Skladno z določili 50. člena Zakona o prostorskem načrtovanju ima javnost v okviru javne razgrnitve pravico dajati pripombe in predloge, občina pa preuči pripombe in predloge javnosti in do njih zavzame stališče. </w:t>
      </w: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t>V času javne razgrnitve so bile podane pripombe in p</w:t>
      </w:r>
      <w:r w:rsidR="008F2FBA" w:rsidRPr="007573A0">
        <w:rPr>
          <w:iCs/>
        </w:rPr>
        <w:t>redlogi k dopolnjenemu osnutku o</w:t>
      </w:r>
      <w:r w:rsidRPr="007573A0">
        <w:rPr>
          <w:iCs/>
        </w:rPr>
        <w:t xml:space="preserve">dloka o občinskem podrobnem prostorskem načrtu. Na podlagi proučitve podanih pripomb in predlogov so pripravljena stališča do pripomb javnosti in posredovana v obravnavo mestnemu svetu. Povzetki posameznih pripomb oziroma predlogov in vsebina stališč k posameznim pripombam oziroma predlogom so razvidni iz gradiva mestnemu svetu. </w:t>
      </w:r>
    </w:p>
    <w:p w:rsidR="00ED7298" w:rsidRPr="007573A0" w:rsidRDefault="00ED7298">
      <w:pPr>
        <w:jc w:val="both"/>
        <w:rPr>
          <w:iCs/>
        </w:rPr>
      </w:pPr>
    </w:p>
    <w:p w:rsidR="00ED7298" w:rsidRPr="007573A0" w:rsidRDefault="005E26EA">
      <w:pPr>
        <w:jc w:val="both"/>
        <w:rPr>
          <w:iCs/>
        </w:rPr>
      </w:pPr>
      <w:r w:rsidRPr="007573A0">
        <w:rPr>
          <w:iCs/>
        </w:rPr>
        <w:lastRenderedPageBreak/>
        <w:t>Mestnemu svetu Mestne občine Ptuj predlagam, da predlagana stališča do pripomb javnosti, podanih v času javne razgrnitve dopolnjenega osnutka Odloka o občinskem podrobnem prostorskem načrtu za enoto urejanja prostora</w:t>
      </w:r>
      <w:r w:rsidRPr="007573A0">
        <w:t xml:space="preserve"> BT 23 Ptuj</w:t>
      </w:r>
      <w:r w:rsidR="008F2FBA" w:rsidRPr="007573A0">
        <w:t xml:space="preserve"> </w:t>
      </w:r>
      <w:r w:rsidRPr="007573A0">
        <w:t>- T</w:t>
      </w:r>
      <w:r w:rsidR="00EF02C1" w:rsidRPr="007573A0">
        <w:t>urnišče</w:t>
      </w:r>
      <w:r w:rsidRPr="007573A0">
        <w:t xml:space="preserve"> 2 </w:t>
      </w:r>
      <w:r w:rsidRPr="007573A0">
        <w:rPr>
          <w:iCs/>
        </w:rPr>
        <w:t xml:space="preserve">po obravnavi sprejme. </w:t>
      </w:r>
    </w:p>
    <w:p w:rsidR="00ED7298" w:rsidRPr="007573A0" w:rsidRDefault="00ED7298">
      <w:pPr>
        <w:jc w:val="both"/>
      </w:pPr>
    </w:p>
    <w:p w:rsidR="00ED7298" w:rsidRPr="007573A0" w:rsidRDefault="005E26EA">
      <w:pPr>
        <w:jc w:val="both"/>
      </w:pPr>
      <w:r w:rsidRPr="007573A0">
        <w:t>Pripravila:</w:t>
      </w:r>
    </w:p>
    <w:p w:rsidR="00ED7298" w:rsidRPr="007573A0" w:rsidRDefault="005E26EA">
      <w:pPr>
        <w:jc w:val="both"/>
      </w:pPr>
      <w:r w:rsidRPr="007573A0">
        <w:t>Snežana Sešel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7298">
        <w:tc>
          <w:tcPr>
            <w:tcW w:w="3070" w:type="dxa"/>
            <w:shd w:val="clear" w:color="auto" w:fill="auto"/>
          </w:tcPr>
          <w:p w:rsidR="00ED7298" w:rsidRPr="007573A0" w:rsidRDefault="00ED7298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7573A0" w:rsidRDefault="00ED7298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7573A0" w:rsidRDefault="005E26EA">
            <w:pPr>
              <w:tabs>
                <w:tab w:val="center" w:pos="6480"/>
              </w:tabs>
              <w:jc w:val="center"/>
              <w:outlineLvl w:val="0"/>
            </w:pPr>
            <w:r w:rsidRPr="007573A0">
              <w:t>Miran SENČAR,</w:t>
            </w:r>
          </w:p>
          <w:p w:rsidR="00ED7298" w:rsidRDefault="005E26EA">
            <w:pPr>
              <w:tabs>
                <w:tab w:val="center" w:pos="6480"/>
              </w:tabs>
              <w:jc w:val="center"/>
              <w:outlineLvl w:val="0"/>
            </w:pPr>
            <w:r w:rsidRPr="007573A0">
              <w:t>župan Mestne občine Ptuj</w:t>
            </w:r>
          </w:p>
        </w:tc>
      </w:tr>
    </w:tbl>
    <w:p w:rsidR="00ED7298" w:rsidRDefault="00ED7298">
      <w:pPr>
        <w:jc w:val="both"/>
        <w:rPr>
          <w:iCs/>
        </w:rPr>
      </w:pPr>
    </w:p>
    <w:p w:rsidR="00ED7298" w:rsidRDefault="00ED7298">
      <w:pPr>
        <w:jc w:val="both"/>
      </w:pPr>
    </w:p>
    <w:sectPr w:rsidR="00ED729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D7" w:rsidRDefault="003438D7">
      <w:r>
        <w:separator/>
      </w:r>
    </w:p>
  </w:endnote>
  <w:endnote w:type="continuationSeparator" w:id="0">
    <w:p w:rsidR="003438D7" w:rsidRDefault="0034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98" w:rsidRDefault="00ED7298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98" w:rsidRDefault="00ED7298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D7" w:rsidRDefault="003438D7">
      <w:r>
        <w:separator/>
      </w:r>
    </w:p>
  </w:footnote>
  <w:footnote w:type="continuationSeparator" w:id="0">
    <w:p w:rsidR="003438D7" w:rsidRDefault="0034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98" w:rsidRDefault="00ED729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1E0" w:firstRow="1" w:lastRow="1" w:firstColumn="1" w:lastColumn="1" w:noHBand="0" w:noVBand="0"/>
    </w:tblPr>
    <w:tblGrid>
      <w:gridCol w:w="3171"/>
      <w:gridCol w:w="6233"/>
    </w:tblGrid>
    <w:tr w:rsidR="00ED7298">
      <w:tc>
        <w:tcPr>
          <w:tcW w:w="3171" w:type="dxa"/>
          <w:shd w:val="clear" w:color="auto" w:fill="auto"/>
        </w:tcPr>
        <w:p w:rsidR="00ED7298" w:rsidRDefault="005E26EA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3550" cy="5842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7298" w:rsidRDefault="00ED7298">
          <w:pPr>
            <w:pBdr>
              <w:bottom w:val="single" w:sz="12" w:space="1" w:color="999999"/>
            </w:pBdr>
          </w:pPr>
        </w:p>
        <w:p w:rsidR="00ED7298" w:rsidRDefault="005E26EA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ED7298" w:rsidRDefault="005E26EA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ED7298" w:rsidRDefault="00ED7298">
          <w:pPr>
            <w:pBdr>
              <w:bottom w:val="single" w:sz="12" w:space="1" w:color="999999"/>
            </w:pBdr>
            <w:rPr>
              <w:sz w:val="22"/>
            </w:rPr>
          </w:pPr>
        </w:p>
        <w:p w:rsidR="00ED7298" w:rsidRDefault="00ED7298">
          <w:pPr>
            <w:jc w:val="center"/>
            <w:rPr>
              <w:sz w:val="22"/>
            </w:rPr>
          </w:pPr>
        </w:p>
      </w:tc>
      <w:tc>
        <w:tcPr>
          <w:tcW w:w="6232" w:type="dxa"/>
          <w:shd w:val="clear" w:color="auto" w:fill="auto"/>
        </w:tcPr>
        <w:p w:rsidR="00ED7298" w:rsidRDefault="00ED7298">
          <w:pPr>
            <w:pStyle w:val="Glava"/>
          </w:pPr>
        </w:p>
      </w:tc>
    </w:tr>
  </w:tbl>
  <w:p w:rsidR="00ED7298" w:rsidRDefault="00ED729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E89"/>
    <w:multiLevelType w:val="multilevel"/>
    <w:tmpl w:val="A3600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2D6DAE"/>
    <w:multiLevelType w:val="hybridMultilevel"/>
    <w:tmpl w:val="A76A1D6A"/>
    <w:lvl w:ilvl="0" w:tplc="229E602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716"/>
    <w:multiLevelType w:val="hybridMultilevel"/>
    <w:tmpl w:val="873C6E3C"/>
    <w:lvl w:ilvl="0" w:tplc="26BA3278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71C42"/>
    <w:multiLevelType w:val="multilevel"/>
    <w:tmpl w:val="9B44EE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8"/>
    <w:rsid w:val="001D0A79"/>
    <w:rsid w:val="00242742"/>
    <w:rsid w:val="003438D7"/>
    <w:rsid w:val="003C398E"/>
    <w:rsid w:val="003F4EA0"/>
    <w:rsid w:val="00491EBB"/>
    <w:rsid w:val="005E26EA"/>
    <w:rsid w:val="005F3EC3"/>
    <w:rsid w:val="00600386"/>
    <w:rsid w:val="007573A0"/>
    <w:rsid w:val="008B7DC3"/>
    <w:rsid w:val="008C7673"/>
    <w:rsid w:val="008F2FBA"/>
    <w:rsid w:val="00A970F2"/>
    <w:rsid w:val="00B80A87"/>
    <w:rsid w:val="00C315E8"/>
    <w:rsid w:val="00D54EC9"/>
    <w:rsid w:val="00DC6626"/>
    <w:rsid w:val="00E07794"/>
    <w:rsid w:val="00E92C97"/>
    <w:rsid w:val="00ED7298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color w:val="00000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rsid w:val="006D3DCC"/>
    <w:rPr>
      <w:color w:val="0000FF"/>
      <w:u w:val="single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6C741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 Unicode M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 Unicode MS"/>
    </w:rPr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qFormat/>
    <w:rsid w:val="004824E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qFormat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color w:val="00000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rsid w:val="006D3DCC"/>
    <w:rPr>
      <w:color w:val="0000FF"/>
      <w:u w:val="single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6C741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 Unicode M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 Unicode MS"/>
    </w:rPr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qFormat/>
    <w:rsid w:val="004824E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qFormat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E53A-1257-4B6A-8BA3-7C9C7856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Cafuta</dc:creator>
  <cp:lastModifiedBy>Urška Fajt</cp:lastModifiedBy>
  <cp:revision>28</cp:revision>
  <cp:lastPrinted>2017-04-06T13:04:00Z</cp:lastPrinted>
  <dcterms:created xsi:type="dcterms:W3CDTF">2017-03-24T12:05:00Z</dcterms:created>
  <dcterms:modified xsi:type="dcterms:W3CDTF">2017-04-06T13:04:00Z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