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A7" w:rsidRDefault="00C636A7" w:rsidP="00C636A7">
      <w:pPr>
        <w:pStyle w:val="Naslov1"/>
        <w:jc w:val="center"/>
        <w:rPr>
          <w:sz w:val="72"/>
          <w:szCs w:val="72"/>
        </w:rPr>
      </w:pPr>
      <w:bookmarkStart w:id="0" w:name="_GoBack"/>
      <w:bookmarkEnd w:id="0"/>
    </w:p>
    <w:p w:rsidR="00C636A7" w:rsidRDefault="00C636A7" w:rsidP="00C636A7">
      <w:pPr>
        <w:pStyle w:val="Naslov1"/>
        <w:jc w:val="center"/>
        <w:rPr>
          <w:sz w:val="72"/>
          <w:szCs w:val="72"/>
        </w:rPr>
      </w:pPr>
    </w:p>
    <w:p w:rsidR="005072A2" w:rsidRPr="00C636A7" w:rsidRDefault="003D4CF2" w:rsidP="00C636A7">
      <w:pPr>
        <w:pStyle w:val="Naslov1"/>
        <w:jc w:val="center"/>
        <w:rPr>
          <w:sz w:val="72"/>
          <w:szCs w:val="72"/>
        </w:rPr>
      </w:pPr>
      <w:r>
        <w:rPr>
          <w:sz w:val="72"/>
          <w:szCs w:val="72"/>
        </w:rPr>
        <w:t xml:space="preserve">OBRAZLOŽITEV </w:t>
      </w:r>
      <w:r w:rsidR="00C636A7" w:rsidRPr="00C636A7">
        <w:rPr>
          <w:sz w:val="72"/>
          <w:szCs w:val="72"/>
        </w:rPr>
        <w:t>ELABORAT</w:t>
      </w:r>
      <w:r>
        <w:rPr>
          <w:sz w:val="72"/>
          <w:szCs w:val="72"/>
        </w:rPr>
        <w:t>OV</w:t>
      </w:r>
    </w:p>
    <w:p w:rsidR="00B12677" w:rsidRDefault="003A7393" w:rsidP="0018088E">
      <w:pPr>
        <w:pStyle w:val="Naslov1"/>
        <w:jc w:val="center"/>
      </w:pPr>
      <w:r>
        <w:t xml:space="preserve">o oblikovanju cen </w:t>
      </w:r>
      <w:r w:rsidR="004C4A2C">
        <w:t>storit</w:t>
      </w:r>
      <w:r w:rsidR="003D4CF2">
        <w:t>e</w:t>
      </w:r>
      <w:r>
        <w:t>v</w:t>
      </w:r>
      <w:r w:rsidR="003D4CF2">
        <w:t xml:space="preserve"> odvajanja in</w:t>
      </w:r>
      <w:r w:rsidR="004C4A2C">
        <w:t xml:space="preserve"> </w:t>
      </w:r>
      <w:r w:rsidR="00B12677">
        <w:t xml:space="preserve">čiščenja komunalne odpadne vode in padavinske vode z javnih površin </w:t>
      </w:r>
    </w:p>
    <w:p w:rsidR="0018088E" w:rsidRDefault="00B454C4" w:rsidP="0018088E">
      <w:pPr>
        <w:pStyle w:val="Naslov1"/>
        <w:jc w:val="center"/>
      </w:pPr>
      <w:r>
        <w:t xml:space="preserve">v občini </w:t>
      </w:r>
      <w:r w:rsidR="007D6515">
        <w:t>Šenčur</w:t>
      </w:r>
    </w:p>
    <w:p w:rsidR="00B87750" w:rsidRPr="00B87750" w:rsidRDefault="00B87750" w:rsidP="00B87750"/>
    <w:p w:rsidR="00533B6A" w:rsidRPr="00533B6A" w:rsidRDefault="00533B6A" w:rsidP="00533B6A"/>
    <w:p w:rsidR="00C636A7" w:rsidRDefault="00C636A7" w:rsidP="00C636A7">
      <w:pPr>
        <w:pStyle w:val="Naslov1"/>
        <w:jc w:val="center"/>
      </w:pPr>
    </w:p>
    <w:p w:rsidR="00C636A7" w:rsidRDefault="00C636A7" w:rsidP="00C636A7">
      <w:pPr>
        <w:pStyle w:val="Naslov1"/>
      </w:pPr>
    </w:p>
    <w:p w:rsidR="00C636A7" w:rsidRDefault="00C636A7" w:rsidP="00C636A7"/>
    <w:p w:rsidR="00C636A7" w:rsidRDefault="00C636A7" w:rsidP="00C636A7"/>
    <w:p w:rsidR="00C636A7" w:rsidRDefault="00C636A7" w:rsidP="00C636A7"/>
    <w:p w:rsidR="00724A11" w:rsidRDefault="00724A11" w:rsidP="00C13ACF">
      <w:pPr>
        <w:jc w:val="center"/>
        <w:rPr>
          <w:rStyle w:val="Neenpoudarek"/>
        </w:rPr>
      </w:pPr>
    </w:p>
    <w:p w:rsidR="00C636A7" w:rsidRPr="00C13ACF" w:rsidRDefault="00FF7163" w:rsidP="00C13ACF">
      <w:pPr>
        <w:jc w:val="center"/>
        <w:rPr>
          <w:rStyle w:val="Neenpoudarek"/>
        </w:rPr>
      </w:pPr>
      <w:r>
        <w:rPr>
          <w:rStyle w:val="Neenpoudarek"/>
        </w:rPr>
        <w:t>Junij</w:t>
      </w:r>
      <w:r w:rsidR="00D5063D">
        <w:rPr>
          <w:rStyle w:val="Neenpoudarek"/>
        </w:rPr>
        <w:t xml:space="preserve"> 2016</w:t>
      </w:r>
    </w:p>
    <w:p w:rsidR="00C636A7" w:rsidRDefault="00C636A7" w:rsidP="00A6368F"/>
    <w:p w:rsidR="00C636A7" w:rsidRDefault="00C13ACF" w:rsidP="00A6368F">
      <w:pPr>
        <w:pStyle w:val="Brezrazmikov"/>
      </w:pPr>
      <w:r>
        <w:t>p</w:t>
      </w:r>
      <w:r w:rsidR="00A6368F">
        <w:t>ripravil</w:t>
      </w:r>
      <w:r w:rsidR="00BE219C">
        <w:t>a</w:t>
      </w:r>
      <w:r w:rsidR="00A6368F">
        <w:tab/>
      </w:r>
      <w:r w:rsidR="00A6368F">
        <w:tab/>
      </w:r>
      <w:r w:rsidR="00A6368F">
        <w:tab/>
      </w:r>
      <w:r w:rsidR="00A6368F">
        <w:tab/>
      </w:r>
      <w:r w:rsidR="00A6368F">
        <w:tab/>
      </w:r>
      <w:r w:rsidR="00A6368F">
        <w:tab/>
      </w:r>
      <w:r w:rsidR="00A6368F">
        <w:tab/>
      </w:r>
      <w:r w:rsidR="00A6368F">
        <w:tab/>
      </w:r>
      <w:r w:rsidR="00A6368F">
        <w:tab/>
        <w:t>direktor</w:t>
      </w:r>
    </w:p>
    <w:p w:rsidR="00A6368F" w:rsidRDefault="00A6368F" w:rsidP="00A6368F">
      <w:pPr>
        <w:pStyle w:val="Brezrazmikov"/>
      </w:pPr>
      <w:r>
        <w:t>Marija Pivk Oman</w:t>
      </w:r>
      <w:r>
        <w:tab/>
      </w:r>
      <w:r>
        <w:tab/>
      </w:r>
      <w:r>
        <w:tab/>
      </w:r>
      <w:r>
        <w:tab/>
      </w:r>
      <w:r>
        <w:tab/>
      </w:r>
      <w:r>
        <w:tab/>
      </w:r>
      <w:r>
        <w:tab/>
      </w:r>
      <w:r>
        <w:tab/>
      </w:r>
      <w:r w:rsidR="00D5063D">
        <w:t>Marko Kocjančič</w:t>
      </w:r>
    </w:p>
    <w:p w:rsidR="00EB786A" w:rsidRDefault="00EB786A"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816662" w:rsidRDefault="00816662" w:rsidP="00C636A7">
      <w:pPr>
        <w:jc w:val="center"/>
      </w:pPr>
    </w:p>
    <w:p w:rsidR="00C912CB" w:rsidRDefault="00C912CB" w:rsidP="00C636A7">
      <w:pPr>
        <w:jc w:val="center"/>
      </w:pPr>
    </w:p>
    <w:p w:rsidR="00BE219C" w:rsidRDefault="00BE219C" w:rsidP="00C636A7">
      <w:pPr>
        <w:jc w:val="center"/>
      </w:pPr>
    </w:p>
    <w:p w:rsidR="00816662" w:rsidRDefault="00816662" w:rsidP="00C636A7">
      <w:pPr>
        <w:jc w:val="center"/>
      </w:pPr>
    </w:p>
    <w:p w:rsidR="00FF3240" w:rsidRDefault="00FF3240" w:rsidP="00F65DD4">
      <w:pPr>
        <w:pStyle w:val="Odstavekseznama"/>
        <w:numPr>
          <w:ilvl w:val="0"/>
          <w:numId w:val="6"/>
        </w:numPr>
        <w:rPr>
          <w:rStyle w:val="Intenzivenpoudarek"/>
        </w:rPr>
      </w:pPr>
      <w:r>
        <w:rPr>
          <w:rStyle w:val="Intenzivenpoudarek"/>
        </w:rPr>
        <w:lastRenderedPageBreak/>
        <w:t>SPREMEMBE PRI DEJAVNOSTIH ODVAJANJA IN ČIŠČENJA V ZADNJEM OBDOBJU</w:t>
      </w:r>
    </w:p>
    <w:p w:rsidR="003036C9" w:rsidRDefault="003036C9" w:rsidP="00EA3B6D">
      <w:pPr>
        <w:jc w:val="both"/>
      </w:pPr>
      <w:r>
        <w:t>Novo zgrajena infrastruktura na področju dejavnosti odvajanja in čiščenja odpadnih voda pomembno vpliva tudi na stroške najemnine in izvajanje ter organizacijo dejavnosti.</w:t>
      </w:r>
    </w:p>
    <w:p w:rsidR="00D468B3" w:rsidRDefault="00D468B3" w:rsidP="00EA3B6D">
      <w:pPr>
        <w:jc w:val="both"/>
      </w:pPr>
      <w:r w:rsidRPr="00D468B3">
        <w:t xml:space="preserve">Področje občin Kranj, Šenčur in Naklo predstavlja zaokroženo območje, katerega kanalizacijsko omrežje v celoti gravitira na centralno čistilno napravo Kranj. </w:t>
      </w:r>
    </w:p>
    <w:p w:rsidR="00D468B3" w:rsidRPr="00AF5E29" w:rsidRDefault="00367E77" w:rsidP="0035044D">
      <w:pPr>
        <w:jc w:val="both"/>
        <w:rPr>
          <w:rFonts w:cs="Arial"/>
        </w:rPr>
      </w:pPr>
      <w:r>
        <w:t xml:space="preserve">Nova Centralna čistilna naprava Kranj, katere investitor je </w:t>
      </w:r>
      <w:r w:rsidR="00D468B3" w:rsidRPr="00D468B3">
        <w:t>Mestna občina Kranj</w:t>
      </w:r>
      <w:r>
        <w:t xml:space="preserve"> ima </w:t>
      </w:r>
      <w:r w:rsidR="0035044D">
        <w:t xml:space="preserve">kapaciteto 95.000 populacijskih ekvivalentov. </w:t>
      </w:r>
      <w:r w:rsidR="00D468B3">
        <w:rPr>
          <w:rFonts w:cs="Arial"/>
        </w:rPr>
        <w:t>Izbrana je bila tehnologija</w:t>
      </w:r>
      <w:r w:rsidR="00D468B3" w:rsidRPr="00AF5E29">
        <w:rPr>
          <w:rFonts w:cs="Arial"/>
        </w:rPr>
        <w:t xml:space="preserve"> čiščenja odpadnih voda z aktivnim blatom </w:t>
      </w:r>
      <w:r w:rsidR="00D468B3">
        <w:rPr>
          <w:rFonts w:cs="Arial"/>
        </w:rPr>
        <w:t xml:space="preserve">s kaskadami, </w:t>
      </w:r>
      <w:r w:rsidR="001426B2">
        <w:rPr>
          <w:rFonts w:cs="Arial"/>
        </w:rPr>
        <w:t>in sicer</w:t>
      </w:r>
      <w:r w:rsidR="00D468B3">
        <w:rPr>
          <w:rFonts w:cs="Arial"/>
        </w:rPr>
        <w:t xml:space="preserve"> z</w:t>
      </w:r>
      <w:r w:rsidR="00D468B3" w:rsidRPr="00AF5E29">
        <w:rPr>
          <w:rFonts w:cs="Arial"/>
        </w:rPr>
        <w:t>aradi ekonomičnosti,</w:t>
      </w:r>
      <w:r>
        <w:rPr>
          <w:rFonts w:cs="Arial"/>
        </w:rPr>
        <w:t xml:space="preserve"> </w:t>
      </w:r>
      <w:r w:rsidR="00D468B3" w:rsidRPr="00AF5E29">
        <w:rPr>
          <w:rFonts w:cs="Arial"/>
        </w:rPr>
        <w:t xml:space="preserve">manjšega potrebnega prostora </w:t>
      </w:r>
      <w:r w:rsidR="001426B2">
        <w:rPr>
          <w:rFonts w:cs="Arial"/>
        </w:rPr>
        <w:t>z veliko sposobnostjo prilagajanja parametrov biološkega čiščenja trenutnim razmeram dotoka odpadne vode</w:t>
      </w:r>
      <w:r w:rsidR="0035044D">
        <w:rPr>
          <w:rFonts w:cs="Arial"/>
        </w:rPr>
        <w:t>.</w:t>
      </w:r>
    </w:p>
    <w:p w:rsidR="001426B2" w:rsidRDefault="00D468B3" w:rsidP="00EA3B6D">
      <w:pPr>
        <w:tabs>
          <w:tab w:val="left" w:pos="993"/>
        </w:tabs>
        <w:jc w:val="both"/>
        <w:rPr>
          <w:rFonts w:cs="Arial"/>
        </w:rPr>
      </w:pPr>
      <w:r w:rsidRPr="00AF5E29">
        <w:rPr>
          <w:rFonts w:cs="Arial"/>
        </w:rPr>
        <w:t xml:space="preserve">Tehnološki postopek čiščenja odpadne vode, ki doteka v čistilno napravo je razdeljen na tri glavne linije. To so linija vode, linija blata in linija plina. V okviru tehnološkega procesa </w:t>
      </w:r>
      <w:r w:rsidRPr="00AF5E29">
        <w:rPr>
          <w:rFonts w:cs="Arial"/>
          <w:b/>
        </w:rPr>
        <w:t>linije vode</w:t>
      </w:r>
      <w:r w:rsidRPr="00AF5E29">
        <w:rPr>
          <w:rFonts w:cs="Arial"/>
        </w:rPr>
        <w:t xml:space="preserve"> se odpadna voda  preko </w:t>
      </w:r>
      <w:r>
        <w:rPr>
          <w:rFonts w:cs="Arial"/>
        </w:rPr>
        <w:t xml:space="preserve">mehanskega čiščenja in </w:t>
      </w:r>
      <w:r w:rsidRPr="00AF5E29">
        <w:rPr>
          <w:rFonts w:cs="Arial"/>
        </w:rPr>
        <w:t xml:space="preserve">kaskadne </w:t>
      </w:r>
      <w:r w:rsidR="001426B2">
        <w:rPr>
          <w:rFonts w:cs="Arial"/>
        </w:rPr>
        <w:t>tehnologije</w:t>
      </w:r>
      <w:r w:rsidRPr="00AF5E29">
        <w:rPr>
          <w:rFonts w:cs="Arial"/>
        </w:rPr>
        <w:t xml:space="preserve"> prečisti do te mere, da očiščena voda na iztoku v reko Savo ustreza </w:t>
      </w:r>
      <w:r w:rsidR="001426B2">
        <w:rPr>
          <w:rFonts w:cs="Arial"/>
        </w:rPr>
        <w:t xml:space="preserve">predpisanim </w:t>
      </w:r>
      <w:r w:rsidRPr="00AF5E29">
        <w:rPr>
          <w:rFonts w:cs="Arial"/>
        </w:rPr>
        <w:t xml:space="preserve">parametrom. </w:t>
      </w:r>
    </w:p>
    <w:p w:rsidR="00D468B3" w:rsidRDefault="00D468B3" w:rsidP="00EA3B6D">
      <w:pPr>
        <w:tabs>
          <w:tab w:val="left" w:pos="993"/>
        </w:tabs>
        <w:jc w:val="both"/>
        <w:rPr>
          <w:rFonts w:cs="Arial"/>
        </w:rPr>
      </w:pPr>
      <w:r>
        <w:rPr>
          <w:rFonts w:cs="Arial"/>
        </w:rPr>
        <w:t xml:space="preserve">Za primer ekstremnih </w:t>
      </w:r>
      <w:r w:rsidRPr="00FF2B8F">
        <w:rPr>
          <w:rFonts w:cs="Arial"/>
          <w:color w:val="000000" w:themeColor="text1"/>
        </w:rPr>
        <w:t xml:space="preserve">padavin ali </w:t>
      </w:r>
      <w:r w:rsidR="00441523" w:rsidRPr="00FF2B8F">
        <w:rPr>
          <w:rFonts w:cs="Arial"/>
          <w:color w:val="000000" w:themeColor="text1"/>
        </w:rPr>
        <w:t>neurij</w:t>
      </w:r>
      <w:r w:rsidRPr="00FF2B8F">
        <w:rPr>
          <w:rFonts w:cs="Arial"/>
          <w:color w:val="000000" w:themeColor="text1"/>
        </w:rPr>
        <w:t xml:space="preserve"> je zgrajen tudi zadrževalni bazen, ki v takšnih primerih zadrži </w:t>
      </w:r>
      <w:r w:rsidR="001426B2" w:rsidRPr="00FF2B8F">
        <w:rPr>
          <w:rFonts w:cs="Arial"/>
          <w:color w:val="000000" w:themeColor="text1"/>
        </w:rPr>
        <w:t xml:space="preserve">prvi val najbolj onesnažene </w:t>
      </w:r>
      <w:r w:rsidR="00441523" w:rsidRPr="00FF2B8F">
        <w:rPr>
          <w:rFonts w:cs="Arial"/>
          <w:color w:val="000000" w:themeColor="text1"/>
        </w:rPr>
        <w:t>padavinske</w:t>
      </w:r>
      <w:r w:rsidR="001426B2" w:rsidRPr="00FF2B8F">
        <w:rPr>
          <w:rFonts w:cs="Arial"/>
          <w:color w:val="000000" w:themeColor="text1"/>
        </w:rPr>
        <w:t xml:space="preserve"> vode</w:t>
      </w:r>
      <w:r w:rsidRPr="00FF2B8F">
        <w:rPr>
          <w:rFonts w:cs="Arial"/>
          <w:color w:val="000000" w:themeColor="text1"/>
        </w:rPr>
        <w:t xml:space="preserve">, </w:t>
      </w:r>
      <w:r w:rsidR="001426B2" w:rsidRPr="00FF2B8F">
        <w:rPr>
          <w:rFonts w:cs="Arial"/>
          <w:color w:val="000000" w:themeColor="text1"/>
        </w:rPr>
        <w:t>ki</w:t>
      </w:r>
      <w:r w:rsidRPr="00FF2B8F">
        <w:rPr>
          <w:rFonts w:cs="Arial"/>
          <w:color w:val="000000" w:themeColor="text1"/>
        </w:rPr>
        <w:t xml:space="preserve"> se po končanem neurju prečrpa v čistilno napravo in nato ustrezno oči</w:t>
      </w:r>
      <w:r w:rsidR="00441523" w:rsidRPr="00FF2B8F">
        <w:rPr>
          <w:rFonts w:cs="Arial"/>
          <w:color w:val="000000" w:themeColor="text1"/>
        </w:rPr>
        <w:t>s</w:t>
      </w:r>
      <w:r w:rsidRPr="00FF2B8F">
        <w:rPr>
          <w:rFonts w:cs="Arial"/>
          <w:color w:val="000000" w:themeColor="text1"/>
        </w:rPr>
        <w:t xml:space="preserve">ti. Kot stranski produkt v tehnološkem procesu linije vode nastaja tudi odpadno blato, ki za nadaljnjo obdelavo tvori </w:t>
      </w:r>
      <w:r w:rsidRPr="00FF2B8F">
        <w:rPr>
          <w:rFonts w:cs="Arial"/>
          <w:b/>
          <w:color w:val="000000" w:themeColor="text1"/>
        </w:rPr>
        <w:t>linijo blata</w:t>
      </w:r>
      <w:r w:rsidRPr="00FF2B8F">
        <w:rPr>
          <w:rFonts w:cs="Arial"/>
          <w:color w:val="000000" w:themeColor="text1"/>
        </w:rPr>
        <w:t>. Del blata služi za biološko</w:t>
      </w:r>
      <w:r w:rsidRPr="00AF5E29">
        <w:rPr>
          <w:rFonts w:cs="Arial"/>
        </w:rPr>
        <w:t xml:space="preserve"> čiščenje odpadne</w:t>
      </w:r>
      <w:r>
        <w:rPr>
          <w:rFonts w:cs="Arial"/>
        </w:rPr>
        <w:t xml:space="preserve"> vode</w:t>
      </w:r>
      <w:r w:rsidRPr="00AF5E29">
        <w:rPr>
          <w:rFonts w:cs="Arial"/>
        </w:rPr>
        <w:t xml:space="preserve">, preostanek blata pa v procesu gnitja tvori bioplin, ki se ga v okviru </w:t>
      </w:r>
      <w:r w:rsidRPr="00AF5E29">
        <w:rPr>
          <w:rFonts w:cs="Arial"/>
          <w:b/>
        </w:rPr>
        <w:t>linije plina</w:t>
      </w:r>
      <w:r w:rsidRPr="00AF5E29">
        <w:rPr>
          <w:rFonts w:cs="Arial"/>
        </w:rPr>
        <w:t xml:space="preserve"> uporabi za proizvodnjo toplotne ali električne energije.</w:t>
      </w:r>
    </w:p>
    <w:tbl>
      <w:tblPr>
        <w:tblW w:w="8841" w:type="dxa"/>
        <w:tblCellMar>
          <w:left w:w="70" w:type="dxa"/>
          <w:right w:w="70" w:type="dxa"/>
        </w:tblCellMar>
        <w:tblLook w:val="04A0" w:firstRow="1" w:lastRow="0" w:firstColumn="1" w:lastColumn="0" w:noHBand="0" w:noVBand="1"/>
      </w:tblPr>
      <w:tblGrid>
        <w:gridCol w:w="4951"/>
        <w:gridCol w:w="1060"/>
        <w:gridCol w:w="785"/>
        <w:gridCol w:w="1005"/>
        <w:gridCol w:w="1040"/>
      </w:tblGrid>
      <w:tr w:rsidR="00B02A67" w:rsidRPr="00B02A67" w:rsidTr="00B02A67">
        <w:trPr>
          <w:trHeight w:val="375"/>
        </w:trPr>
        <w:tc>
          <w:tcPr>
            <w:tcW w:w="7801" w:type="dxa"/>
            <w:gridSpan w:val="4"/>
            <w:tcBorders>
              <w:top w:val="nil"/>
              <w:left w:val="nil"/>
              <w:bottom w:val="nil"/>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b/>
                <w:bCs/>
                <w:color w:val="000000"/>
                <w:sz w:val="28"/>
                <w:szCs w:val="28"/>
                <w:lang w:eastAsia="sl-SI"/>
              </w:rPr>
            </w:pPr>
            <w:r w:rsidRPr="00B02A67">
              <w:rPr>
                <w:rFonts w:ascii="Calibri" w:eastAsia="Times New Roman" w:hAnsi="Calibri" w:cs="Times New Roman"/>
                <w:b/>
                <w:bCs/>
                <w:color w:val="000000"/>
                <w:sz w:val="28"/>
                <w:szCs w:val="28"/>
                <w:lang w:eastAsia="sl-SI"/>
              </w:rPr>
              <w:t xml:space="preserve">PREGLED VREDNOSTI OSNOVNIH SREDSTEV NOVE CČN KRANJ </w:t>
            </w:r>
          </w:p>
        </w:tc>
        <w:tc>
          <w:tcPr>
            <w:tcW w:w="1040" w:type="dxa"/>
            <w:tcBorders>
              <w:top w:val="nil"/>
              <w:left w:val="nil"/>
              <w:bottom w:val="nil"/>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color w:val="000000"/>
                <w:lang w:eastAsia="sl-SI"/>
              </w:rPr>
            </w:pPr>
            <w:r w:rsidRPr="00B02A67">
              <w:rPr>
                <w:rFonts w:ascii="Calibri" w:eastAsia="Times New Roman" w:hAnsi="Calibri" w:cs="Times New Roman"/>
                <w:color w:val="000000"/>
                <w:lang w:eastAsia="sl-SI"/>
              </w:rPr>
              <w:t> </w:t>
            </w:r>
          </w:p>
        </w:tc>
      </w:tr>
      <w:tr w:rsidR="00B02A67" w:rsidRPr="00B02A67" w:rsidTr="00B02A67">
        <w:trPr>
          <w:trHeight w:val="495"/>
        </w:trPr>
        <w:tc>
          <w:tcPr>
            <w:tcW w:w="495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02A67" w:rsidRPr="00B02A67" w:rsidRDefault="00B02A67" w:rsidP="00B02A67">
            <w:pPr>
              <w:spacing w:after="0" w:line="240" w:lineRule="auto"/>
              <w:jc w:val="center"/>
              <w:rPr>
                <w:rFonts w:ascii="Calibri" w:eastAsia="Times New Roman" w:hAnsi="Calibri" w:cs="Times New Roman"/>
                <w:b/>
                <w:bCs/>
                <w:color w:val="000000"/>
                <w:sz w:val="18"/>
                <w:szCs w:val="18"/>
                <w:lang w:eastAsia="sl-SI"/>
              </w:rPr>
            </w:pPr>
            <w:r w:rsidRPr="00B02A67">
              <w:rPr>
                <w:rFonts w:ascii="Calibri" w:eastAsia="Times New Roman" w:hAnsi="Calibri" w:cs="Times New Roman"/>
                <w:b/>
                <w:bCs/>
                <w:color w:val="000000"/>
                <w:sz w:val="18"/>
                <w:szCs w:val="18"/>
                <w:lang w:eastAsia="sl-SI"/>
              </w:rPr>
              <w:t>naziv amortizacijske skupine</w:t>
            </w:r>
          </w:p>
        </w:tc>
        <w:tc>
          <w:tcPr>
            <w:tcW w:w="1060" w:type="dxa"/>
            <w:tcBorders>
              <w:top w:val="single" w:sz="4" w:space="0" w:color="auto"/>
              <w:left w:val="nil"/>
              <w:bottom w:val="single" w:sz="4" w:space="0" w:color="auto"/>
              <w:right w:val="nil"/>
            </w:tcBorders>
            <w:shd w:val="clear" w:color="000000" w:fill="F2F2F2"/>
            <w:noWrap/>
            <w:vAlign w:val="bottom"/>
            <w:hideMark/>
          </w:tcPr>
          <w:p w:rsidR="00B02A67" w:rsidRPr="00B02A67" w:rsidRDefault="00B02A67" w:rsidP="00B02A67">
            <w:pPr>
              <w:spacing w:after="0" w:line="240" w:lineRule="auto"/>
              <w:jc w:val="center"/>
              <w:rPr>
                <w:rFonts w:ascii="Calibri" w:eastAsia="Times New Roman" w:hAnsi="Calibri" w:cs="Times New Roman"/>
                <w:b/>
                <w:bCs/>
                <w:color w:val="000000"/>
                <w:sz w:val="18"/>
                <w:szCs w:val="18"/>
                <w:lang w:eastAsia="sl-SI"/>
              </w:rPr>
            </w:pPr>
            <w:r w:rsidRPr="00B02A67">
              <w:rPr>
                <w:rFonts w:ascii="Calibri" w:eastAsia="Times New Roman" w:hAnsi="Calibri" w:cs="Times New Roman"/>
                <w:b/>
                <w:bCs/>
                <w:color w:val="000000"/>
                <w:sz w:val="18"/>
                <w:szCs w:val="18"/>
                <w:lang w:eastAsia="sl-SI"/>
              </w:rPr>
              <w:t>odpis v letih</w:t>
            </w:r>
          </w:p>
        </w:tc>
        <w:tc>
          <w:tcPr>
            <w:tcW w:w="785" w:type="dxa"/>
            <w:tcBorders>
              <w:top w:val="single" w:sz="4" w:space="0" w:color="auto"/>
              <w:left w:val="single" w:sz="4" w:space="0" w:color="auto"/>
              <w:bottom w:val="single" w:sz="4" w:space="0" w:color="auto"/>
              <w:right w:val="nil"/>
            </w:tcBorders>
            <w:shd w:val="clear" w:color="000000" w:fill="F2F2F2"/>
            <w:noWrap/>
            <w:vAlign w:val="bottom"/>
            <w:hideMark/>
          </w:tcPr>
          <w:p w:rsidR="00B02A67" w:rsidRPr="00B02A67" w:rsidRDefault="00B02A67" w:rsidP="00B02A67">
            <w:pPr>
              <w:spacing w:after="0" w:line="240" w:lineRule="auto"/>
              <w:jc w:val="center"/>
              <w:rPr>
                <w:rFonts w:ascii="Calibri" w:eastAsia="Times New Roman" w:hAnsi="Calibri" w:cs="Times New Roman"/>
                <w:b/>
                <w:bCs/>
                <w:color w:val="000000"/>
                <w:sz w:val="18"/>
                <w:szCs w:val="18"/>
                <w:lang w:eastAsia="sl-SI"/>
              </w:rPr>
            </w:pPr>
            <w:r w:rsidRPr="00B02A67">
              <w:rPr>
                <w:rFonts w:ascii="Calibri" w:eastAsia="Times New Roman" w:hAnsi="Calibri" w:cs="Times New Roman"/>
                <w:b/>
                <w:bCs/>
                <w:color w:val="000000"/>
                <w:sz w:val="18"/>
                <w:szCs w:val="18"/>
                <w:lang w:eastAsia="sl-SI"/>
              </w:rPr>
              <w:t>% odpisa</w:t>
            </w:r>
          </w:p>
        </w:tc>
        <w:tc>
          <w:tcPr>
            <w:tcW w:w="100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B02A67" w:rsidRPr="00B02A67" w:rsidRDefault="00B02A67" w:rsidP="00B02A67">
            <w:pPr>
              <w:spacing w:after="0" w:line="240" w:lineRule="auto"/>
              <w:jc w:val="center"/>
              <w:rPr>
                <w:rFonts w:ascii="Calibri" w:eastAsia="Times New Roman" w:hAnsi="Calibri" w:cs="Times New Roman"/>
                <w:b/>
                <w:bCs/>
                <w:color w:val="000000"/>
                <w:sz w:val="18"/>
                <w:szCs w:val="18"/>
                <w:lang w:eastAsia="sl-SI"/>
              </w:rPr>
            </w:pPr>
            <w:r w:rsidRPr="00B02A67">
              <w:rPr>
                <w:rFonts w:ascii="Calibri" w:eastAsia="Times New Roman" w:hAnsi="Calibri" w:cs="Times New Roman"/>
                <w:b/>
                <w:bCs/>
                <w:color w:val="000000"/>
                <w:sz w:val="18"/>
                <w:szCs w:val="18"/>
                <w:lang w:eastAsia="sl-SI"/>
              </w:rPr>
              <w:t>vrednost v EUR</w:t>
            </w:r>
          </w:p>
        </w:tc>
        <w:tc>
          <w:tcPr>
            <w:tcW w:w="1040" w:type="dxa"/>
            <w:tcBorders>
              <w:top w:val="single" w:sz="4" w:space="0" w:color="auto"/>
              <w:left w:val="nil"/>
              <w:bottom w:val="single" w:sz="4" w:space="0" w:color="auto"/>
              <w:right w:val="single" w:sz="4" w:space="0" w:color="auto"/>
            </w:tcBorders>
            <w:shd w:val="clear" w:color="000000" w:fill="F2F2F2"/>
            <w:vAlign w:val="bottom"/>
            <w:hideMark/>
          </w:tcPr>
          <w:p w:rsidR="00B02A67" w:rsidRPr="00B02A67" w:rsidRDefault="00B02A67" w:rsidP="00B02A67">
            <w:pPr>
              <w:spacing w:after="0" w:line="240" w:lineRule="auto"/>
              <w:jc w:val="center"/>
              <w:rPr>
                <w:rFonts w:ascii="Calibri" w:eastAsia="Times New Roman" w:hAnsi="Calibri" w:cs="Times New Roman"/>
                <w:b/>
                <w:bCs/>
                <w:color w:val="000000"/>
                <w:sz w:val="18"/>
                <w:szCs w:val="18"/>
                <w:lang w:eastAsia="sl-SI"/>
              </w:rPr>
            </w:pPr>
            <w:r w:rsidRPr="00B02A67">
              <w:rPr>
                <w:rFonts w:ascii="Calibri" w:eastAsia="Times New Roman" w:hAnsi="Calibri" w:cs="Times New Roman"/>
                <w:b/>
                <w:bCs/>
                <w:color w:val="000000"/>
                <w:sz w:val="18"/>
                <w:szCs w:val="18"/>
                <w:lang w:eastAsia="sl-SI"/>
              </w:rPr>
              <w:t>letna amort. v EUR</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električna oprema</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10</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10,00%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1.891.248</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189.125</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gradbeni objekti</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40</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2,50%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14.022.902</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350.573</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merilna in regulacijska oprema</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7</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15,00%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544.480</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81.672</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oprema za čiščenje odpadne vode</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10</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10,00%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1.642.887</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164.289</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oprema za vodenje in prenos podatkov (telemetrija)</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14</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7,00%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145.225</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10.166</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računalniška, strojna in programska oprema ter tehnično varovanje</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4</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25,00%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632.146</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158.037</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strojna oprema</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10</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10,00%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4.950.675</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495.067</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upravne stavbe in skladišča</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60</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1,67%</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657.842</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10.986</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 xml:space="preserve">zunanja ureditev </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25</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4,00%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851.853</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34.074</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pisarniška oprema</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8</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12,00%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8.244</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color w:val="000000"/>
                <w:sz w:val="16"/>
                <w:szCs w:val="16"/>
                <w:lang w:eastAsia="sl-SI"/>
              </w:rPr>
            </w:pPr>
            <w:r w:rsidRPr="00B02A67">
              <w:rPr>
                <w:rFonts w:ascii="Calibri" w:eastAsia="Times New Roman" w:hAnsi="Calibri" w:cs="Times New Roman"/>
                <w:color w:val="000000"/>
                <w:sz w:val="16"/>
                <w:szCs w:val="16"/>
                <w:lang w:eastAsia="sl-SI"/>
              </w:rPr>
              <w:t>989</w:t>
            </w:r>
          </w:p>
        </w:tc>
      </w:tr>
      <w:tr w:rsidR="00B02A67" w:rsidRPr="00B02A67" w:rsidTr="00B02A67">
        <w:trPr>
          <w:trHeight w:val="300"/>
        </w:trPr>
        <w:tc>
          <w:tcPr>
            <w:tcW w:w="4951" w:type="dxa"/>
            <w:tcBorders>
              <w:top w:val="nil"/>
              <w:left w:val="single" w:sz="4" w:space="0" w:color="auto"/>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SKUPAJ</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sz w:val="16"/>
                <w:szCs w:val="16"/>
                <w:lang w:eastAsia="sl-SI"/>
              </w:rPr>
            </w:pPr>
            <w:r w:rsidRPr="00B02A67">
              <w:rPr>
                <w:rFonts w:ascii="Calibri" w:eastAsia="Times New Roman" w:hAnsi="Calibri" w:cs="Times New Roman"/>
                <w:sz w:val="16"/>
                <w:szCs w:val="16"/>
                <w:lang w:eastAsia="sl-SI"/>
              </w:rPr>
              <w:t> </w:t>
            </w:r>
          </w:p>
        </w:tc>
        <w:tc>
          <w:tcPr>
            <w:tcW w:w="785" w:type="dxa"/>
            <w:tcBorders>
              <w:top w:val="nil"/>
              <w:left w:val="nil"/>
              <w:bottom w:val="single" w:sz="4" w:space="0" w:color="auto"/>
              <w:right w:val="nil"/>
            </w:tcBorders>
            <w:shd w:val="clear" w:color="000000" w:fill="FFFFFF"/>
            <w:noWrap/>
            <w:vAlign w:val="bottom"/>
            <w:hideMark/>
          </w:tcPr>
          <w:p w:rsidR="00B02A67" w:rsidRPr="00B02A67" w:rsidRDefault="00B02A67" w:rsidP="00B02A67">
            <w:pPr>
              <w:spacing w:after="0" w:line="240" w:lineRule="auto"/>
              <w:rPr>
                <w:rFonts w:ascii="Calibri" w:eastAsia="Times New Roman" w:hAnsi="Calibri" w:cs="Times New Roman"/>
                <w:b/>
                <w:bCs/>
                <w:color w:val="000000"/>
                <w:lang w:eastAsia="sl-SI"/>
              </w:rPr>
            </w:pPr>
            <w:r w:rsidRPr="00B02A67">
              <w:rPr>
                <w:rFonts w:ascii="Calibri" w:eastAsia="Times New Roman" w:hAnsi="Calibri" w:cs="Times New Roman"/>
                <w:b/>
                <w:bCs/>
                <w:color w:val="000000"/>
                <w:lang w:eastAsia="sl-SI"/>
              </w:rPr>
              <w:t> </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b/>
                <w:bCs/>
                <w:color w:val="000000"/>
                <w:sz w:val="16"/>
                <w:szCs w:val="16"/>
                <w:lang w:eastAsia="sl-SI"/>
              </w:rPr>
            </w:pPr>
            <w:r w:rsidRPr="00B02A67">
              <w:rPr>
                <w:rFonts w:ascii="Calibri" w:eastAsia="Times New Roman" w:hAnsi="Calibri" w:cs="Times New Roman"/>
                <w:b/>
                <w:bCs/>
                <w:color w:val="000000"/>
                <w:sz w:val="16"/>
                <w:szCs w:val="16"/>
                <w:lang w:eastAsia="sl-SI"/>
              </w:rPr>
              <w:t>25.347.500</w:t>
            </w:r>
          </w:p>
        </w:tc>
        <w:tc>
          <w:tcPr>
            <w:tcW w:w="1040" w:type="dxa"/>
            <w:tcBorders>
              <w:top w:val="nil"/>
              <w:left w:val="nil"/>
              <w:bottom w:val="single" w:sz="4" w:space="0" w:color="auto"/>
              <w:right w:val="single" w:sz="4" w:space="0" w:color="auto"/>
            </w:tcBorders>
            <w:shd w:val="clear" w:color="000000" w:fill="FFFFFF"/>
            <w:noWrap/>
            <w:vAlign w:val="bottom"/>
            <w:hideMark/>
          </w:tcPr>
          <w:p w:rsidR="00B02A67" w:rsidRPr="00B02A67" w:rsidRDefault="00B02A67" w:rsidP="00B02A67">
            <w:pPr>
              <w:spacing w:after="0" w:line="240" w:lineRule="auto"/>
              <w:jc w:val="right"/>
              <w:rPr>
                <w:rFonts w:ascii="Calibri" w:eastAsia="Times New Roman" w:hAnsi="Calibri" w:cs="Times New Roman"/>
                <w:b/>
                <w:bCs/>
                <w:color w:val="000000"/>
                <w:sz w:val="16"/>
                <w:szCs w:val="16"/>
                <w:lang w:eastAsia="sl-SI"/>
              </w:rPr>
            </w:pPr>
            <w:r w:rsidRPr="00B02A67">
              <w:rPr>
                <w:rFonts w:ascii="Calibri" w:eastAsia="Times New Roman" w:hAnsi="Calibri" w:cs="Times New Roman"/>
                <w:b/>
                <w:bCs/>
                <w:color w:val="000000"/>
                <w:sz w:val="16"/>
                <w:szCs w:val="16"/>
                <w:lang w:eastAsia="sl-SI"/>
              </w:rPr>
              <w:t>1.494.977</w:t>
            </w:r>
          </w:p>
        </w:tc>
      </w:tr>
    </w:tbl>
    <w:p w:rsidR="00B217F0" w:rsidRDefault="00B217F0" w:rsidP="00EA3B6D">
      <w:pPr>
        <w:tabs>
          <w:tab w:val="left" w:pos="993"/>
        </w:tabs>
        <w:jc w:val="both"/>
        <w:rPr>
          <w:rFonts w:cs="Arial"/>
        </w:rPr>
      </w:pPr>
    </w:p>
    <w:p w:rsidR="0035044D" w:rsidRDefault="0035044D" w:rsidP="00EA3B6D">
      <w:pPr>
        <w:tabs>
          <w:tab w:val="left" w:pos="993"/>
        </w:tabs>
        <w:jc w:val="both"/>
        <w:rPr>
          <w:rFonts w:cs="Arial"/>
        </w:rPr>
      </w:pPr>
      <w:r>
        <w:rPr>
          <w:rFonts w:cs="Arial"/>
        </w:rPr>
        <w:t>Na območju občine Šenčur je bilo v zadnjih letih zgrajeno novo kanalizacijsko omrežje s petimi dodatnimi črpališči. Vrednost vseh investicij je bila 4,3 mio EUR, letni znesek amortizacije znaša 94.284 EUR.</w:t>
      </w:r>
    </w:p>
    <w:p w:rsidR="00363328" w:rsidRPr="00AF5E29" w:rsidRDefault="00F207CD" w:rsidP="00EA3B6D">
      <w:pPr>
        <w:tabs>
          <w:tab w:val="left" w:pos="993"/>
        </w:tabs>
        <w:jc w:val="both"/>
        <w:rPr>
          <w:rFonts w:cs="Arial"/>
        </w:rPr>
      </w:pPr>
      <w:r w:rsidRPr="00F207CD">
        <w:rPr>
          <w:noProof/>
          <w:lang w:eastAsia="sl-SI"/>
        </w:rPr>
        <w:lastRenderedPageBreak/>
        <w:drawing>
          <wp:inline distT="0" distB="0" distL="0" distR="0">
            <wp:extent cx="4210842" cy="924769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4705" cy="9256177"/>
                    </a:xfrm>
                    <a:prstGeom prst="rect">
                      <a:avLst/>
                    </a:prstGeom>
                    <a:noFill/>
                    <a:ln>
                      <a:noFill/>
                    </a:ln>
                  </pic:spPr>
                </pic:pic>
              </a:graphicData>
            </a:graphic>
          </wp:inline>
        </w:drawing>
      </w:r>
    </w:p>
    <w:p w:rsidR="00F65DD4" w:rsidRPr="00DB087E" w:rsidRDefault="00F65DD4" w:rsidP="00F65DD4">
      <w:pPr>
        <w:pStyle w:val="Odstavekseznama"/>
        <w:numPr>
          <w:ilvl w:val="0"/>
          <w:numId w:val="6"/>
        </w:numPr>
        <w:rPr>
          <w:rStyle w:val="Intenzivenpoudarek"/>
        </w:rPr>
      </w:pPr>
      <w:r w:rsidRPr="00DB087E">
        <w:rPr>
          <w:rStyle w:val="Intenzivenpoudarek"/>
        </w:rPr>
        <w:lastRenderedPageBreak/>
        <w:t>OBSTOJEČE CENE IN NAČIN ZARAČUNAVANJA</w:t>
      </w:r>
    </w:p>
    <w:p w:rsidR="003B1E37" w:rsidRDefault="00F65DD4" w:rsidP="00790C1F">
      <w:pPr>
        <w:jc w:val="both"/>
      </w:pPr>
      <w:r>
        <w:t xml:space="preserve">V </w:t>
      </w:r>
      <w:r w:rsidR="0035044D">
        <w:t>občini Šenčur</w:t>
      </w:r>
      <w:r w:rsidR="00060703">
        <w:t xml:space="preserve"> veljajo cene odvajanja in čiščenja od </w:t>
      </w:r>
      <w:r w:rsidR="00B31683">
        <w:t>februarja</w:t>
      </w:r>
      <w:r w:rsidR="00060703">
        <w:t xml:space="preserve"> 200</w:t>
      </w:r>
      <w:r w:rsidR="00B31683">
        <w:t>4</w:t>
      </w:r>
      <w:r w:rsidR="00060703">
        <w:t xml:space="preserve">. </w:t>
      </w:r>
      <w:r w:rsidR="00B31683">
        <w:t xml:space="preserve">Omrežnina se ločeno ne zaračunava, stroški najemnine infrastrukture so vključeni v cenah storitev. Različni sta tarifi za </w:t>
      </w:r>
      <w:r w:rsidR="00B86CB9">
        <w:t>gospodinjske uporabnike ter uporabnike, ki izvajajo dejavnost.</w:t>
      </w:r>
    </w:p>
    <w:p w:rsidR="00790C1F" w:rsidRDefault="00790C1F" w:rsidP="00F65DD4">
      <w:pPr>
        <w:jc w:val="both"/>
      </w:pPr>
      <w:r>
        <w:t>Trenutno veljaven cenik:</w:t>
      </w:r>
    </w:p>
    <w:p w:rsidR="002A60ED" w:rsidRDefault="00B86CB9" w:rsidP="00F65DD4">
      <w:pPr>
        <w:jc w:val="both"/>
      </w:pPr>
      <w:r w:rsidRPr="00B86CB9">
        <w:rPr>
          <w:noProof/>
          <w:lang w:eastAsia="sl-SI"/>
        </w:rPr>
        <w:drawing>
          <wp:inline distT="0" distB="0" distL="0" distR="0">
            <wp:extent cx="3619500" cy="10763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1076325"/>
                    </a:xfrm>
                    <a:prstGeom prst="rect">
                      <a:avLst/>
                    </a:prstGeom>
                    <a:noFill/>
                    <a:ln>
                      <a:noFill/>
                    </a:ln>
                  </pic:spPr>
                </pic:pic>
              </a:graphicData>
            </a:graphic>
          </wp:inline>
        </w:drawing>
      </w:r>
    </w:p>
    <w:p w:rsidR="00F65DD4" w:rsidRDefault="00B86CB9" w:rsidP="00F65DD4">
      <w:pPr>
        <w:jc w:val="both"/>
      </w:pPr>
      <w:r>
        <w:t>Cene ne pokrivajo stroškov že nekaj let.</w:t>
      </w:r>
    </w:p>
    <w:p w:rsidR="00B86CB9" w:rsidRDefault="00F65DD4" w:rsidP="00B86CB9">
      <w:pPr>
        <w:jc w:val="both"/>
      </w:pPr>
      <w:r>
        <w:t>Mesečni izdatek gospodinjstva</w:t>
      </w:r>
      <w:r w:rsidR="00FC7EF5">
        <w:t xml:space="preserve"> v individualni hiši</w:t>
      </w:r>
      <w:r>
        <w:t>, ki porabi 16 m</w:t>
      </w:r>
      <w:r>
        <w:rPr>
          <w:rFonts w:ascii="Futura Lt BT" w:hAnsi="Futura Lt BT"/>
        </w:rPr>
        <w:t>³</w:t>
      </w:r>
      <w:r>
        <w:t xml:space="preserve"> vode</w:t>
      </w:r>
      <w:r w:rsidR="00B86CB9">
        <w:t>,</w:t>
      </w:r>
      <w:r w:rsidR="008A38C9">
        <w:t xml:space="preserve"> </w:t>
      </w:r>
      <w:r>
        <w:t>za dejavnosti odvajanja in čiščenja trenutno  znaša:</w:t>
      </w:r>
    </w:p>
    <w:p w:rsidR="0016365C" w:rsidRDefault="00B86CB9" w:rsidP="00B86CB9">
      <w:pPr>
        <w:jc w:val="both"/>
      </w:pPr>
      <w:r>
        <w:t xml:space="preserve"> </w:t>
      </w:r>
      <w:r w:rsidRPr="00B86CB9">
        <w:rPr>
          <w:noProof/>
          <w:lang w:eastAsia="sl-SI"/>
        </w:rPr>
        <w:drawing>
          <wp:inline distT="0" distB="0" distL="0" distR="0">
            <wp:extent cx="5438775" cy="10477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1047750"/>
                    </a:xfrm>
                    <a:prstGeom prst="rect">
                      <a:avLst/>
                    </a:prstGeom>
                    <a:noFill/>
                    <a:ln>
                      <a:noFill/>
                    </a:ln>
                  </pic:spPr>
                </pic:pic>
              </a:graphicData>
            </a:graphic>
          </wp:inline>
        </w:drawing>
      </w:r>
    </w:p>
    <w:p w:rsidR="00D6541E" w:rsidRDefault="00D6541E" w:rsidP="002A60ED">
      <w:pPr>
        <w:jc w:val="both"/>
      </w:pPr>
      <w:r>
        <w:t>Račun, ki vsebuje vse postavke, ki so povezane z vodo</w:t>
      </w:r>
      <w:r w:rsidR="00363328">
        <w:t xml:space="preserve"> (brez poračuna števnine)</w:t>
      </w:r>
      <w:r>
        <w:t>, pa je trenutno naslednji:</w:t>
      </w:r>
    </w:p>
    <w:p w:rsidR="00D6541E" w:rsidRDefault="00363328" w:rsidP="002A60ED">
      <w:pPr>
        <w:jc w:val="both"/>
      </w:pPr>
      <w:r w:rsidRPr="00363328">
        <w:rPr>
          <w:noProof/>
          <w:lang w:eastAsia="sl-SI"/>
        </w:rPr>
        <w:drawing>
          <wp:inline distT="0" distB="0" distL="0" distR="0">
            <wp:extent cx="5438775" cy="1485900"/>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1485900"/>
                    </a:xfrm>
                    <a:prstGeom prst="rect">
                      <a:avLst/>
                    </a:prstGeom>
                    <a:noFill/>
                    <a:ln>
                      <a:noFill/>
                    </a:ln>
                  </pic:spPr>
                </pic:pic>
              </a:graphicData>
            </a:graphic>
          </wp:inline>
        </w:drawing>
      </w:r>
    </w:p>
    <w:p w:rsidR="007A7C7A" w:rsidRDefault="007A7C7A" w:rsidP="007A7C7A">
      <w:pPr>
        <w:jc w:val="both"/>
      </w:pPr>
    </w:p>
    <w:p w:rsidR="00FF3240" w:rsidRDefault="00F65DD4" w:rsidP="007A7C7A">
      <w:pPr>
        <w:pStyle w:val="Odstavekseznama"/>
        <w:numPr>
          <w:ilvl w:val="0"/>
          <w:numId w:val="6"/>
        </w:numPr>
        <w:jc w:val="both"/>
        <w:rPr>
          <w:rStyle w:val="Intenzivenpoudarek"/>
        </w:rPr>
      </w:pPr>
      <w:r w:rsidRPr="00DB087E">
        <w:rPr>
          <w:rStyle w:val="Intenzivenpoudarek"/>
        </w:rPr>
        <w:t>IZRAČUN NOVIH CEN</w:t>
      </w:r>
    </w:p>
    <w:p w:rsidR="007A7C7A" w:rsidRDefault="007A7C7A" w:rsidP="00790C1F">
      <w:pPr>
        <w:jc w:val="both"/>
      </w:pPr>
      <w:r>
        <w:t>Pri izdelavi elaboratov oziroma izračunu novih predračunskih cen smo upoštevali:</w:t>
      </w:r>
    </w:p>
    <w:p w:rsidR="007A7C7A" w:rsidRDefault="007A7C7A" w:rsidP="00790C1F">
      <w:pPr>
        <w:pStyle w:val="Odstavekseznama"/>
        <w:numPr>
          <w:ilvl w:val="0"/>
          <w:numId w:val="15"/>
        </w:numPr>
        <w:jc w:val="both"/>
      </w:pPr>
      <w:r>
        <w:t xml:space="preserve">Dejanske stroške izvajanja storitve odvajanja v letu 2015 ter dodatne stroške zaradi novozgrajenega omrežja </w:t>
      </w:r>
      <w:r w:rsidR="003C68A8">
        <w:t xml:space="preserve">v letu 2015 ter ocenjene količine prodane vode za vse uporabnike priključene na kanalizacijsko omrežje v </w:t>
      </w:r>
      <w:r w:rsidR="00277935">
        <w:t>Šenčurju.</w:t>
      </w:r>
    </w:p>
    <w:p w:rsidR="007A7C7A" w:rsidRPr="007A7C7A" w:rsidRDefault="007A7C7A" w:rsidP="00790C1F">
      <w:pPr>
        <w:pStyle w:val="Odstavekseznama"/>
        <w:numPr>
          <w:ilvl w:val="0"/>
          <w:numId w:val="15"/>
        </w:numPr>
        <w:jc w:val="both"/>
      </w:pPr>
      <w:r>
        <w:lastRenderedPageBreak/>
        <w:t>Ocenjene stroške</w:t>
      </w:r>
      <w:r w:rsidR="00A85501">
        <w:t xml:space="preserve"> </w:t>
      </w:r>
      <w:r>
        <w:t>po zaključku p</w:t>
      </w:r>
      <w:r w:rsidR="003C68A8">
        <w:t>oskusnega obratovanja CČN Kranj in ocenjene količine prodane vode za vse uporabnike priključene na kanalizacijsko omrežje v</w:t>
      </w:r>
      <w:r w:rsidR="00277935">
        <w:t xml:space="preserve"> Mestni občini Kranj ter občinah</w:t>
      </w:r>
      <w:r w:rsidR="003C68A8">
        <w:t xml:space="preserve"> Nakl</w:t>
      </w:r>
      <w:r w:rsidR="00277935">
        <w:t>o</w:t>
      </w:r>
      <w:r w:rsidR="003C68A8">
        <w:t xml:space="preserve"> in Šenčur.</w:t>
      </w:r>
    </w:p>
    <w:p w:rsidR="00FF3240" w:rsidRDefault="00FF3240" w:rsidP="00790C1F">
      <w:pPr>
        <w:pStyle w:val="Odstavekseznama"/>
        <w:ind w:left="0"/>
        <w:jc w:val="both"/>
      </w:pPr>
    </w:p>
    <w:p w:rsidR="00F65DD4" w:rsidRDefault="00F65DD4" w:rsidP="00790C1F">
      <w:pPr>
        <w:pStyle w:val="Odstavekseznama"/>
        <w:ind w:left="0"/>
        <w:jc w:val="both"/>
      </w:pPr>
      <w:r>
        <w:t>Ceni morata biti oblikovani v skladu z uredbo MEDO, torej morata biti razdeljeni na:</w:t>
      </w:r>
    </w:p>
    <w:p w:rsidR="00F65DD4" w:rsidRDefault="00F65DD4" w:rsidP="00790C1F">
      <w:pPr>
        <w:pStyle w:val="Odstavekseznama"/>
        <w:numPr>
          <w:ilvl w:val="0"/>
          <w:numId w:val="10"/>
        </w:numPr>
        <w:jc w:val="both"/>
      </w:pPr>
      <w:r>
        <w:t>Variabil</w:t>
      </w:r>
      <w:r w:rsidR="00277935">
        <w:t>ni</w:t>
      </w:r>
      <w:r>
        <w:t xml:space="preserve"> del, ki se nanaša na izvajanje storitev in se </w:t>
      </w:r>
      <w:r w:rsidRPr="00B35781">
        <w:t>zaračuna</w:t>
      </w:r>
      <w:r>
        <w:t xml:space="preserve"> po porabi vode na m</w:t>
      </w:r>
      <w:r>
        <w:rPr>
          <w:rFonts w:ascii="Futura Lt BT" w:hAnsi="Futura Lt BT"/>
        </w:rPr>
        <w:t>³.</w:t>
      </w:r>
    </w:p>
    <w:p w:rsidR="00790C1F" w:rsidRDefault="00F65DD4" w:rsidP="00790C1F">
      <w:pPr>
        <w:pStyle w:val="Odstavekseznama"/>
        <w:numPr>
          <w:ilvl w:val="0"/>
          <w:numId w:val="10"/>
        </w:numPr>
        <w:jc w:val="both"/>
      </w:pPr>
      <w:r>
        <w:t>Fiks</w:t>
      </w:r>
      <w:r w:rsidR="00277935">
        <w:t>ni</w:t>
      </w:r>
      <w:r>
        <w:t xml:space="preserve"> del, ki se nanaša na pokrivanje stroškov amortizacije oz. najema infrastrukture in se </w:t>
      </w:r>
      <w:r w:rsidRPr="00B35781">
        <w:t xml:space="preserve">zaračuna </w:t>
      </w:r>
      <w:r>
        <w:t>v fiksnem znesku odvisno od premera vodomera.</w:t>
      </w:r>
      <w:r w:rsidR="00FF3240">
        <w:t xml:space="preserve"> Bistven</w:t>
      </w:r>
      <w:r w:rsidR="003C68A8">
        <w:t>i</w:t>
      </w:r>
      <w:r w:rsidR="00FF3240">
        <w:t xml:space="preserve"> sprememb</w:t>
      </w:r>
      <w:r w:rsidR="003C68A8">
        <w:t>i v primerjavi z obstoječim tarifnim sistemom sta</w:t>
      </w:r>
      <w:r w:rsidR="00790C1F">
        <w:t>:</w:t>
      </w:r>
    </w:p>
    <w:p w:rsidR="00790C1F" w:rsidRDefault="003C68A8" w:rsidP="00790C1F">
      <w:pPr>
        <w:pStyle w:val="Odstavekseznama"/>
        <w:numPr>
          <w:ilvl w:val="4"/>
          <w:numId w:val="16"/>
        </w:numPr>
        <w:ind w:left="1416"/>
        <w:jc w:val="both"/>
      </w:pPr>
      <w:r>
        <w:t xml:space="preserve">drugačna razmerja pri določitvi cen za različne premere vodomerov ter </w:t>
      </w:r>
    </w:p>
    <w:p w:rsidR="003C68A8" w:rsidRDefault="003C68A8" w:rsidP="00D6541E">
      <w:pPr>
        <w:pStyle w:val="Odstavekseznama"/>
        <w:numPr>
          <w:ilvl w:val="4"/>
          <w:numId w:val="16"/>
        </w:numPr>
        <w:ind w:left="1416"/>
        <w:jc w:val="both"/>
      </w:pPr>
      <w:r>
        <w:t>način zaračunavanja omrežnin v večstanovanjskih objektih (vsakemu stanovanju se obračuna omrežnina za DN 20).</w:t>
      </w:r>
    </w:p>
    <w:p w:rsidR="00D6541E" w:rsidRDefault="00D6541E" w:rsidP="00D6541E">
      <w:pPr>
        <w:jc w:val="both"/>
      </w:pPr>
      <w:r>
        <w:t>Posebne storitve izvajalca so storitve, ki jih izvajalec opravlja in pri tem uporablja javno infrastrukturo, in niso obvezne storitve javne službe</w:t>
      </w:r>
      <w:r w:rsidR="00FE715A">
        <w:t>. Uredba MEDO kot primer navaja zagotovitev uporabe javne infrastrukture za odvajanje industrijskih odpadnih voda in njihovo čiščenje na čistilni napravi osebam, ki niso uporabniki storitev javne službe. Prihodki posebnih storitev se upoštevajo tako, da se zmanjša lastna cena posamezne javne službe.</w:t>
      </w:r>
    </w:p>
    <w:p w:rsidR="00FE715A" w:rsidRDefault="00FE715A" w:rsidP="00D6541E">
      <w:pPr>
        <w:jc w:val="both"/>
      </w:pPr>
      <w:r>
        <w:t>Prihodke iz dejavnosti odvajanja in čiščenja industrijskih odpadnih voda smo upoštevali v kalkulacijah storitev in omrežnin za obe dejavnosti.</w:t>
      </w:r>
    </w:p>
    <w:p w:rsidR="003B1E37" w:rsidRDefault="003B1E37" w:rsidP="00D6541E">
      <w:pPr>
        <w:jc w:val="both"/>
      </w:pPr>
    </w:p>
    <w:p w:rsidR="00F65DD4" w:rsidRPr="00DB087E" w:rsidRDefault="00F65DD4" w:rsidP="00790C1F">
      <w:pPr>
        <w:pStyle w:val="Odstavekseznama"/>
        <w:numPr>
          <w:ilvl w:val="1"/>
          <w:numId w:val="6"/>
        </w:numPr>
        <w:jc w:val="both"/>
        <w:rPr>
          <w:rStyle w:val="Intenzivenpoudarek"/>
        </w:rPr>
      </w:pPr>
      <w:r w:rsidRPr="00DB087E">
        <w:rPr>
          <w:rStyle w:val="Intenzivenpoudarek"/>
        </w:rPr>
        <w:t>Oblikovanje cene storitve odvajanja</w:t>
      </w:r>
    </w:p>
    <w:p w:rsidR="0087350D" w:rsidRDefault="00277935" w:rsidP="00277935">
      <w:pPr>
        <w:jc w:val="both"/>
      </w:pPr>
      <w:r>
        <w:t xml:space="preserve">Cena storitve </w:t>
      </w:r>
      <w:r>
        <w:rPr>
          <w:b/>
          <w:i/>
        </w:rPr>
        <w:t>odvajanja</w:t>
      </w:r>
      <w:r>
        <w:t xml:space="preserve"> je sestavljena iz stroškov, ki se nanašajo na vzdrževanje kanalizacijskega sistema v </w:t>
      </w:r>
      <w:r w:rsidR="00FE6C03">
        <w:t>občini Šenčur</w:t>
      </w:r>
      <w:r>
        <w:t>, ki se zaključuje s čistilno napravo. Količine in stroški</w:t>
      </w:r>
      <w:r w:rsidR="0087350D">
        <w:t xml:space="preserve"> so ocenjeni na podlagi podatkov o izvajanju dejavnosti v letu 2015. Nekatere postavke (elektrika, stroški dela, posredni stroški) so povišane zaradi stroškov povezanih z n</w:t>
      </w:r>
      <w:r>
        <w:t>ov</w:t>
      </w:r>
      <w:r w:rsidR="0087350D">
        <w:t>o zgrajenimi kanali v letu 2015.</w:t>
      </w:r>
    </w:p>
    <w:p w:rsidR="00277935" w:rsidRDefault="00B61658" w:rsidP="00277935">
      <w:pPr>
        <w:jc w:val="both"/>
      </w:pPr>
      <w:r w:rsidRPr="00B61658">
        <w:rPr>
          <w:noProof/>
          <w:lang w:eastAsia="sl-SI"/>
        </w:rPr>
        <w:drawing>
          <wp:inline distT="0" distB="0" distL="0" distR="0">
            <wp:extent cx="3943350" cy="5828674"/>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916" cy="5838379"/>
                    </a:xfrm>
                    <a:prstGeom prst="rect">
                      <a:avLst/>
                    </a:prstGeom>
                    <a:noFill/>
                    <a:ln>
                      <a:noFill/>
                    </a:ln>
                  </pic:spPr>
                </pic:pic>
              </a:graphicData>
            </a:graphic>
          </wp:inline>
        </w:drawing>
      </w:r>
    </w:p>
    <w:p w:rsidR="00277935" w:rsidRDefault="00277935" w:rsidP="00277935">
      <w:pPr>
        <w:jc w:val="both"/>
      </w:pPr>
    </w:p>
    <w:p w:rsidR="00277935" w:rsidRDefault="00277935" w:rsidP="00277935">
      <w:pPr>
        <w:jc w:val="both"/>
        <w:rPr>
          <w:color w:val="000000" w:themeColor="text1"/>
        </w:rPr>
      </w:pPr>
      <w:r>
        <w:rPr>
          <w:color w:val="000000" w:themeColor="text1"/>
        </w:rPr>
        <w:t xml:space="preserve">Stroški intelektualnih in osebnih storitev vključujejo stroške zdravstvenih pregledov, deratizacija, stroške za zagotavljanje varstva pri delu. </w:t>
      </w:r>
    </w:p>
    <w:p w:rsidR="00277935" w:rsidRDefault="00277935" w:rsidP="00277935">
      <w:pPr>
        <w:jc w:val="both"/>
        <w:rPr>
          <w:color w:val="000000" w:themeColor="text1"/>
        </w:rPr>
      </w:pPr>
      <w:r>
        <w:rPr>
          <w:color w:val="000000" w:themeColor="text1"/>
        </w:rPr>
        <w:t xml:space="preserve">Stroški vzdrževanja javne infrastrukture so stroški vzdrževanja vozil, stroški vzdrževanja elektro strojnih naprav črpališč, stroški popravil raznih strojnih naprav (agregat, naprava za dimljenje), sanacije jaškov javne kanalizacije, menjave pokrovov jaškov...  </w:t>
      </w:r>
    </w:p>
    <w:p w:rsidR="00277935" w:rsidRDefault="00277935" w:rsidP="00277935">
      <w:pPr>
        <w:jc w:val="both"/>
        <w:rPr>
          <w:color w:val="000000" w:themeColor="text1"/>
        </w:rPr>
      </w:pPr>
      <w:r>
        <w:rPr>
          <w:color w:val="000000" w:themeColor="text1"/>
        </w:rPr>
        <w:t>V neposrednih stroški dela so vključeni stroški dodatno zaposlenih delavcev: nadzornika, elektrikarja in komunalnega delavca (vzdrževanje objektov, vzdrževanje okolice objektov, izvajanje intervencijskih del,…).</w:t>
      </w:r>
      <w:r w:rsidR="00BE219C">
        <w:rPr>
          <w:color w:val="000000" w:themeColor="text1"/>
        </w:rPr>
        <w:t xml:space="preserve"> </w:t>
      </w:r>
    </w:p>
    <w:p w:rsidR="00BE219C" w:rsidRDefault="00BE219C" w:rsidP="00277935">
      <w:pPr>
        <w:jc w:val="both"/>
        <w:rPr>
          <w:color w:val="000000" w:themeColor="text1"/>
        </w:rPr>
      </w:pPr>
      <w:r>
        <w:rPr>
          <w:color w:val="000000" w:themeColor="text1"/>
        </w:rPr>
        <w:t>Drugi neposredni stroški dela vključujejo tudi stroške vodenja katastra v sorazmernem deležu, ki odpade na dejavnost odvajanja v občini Šenčur</w:t>
      </w:r>
      <w:r w:rsidR="003471CC">
        <w:rPr>
          <w:color w:val="000000" w:themeColor="text1"/>
        </w:rPr>
        <w:t xml:space="preserve"> (4.717 EUR)</w:t>
      </w:r>
      <w:r>
        <w:rPr>
          <w:color w:val="000000" w:themeColor="text1"/>
        </w:rPr>
        <w:t>.</w:t>
      </w:r>
    </w:p>
    <w:p w:rsidR="00277935" w:rsidRDefault="00277935" w:rsidP="00277935">
      <w:pPr>
        <w:pStyle w:val="Odstavekseznama"/>
        <w:numPr>
          <w:ilvl w:val="1"/>
          <w:numId w:val="17"/>
        </w:numPr>
        <w:jc w:val="both"/>
        <w:rPr>
          <w:rStyle w:val="Intenzivenpoudarek"/>
        </w:rPr>
      </w:pPr>
      <w:r>
        <w:rPr>
          <w:rStyle w:val="Intenzivenpoudarek"/>
        </w:rPr>
        <w:t>Oblikovanje cene omrežnine odvajanja</w:t>
      </w:r>
    </w:p>
    <w:p w:rsidR="0087350D" w:rsidRDefault="0087350D" w:rsidP="0087350D">
      <w:pPr>
        <w:jc w:val="both"/>
      </w:pPr>
      <w:r>
        <w:t>V stroških, ki predstavljajo osnovo za določitev cene omrežnine, v znesku 194.005, so upoštevani:</w:t>
      </w:r>
    </w:p>
    <w:p w:rsidR="0087350D" w:rsidRDefault="0087350D" w:rsidP="0087350D">
      <w:pPr>
        <w:pStyle w:val="Odstavekseznama"/>
        <w:numPr>
          <w:ilvl w:val="0"/>
          <w:numId w:val="18"/>
        </w:numPr>
        <w:jc w:val="both"/>
      </w:pPr>
      <w:r>
        <w:t>letna najemnina v višini amortizacije infrastrukture za izvajanje storitve odvajanja v občini Šenčur, ki vključuje tudi amortizacijo novo zgrajenega kanalizacijskega omrežja v višini 195.859 EUR,</w:t>
      </w:r>
    </w:p>
    <w:p w:rsidR="0087350D" w:rsidRDefault="0087350D" w:rsidP="0087350D">
      <w:pPr>
        <w:pStyle w:val="Odstavekseznama"/>
        <w:numPr>
          <w:ilvl w:val="0"/>
          <w:numId w:val="18"/>
        </w:numPr>
        <w:jc w:val="both"/>
      </w:pPr>
      <w:r>
        <w:t>stroški zavarovanja infrastrukture v višini 103 EUR na podlagi podatkov za leto 2015,</w:t>
      </w:r>
    </w:p>
    <w:p w:rsidR="0087350D" w:rsidRDefault="0087350D" w:rsidP="0087350D">
      <w:pPr>
        <w:pStyle w:val="Odstavekseznama"/>
        <w:numPr>
          <w:ilvl w:val="0"/>
          <w:numId w:val="18"/>
        </w:numPr>
        <w:jc w:val="both"/>
      </w:pPr>
      <w:r>
        <w:t>prihodki od posebnih storitev  - omrežnina odvajanje industrijske odpadne vode 1.957 EUR (odbitna postavka).</w:t>
      </w:r>
    </w:p>
    <w:p w:rsidR="0087350D" w:rsidRDefault="0087350D" w:rsidP="0087350D">
      <w:pPr>
        <w:pStyle w:val="Odstavekseznama"/>
        <w:ind w:left="0"/>
        <w:jc w:val="both"/>
      </w:pPr>
    </w:p>
    <w:p w:rsidR="0087350D" w:rsidRDefault="0087350D" w:rsidP="0087350D">
      <w:pPr>
        <w:jc w:val="both"/>
        <w:rPr>
          <w:noProof/>
          <w:lang w:eastAsia="sl-SI"/>
        </w:rPr>
      </w:pPr>
      <w:r>
        <w:rPr>
          <w:noProof/>
          <w:lang w:eastAsia="sl-SI"/>
        </w:rPr>
        <w:t>Izračun omrežnin za različne zmogljivosti priključkov je prikazan v naslednji tabeli:</w:t>
      </w:r>
    </w:p>
    <w:p w:rsidR="0087350D" w:rsidRDefault="0087350D" w:rsidP="0087350D">
      <w:pPr>
        <w:jc w:val="both"/>
      </w:pPr>
      <w:r>
        <w:rPr>
          <w:noProof/>
          <w:lang w:eastAsia="sl-SI"/>
        </w:rPr>
        <w:drawing>
          <wp:inline distT="0" distB="0" distL="0" distR="0">
            <wp:extent cx="4362450" cy="1495425"/>
            <wp:effectExtent l="0" t="0" r="0"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0" cy="1495425"/>
                    </a:xfrm>
                    <a:prstGeom prst="rect">
                      <a:avLst/>
                    </a:prstGeom>
                    <a:noFill/>
                    <a:ln>
                      <a:noFill/>
                    </a:ln>
                  </pic:spPr>
                </pic:pic>
              </a:graphicData>
            </a:graphic>
          </wp:inline>
        </w:drawing>
      </w:r>
    </w:p>
    <w:p w:rsidR="0087350D" w:rsidRDefault="0087350D" w:rsidP="0087350D">
      <w:pPr>
        <w:jc w:val="both"/>
      </w:pPr>
      <w:r>
        <w:t>Cena omrežnine za DN 20 torej znaša 6,62 EUR mesečno.</w:t>
      </w:r>
    </w:p>
    <w:p w:rsidR="00277935" w:rsidRDefault="00277935" w:rsidP="00277935">
      <w:pPr>
        <w:pStyle w:val="Brezrazmikov"/>
        <w:jc w:val="both"/>
        <w:rPr>
          <w:rStyle w:val="Intenzivenpoudarek"/>
          <w:b w:val="0"/>
          <w:bCs w:val="0"/>
          <w:i w:val="0"/>
          <w:iCs w:val="0"/>
        </w:rPr>
      </w:pPr>
      <w:r>
        <w:rPr>
          <w:noProof/>
          <w:lang w:eastAsia="sl-SI"/>
        </w:rPr>
        <w:t>Pri izračunu cen omrežnine za različne zmogljivosti priključkov smo kot največjo obračunano zmogljivost vodomera upoštevali DN 50.</w:t>
      </w:r>
    </w:p>
    <w:p w:rsidR="00277935" w:rsidRDefault="00277935" w:rsidP="00277935">
      <w:pPr>
        <w:pStyle w:val="Brezrazmikov"/>
        <w:jc w:val="both"/>
        <w:rPr>
          <w:rStyle w:val="Intenzivenpoudarek"/>
        </w:rPr>
      </w:pPr>
    </w:p>
    <w:p w:rsidR="00277935" w:rsidRDefault="00277935" w:rsidP="00277935">
      <w:pPr>
        <w:pStyle w:val="Brezrazmikov"/>
        <w:jc w:val="both"/>
        <w:rPr>
          <w:rStyle w:val="Intenzivenpoudarek"/>
        </w:rPr>
      </w:pPr>
    </w:p>
    <w:p w:rsidR="00277935" w:rsidRDefault="00277935" w:rsidP="00277935">
      <w:pPr>
        <w:pStyle w:val="Odstavekseznama"/>
        <w:numPr>
          <w:ilvl w:val="1"/>
          <w:numId w:val="17"/>
        </w:numPr>
        <w:jc w:val="both"/>
        <w:rPr>
          <w:rStyle w:val="Intenzivenpoudarek"/>
        </w:rPr>
      </w:pPr>
      <w:r>
        <w:rPr>
          <w:rStyle w:val="Intenzivenpoudarek"/>
        </w:rPr>
        <w:t xml:space="preserve"> Oblikovanje cene storitve čiščenja </w:t>
      </w:r>
    </w:p>
    <w:p w:rsidR="00277935" w:rsidRDefault="00277935" w:rsidP="00277935">
      <w:pPr>
        <w:jc w:val="both"/>
      </w:pPr>
      <w:r>
        <w:rPr>
          <w:iCs/>
        </w:rPr>
        <w:t>Cena čiščenja je izračunana na podlagi ocenjenih količin prodane vode v letu 2016 uporabnikom priključenih na kanalizacijsko omrežje iz Mestne občine Kranj ter občin Naklo in Šenčur. Predračunski stroški v kalkulaciji na letni ravni za leto 2016 so v pretežni meri povzeti po projektantskem predračunu. V prvem letu obratovanja se bo pokazalo, ali predračunska ocena ustreza dejanskim stroškom.</w:t>
      </w:r>
    </w:p>
    <w:p w:rsidR="00277935" w:rsidRDefault="00277935" w:rsidP="00277935">
      <w:pPr>
        <w:jc w:val="both"/>
        <w:rPr>
          <w:color w:val="000000" w:themeColor="text1"/>
        </w:rPr>
      </w:pPr>
      <w:r>
        <w:rPr>
          <w:color w:val="000000" w:themeColor="text1"/>
        </w:rPr>
        <w:t>V neposrednih stroški dela so vključeni stroški dodatno zaposlenih delavcev: nadzornika, stroški voznika in spremljevalca, stroški elektrikarja in komunalnega delavca (vzdrževanje objektov, vzdrževanje okolice objektov, izvajanje intervencijskih del,…).</w:t>
      </w:r>
    </w:p>
    <w:p w:rsidR="0041343E" w:rsidRDefault="0041343E" w:rsidP="0041343E">
      <w:pPr>
        <w:jc w:val="both"/>
        <w:rPr>
          <w:iCs/>
        </w:rPr>
      </w:pPr>
      <w:r>
        <w:rPr>
          <w:iCs/>
        </w:rPr>
        <w:t>Pod postavko druge storitve smo upoštevali stroške končne dispozicjie blata za količino 5.000 ton po ceni 68,3 EUR za tono.</w:t>
      </w:r>
    </w:p>
    <w:p w:rsidR="0041343E" w:rsidRDefault="0041343E" w:rsidP="0041343E">
      <w:pPr>
        <w:jc w:val="both"/>
      </w:pPr>
      <w:r>
        <w:rPr>
          <w:iCs/>
        </w:rPr>
        <w:t xml:space="preserve">V nadaljevanju prikazujemo </w:t>
      </w:r>
      <w:r>
        <w:t xml:space="preserve">primerjavo med predračunsko in obračunsko kalkulacijo za preteklo obračunsko obdobje ter predračunsko kalkulacijo za prihodnje obračunsko obdobje. </w:t>
      </w:r>
    </w:p>
    <w:p w:rsidR="0041343E" w:rsidRDefault="0041343E" w:rsidP="0041343E">
      <w:pPr>
        <w:jc w:val="both"/>
        <w:rPr>
          <w:iCs/>
        </w:rPr>
      </w:pPr>
      <w:r>
        <w:rPr>
          <w:iCs/>
        </w:rPr>
        <w:t>V predračunski kalkulaciji za prihodnje obračunsko obdobje so upoštevane količine prodane storitve po občinah:</w:t>
      </w:r>
    </w:p>
    <w:p w:rsidR="0041343E" w:rsidRDefault="0041343E" w:rsidP="0041343E">
      <w:pPr>
        <w:jc w:val="both"/>
        <w:rPr>
          <w:iCs/>
        </w:rPr>
      </w:pPr>
      <w:r w:rsidRPr="00C21623">
        <w:rPr>
          <w:noProof/>
          <w:lang w:eastAsia="sl-SI"/>
        </w:rPr>
        <w:drawing>
          <wp:inline distT="0" distB="0" distL="0" distR="0" wp14:anchorId="1258E831" wp14:editId="77D055AC">
            <wp:extent cx="1913890" cy="963295"/>
            <wp:effectExtent l="0" t="0" r="0" b="825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3890" cy="963295"/>
                    </a:xfrm>
                    <a:prstGeom prst="rect">
                      <a:avLst/>
                    </a:prstGeom>
                    <a:noFill/>
                    <a:ln>
                      <a:noFill/>
                    </a:ln>
                  </pic:spPr>
                </pic:pic>
              </a:graphicData>
            </a:graphic>
          </wp:inline>
        </w:drawing>
      </w:r>
    </w:p>
    <w:p w:rsidR="0041343E" w:rsidRDefault="0041343E" w:rsidP="0041343E">
      <w:pPr>
        <w:pStyle w:val="Brezrazmikov"/>
        <w:jc w:val="both"/>
        <w:rPr>
          <w:rStyle w:val="Neenpoudarek"/>
        </w:rPr>
      </w:pPr>
    </w:p>
    <w:p w:rsidR="0041343E" w:rsidRDefault="00B02A67" w:rsidP="0041343E">
      <w:pPr>
        <w:pStyle w:val="Brezrazmikov"/>
        <w:jc w:val="both"/>
        <w:rPr>
          <w:rStyle w:val="Intenzivenpoudarek"/>
          <w:b w:val="0"/>
          <w:bCs w:val="0"/>
        </w:rPr>
      </w:pPr>
      <w:r w:rsidRPr="006D46E7">
        <w:rPr>
          <w:rStyle w:val="Intenzivenpoudarek"/>
          <w:b w:val="0"/>
          <w:bCs w:val="0"/>
          <w:i w:val="0"/>
          <w:iCs w:val="0"/>
          <w:noProof/>
          <w:color w:val="auto"/>
          <w:lang w:eastAsia="sl-SI"/>
        </w:rPr>
        <w:drawing>
          <wp:inline distT="0" distB="0" distL="0" distR="0" wp14:anchorId="76CA0A18" wp14:editId="3FF2250B">
            <wp:extent cx="3742027" cy="541972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721" cy="5422179"/>
                    </a:xfrm>
                    <a:prstGeom prst="rect">
                      <a:avLst/>
                    </a:prstGeom>
                    <a:noFill/>
                    <a:ln>
                      <a:noFill/>
                    </a:ln>
                  </pic:spPr>
                </pic:pic>
              </a:graphicData>
            </a:graphic>
          </wp:inline>
        </w:drawing>
      </w:r>
    </w:p>
    <w:p w:rsidR="0041343E" w:rsidRDefault="0041343E" w:rsidP="0041343E">
      <w:pPr>
        <w:jc w:val="both"/>
        <w:rPr>
          <w:rStyle w:val="Intenzivenpoudarek"/>
        </w:rPr>
      </w:pPr>
    </w:p>
    <w:p w:rsidR="00277935" w:rsidRDefault="00277935" w:rsidP="00277935">
      <w:pPr>
        <w:jc w:val="both"/>
        <w:rPr>
          <w:rStyle w:val="Intenzivenpoudarek"/>
        </w:rPr>
      </w:pPr>
    </w:p>
    <w:p w:rsidR="00277935" w:rsidRDefault="00277935" w:rsidP="00277935">
      <w:pPr>
        <w:pStyle w:val="Odstavekseznama"/>
        <w:numPr>
          <w:ilvl w:val="1"/>
          <w:numId w:val="17"/>
        </w:numPr>
        <w:jc w:val="both"/>
        <w:rPr>
          <w:rStyle w:val="Intenzivenpoudarek"/>
        </w:rPr>
      </w:pPr>
      <w:r>
        <w:rPr>
          <w:rStyle w:val="Intenzivenpoudarek"/>
        </w:rPr>
        <w:t>Oblikovanje cene omrežnine čiščenja za centralno ČN Kranj</w:t>
      </w:r>
    </w:p>
    <w:p w:rsidR="00277935" w:rsidRDefault="00277935" w:rsidP="00277935">
      <w:pPr>
        <w:jc w:val="both"/>
      </w:pPr>
      <w:r>
        <w:t xml:space="preserve">Osnova za izračun cene omrežnine čiščenja na letnem nivoju v znesku </w:t>
      </w:r>
      <w:r w:rsidR="006F1B80">
        <w:t xml:space="preserve">1.478.382 </w:t>
      </w:r>
      <w:r>
        <w:t>EUR vključuje naslednje:</w:t>
      </w:r>
    </w:p>
    <w:p w:rsidR="00277935" w:rsidRDefault="00277935" w:rsidP="00277935">
      <w:pPr>
        <w:pStyle w:val="Odstavekseznama"/>
        <w:numPr>
          <w:ilvl w:val="0"/>
          <w:numId w:val="18"/>
        </w:numPr>
        <w:jc w:val="both"/>
      </w:pPr>
      <w:r>
        <w:t xml:space="preserve">najemnino nove ČN v višini amortizacije </w:t>
      </w:r>
      <w:r w:rsidR="006F1B80">
        <w:t xml:space="preserve">1.494.977 </w:t>
      </w:r>
      <w:r>
        <w:t>EUR,</w:t>
      </w:r>
    </w:p>
    <w:p w:rsidR="00277935" w:rsidRDefault="00277935" w:rsidP="00277935">
      <w:pPr>
        <w:pStyle w:val="Odstavekseznama"/>
        <w:numPr>
          <w:ilvl w:val="0"/>
          <w:numId w:val="18"/>
        </w:numPr>
        <w:jc w:val="both"/>
      </w:pPr>
      <w:r>
        <w:t>najemnino stare ČN (gnilišča in energetski objekt) v višini amortizacije 34.652 EUR,</w:t>
      </w:r>
    </w:p>
    <w:p w:rsidR="00277935" w:rsidRDefault="00277935" w:rsidP="00277935">
      <w:pPr>
        <w:pStyle w:val="Odstavekseznama"/>
        <w:numPr>
          <w:ilvl w:val="0"/>
          <w:numId w:val="18"/>
        </w:numPr>
        <w:jc w:val="both"/>
      </w:pPr>
      <w:r>
        <w:t>del obresti dolgoročnega kredita koriščenega v letu 2015 za financiranje nadgradnje CČN Kranj v višini 34.394 EUR,</w:t>
      </w:r>
    </w:p>
    <w:p w:rsidR="00277935" w:rsidRDefault="00277935" w:rsidP="00277935">
      <w:pPr>
        <w:pStyle w:val="Odstavekseznama"/>
        <w:numPr>
          <w:ilvl w:val="0"/>
          <w:numId w:val="18"/>
        </w:numPr>
        <w:jc w:val="both"/>
      </w:pPr>
      <w:r>
        <w:t>odškodnine krajanom Drulovke 15.743 EUR,</w:t>
      </w:r>
    </w:p>
    <w:p w:rsidR="00277935" w:rsidRDefault="00277935" w:rsidP="00277935">
      <w:pPr>
        <w:pStyle w:val="Odstavekseznama"/>
        <w:numPr>
          <w:ilvl w:val="0"/>
          <w:numId w:val="18"/>
        </w:numPr>
        <w:jc w:val="both"/>
      </w:pPr>
      <w:r>
        <w:t>prihodki od storitve omrežnine obračunane uporabnikom, ki imajo obstoječe greznice in MKČN 60.000 (odbitna postavka). Upoštevali smo, da cena omrežnine 0,7 EUR/mesečno ostane nespremenjena v vseh občinah,</w:t>
      </w:r>
    </w:p>
    <w:p w:rsidR="00277935" w:rsidRDefault="00277935" w:rsidP="00277935">
      <w:pPr>
        <w:pStyle w:val="Odstavekseznama"/>
        <w:numPr>
          <w:ilvl w:val="0"/>
          <w:numId w:val="18"/>
        </w:numPr>
        <w:jc w:val="both"/>
      </w:pPr>
      <w:r>
        <w:t>prihodki od posebnih storitev - omrežnina čiščenja industrijskih odpadnih voda 41.384 (odbitna postavka).</w:t>
      </w:r>
    </w:p>
    <w:p w:rsidR="00277935" w:rsidRDefault="00277935" w:rsidP="00277935">
      <w:pPr>
        <w:ind w:left="360"/>
        <w:jc w:val="both"/>
      </w:pPr>
      <w:r>
        <w:t>Izračun cene omrežnine čiščenja brez upoštevanja poračuna iz leta 2015:</w:t>
      </w:r>
    </w:p>
    <w:p w:rsidR="00277935" w:rsidRDefault="006F1B80" w:rsidP="00CF1BA7">
      <w:pPr>
        <w:pStyle w:val="Odstavekseznama"/>
        <w:ind w:left="0"/>
        <w:jc w:val="both"/>
      </w:pPr>
      <w:r w:rsidRPr="000721CA">
        <w:rPr>
          <w:noProof/>
          <w:lang w:eastAsia="sl-SI"/>
        </w:rPr>
        <w:drawing>
          <wp:inline distT="0" distB="0" distL="0" distR="0" wp14:anchorId="70D4015E" wp14:editId="10457334">
            <wp:extent cx="5238750" cy="172402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1724025"/>
                    </a:xfrm>
                    <a:prstGeom prst="rect">
                      <a:avLst/>
                    </a:prstGeom>
                    <a:noFill/>
                    <a:ln>
                      <a:noFill/>
                    </a:ln>
                  </pic:spPr>
                </pic:pic>
              </a:graphicData>
            </a:graphic>
          </wp:inline>
        </w:drawing>
      </w:r>
    </w:p>
    <w:p w:rsidR="00277935" w:rsidRDefault="00277935" w:rsidP="00277935">
      <w:pPr>
        <w:jc w:val="both"/>
      </w:pPr>
    </w:p>
    <w:p w:rsidR="00277935" w:rsidRDefault="00277935" w:rsidP="00277935">
      <w:pPr>
        <w:jc w:val="both"/>
      </w:pPr>
      <w:r>
        <w:t xml:space="preserve">V letu 2015 smo v vseh občinah razen občine Cerklje zaračunavali storitev omrežnine čiščenja uporabnikom storitev povezanih z greznicami in MKČN. Del stroškov ČN Kranj  (48.817 EUR) je bil pokrit s prihodki iz tega naslova. V skladu s pravili izvajanja poračunov, je potrebno ta znesek poračunati uporabnikom storitve čiščenja oziroma znesek upoštevati pri izračunu omrežnine za čiščenje v prihodnjem enoletnem cenovnem obdobju. </w:t>
      </w:r>
    </w:p>
    <w:p w:rsidR="00277935" w:rsidRDefault="00277935" w:rsidP="00277935">
      <w:pPr>
        <w:jc w:val="both"/>
      </w:pPr>
      <w:r>
        <w:t>Izračun cene omrežnine čiščenja z upoštevanjem poračuna iz leta 2015:</w:t>
      </w:r>
    </w:p>
    <w:p w:rsidR="00277935" w:rsidRDefault="006F1B80" w:rsidP="00277935">
      <w:pPr>
        <w:jc w:val="both"/>
      </w:pPr>
      <w:r>
        <w:rPr>
          <w:noProof/>
          <w:lang w:eastAsia="sl-SI"/>
        </w:rPr>
        <w:drawing>
          <wp:inline distT="0" distB="0" distL="0" distR="0" wp14:anchorId="1E832337">
            <wp:extent cx="5182235" cy="1725295"/>
            <wp:effectExtent l="0" t="0" r="0" b="825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2235" cy="1725295"/>
                    </a:xfrm>
                    <a:prstGeom prst="rect">
                      <a:avLst/>
                    </a:prstGeom>
                    <a:noFill/>
                  </pic:spPr>
                </pic:pic>
              </a:graphicData>
            </a:graphic>
          </wp:inline>
        </w:drawing>
      </w:r>
    </w:p>
    <w:p w:rsidR="00F07799" w:rsidRDefault="00F07799" w:rsidP="00F07799">
      <w:pPr>
        <w:pStyle w:val="Odstavekseznama"/>
        <w:ind w:left="0"/>
        <w:jc w:val="both"/>
      </w:pPr>
      <w:r w:rsidRPr="00CB67D8">
        <w:rPr>
          <w:b/>
          <w:u w:val="single"/>
        </w:rPr>
        <w:t>Po preteku enega leta</w:t>
      </w:r>
      <w:r>
        <w:t xml:space="preserve"> od začetka zaračunavanja cene s poračunom, se začne zaračunavati cena brez upoštevanega navedenega poračuna (5,</w:t>
      </w:r>
      <w:r w:rsidR="006F1B80">
        <w:t>38</w:t>
      </w:r>
      <w:r>
        <w:t xml:space="preserve"> EUR mesečno za velikost priključka DN 20).</w:t>
      </w:r>
    </w:p>
    <w:p w:rsidR="00F07799" w:rsidRDefault="00F07799" w:rsidP="00277935">
      <w:pPr>
        <w:jc w:val="both"/>
      </w:pPr>
    </w:p>
    <w:p w:rsidR="00B02A67" w:rsidRDefault="00B02A67" w:rsidP="00277935">
      <w:pPr>
        <w:jc w:val="both"/>
      </w:pPr>
    </w:p>
    <w:p w:rsidR="00277935" w:rsidRDefault="00277935" w:rsidP="00277935">
      <w:pPr>
        <w:pStyle w:val="Odstavekseznama"/>
        <w:ind w:left="757"/>
        <w:jc w:val="both"/>
      </w:pPr>
    </w:p>
    <w:p w:rsidR="00277935" w:rsidRDefault="00277935" w:rsidP="00277935">
      <w:pPr>
        <w:pStyle w:val="Odstavekseznama"/>
        <w:numPr>
          <w:ilvl w:val="0"/>
          <w:numId w:val="17"/>
        </w:numPr>
        <w:jc w:val="both"/>
        <w:rPr>
          <w:rStyle w:val="Intenzivenpoudarek"/>
        </w:rPr>
      </w:pPr>
      <w:r>
        <w:rPr>
          <w:rStyle w:val="Intenzivenpoudarek"/>
        </w:rPr>
        <w:t>IZRAČUN IZDATKOV ZA REPREZENTATIVNO GOSPODINJSTVO</w:t>
      </w:r>
    </w:p>
    <w:p w:rsidR="00277935" w:rsidRDefault="00277935" w:rsidP="00277935">
      <w:pPr>
        <w:jc w:val="both"/>
      </w:pPr>
      <w:r>
        <w:t>Gospodinjstvo, ki porabi 16 m</w:t>
      </w:r>
      <w:r>
        <w:rPr>
          <w:rFonts w:ascii="Futura Lt BT" w:hAnsi="Futura Lt BT"/>
        </w:rPr>
        <w:t>³</w:t>
      </w:r>
      <w:r>
        <w:t xml:space="preserve"> vode mesečno, bo po novem za storitve odvajanja in čiščenja plačevalo:</w:t>
      </w:r>
    </w:p>
    <w:p w:rsidR="00277935" w:rsidRDefault="00B61658" w:rsidP="00277935">
      <w:pPr>
        <w:jc w:val="both"/>
      </w:pPr>
      <w:r w:rsidRPr="00B61658">
        <w:rPr>
          <w:noProof/>
          <w:lang w:eastAsia="sl-SI"/>
        </w:rPr>
        <w:drawing>
          <wp:inline distT="0" distB="0" distL="0" distR="0">
            <wp:extent cx="5524500" cy="14859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1485900"/>
                    </a:xfrm>
                    <a:prstGeom prst="rect">
                      <a:avLst/>
                    </a:prstGeom>
                    <a:noFill/>
                    <a:ln>
                      <a:noFill/>
                    </a:ln>
                  </pic:spPr>
                </pic:pic>
              </a:graphicData>
            </a:graphic>
          </wp:inline>
        </w:drawing>
      </w:r>
    </w:p>
    <w:p w:rsidR="00277935" w:rsidRDefault="00277935" w:rsidP="00277935">
      <w:pPr>
        <w:jc w:val="both"/>
      </w:pPr>
    </w:p>
    <w:p w:rsidR="009110B8" w:rsidRDefault="00B61658" w:rsidP="00277935">
      <w:pPr>
        <w:jc w:val="both"/>
      </w:pPr>
      <w:r>
        <w:rPr>
          <w:noProof/>
          <w:lang w:eastAsia="sl-SI"/>
        </w:rPr>
        <w:drawing>
          <wp:inline distT="0" distB="0" distL="0" distR="0" wp14:anchorId="6DF077EE">
            <wp:extent cx="4889500" cy="3731260"/>
            <wp:effectExtent l="0" t="0" r="635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9500" cy="3731260"/>
                    </a:xfrm>
                    <a:prstGeom prst="rect">
                      <a:avLst/>
                    </a:prstGeom>
                    <a:noFill/>
                  </pic:spPr>
                </pic:pic>
              </a:graphicData>
            </a:graphic>
          </wp:inline>
        </w:drawing>
      </w:r>
    </w:p>
    <w:p w:rsidR="009110B8" w:rsidRDefault="009110B8" w:rsidP="00277935">
      <w:pPr>
        <w:jc w:val="both"/>
      </w:pPr>
    </w:p>
    <w:p w:rsidR="009110B8" w:rsidRDefault="00B61658" w:rsidP="00277935">
      <w:pPr>
        <w:jc w:val="both"/>
      </w:pPr>
      <w:r>
        <w:rPr>
          <w:noProof/>
          <w:lang w:eastAsia="sl-SI"/>
        </w:rPr>
        <w:drawing>
          <wp:inline distT="0" distB="0" distL="0" distR="0" wp14:anchorId="3C454720">
            <wp:extent cx="4877435" cy="396303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7435" cy="3963035"/>
                    </a:xfrm>
                    <a:prstGeom prst="rect">
                      <a:avLst/>
                    </a:prstGeom>
                    <a:noFill/>
                  </pic:spPr>
                </pic:pic>
              </a:graphicData>
            </a:graphic>
          </wp:inline>
        </w:drawing>
      </w:r>
    </w:p>
    <w:p w:rsidR="009110B8" w:rsidRDefault="009110B8" w:rsidP="00277935">
      <w:pPr>
        <w:jc w:val="both"/>
      </w:pPr>
    </w:p>
    <w:p w:rsidR="009110B8" w:rsidRDefault="009110B8" w:rsidP="00277935">
      <w:pPr>
        <w:jc w:val="both"/>
      </w:pPr>
    </w:p>
    <w:p w:rsidR="00277935" w:rsidRDefault="00277935" w:rsidP="00277935">
      <w:pPr>
        <w:jc w:val="both"/>
      </w:pPr>
      <w:r>
        <w:t>Račun, ki vsebuje vse postavke, ki so povezane z vodo, pa bo naslednji:</w:t>
      </w:r>
    </w:p>
    <w:p w:rsidR="00277935" w:rsidRDefault="00B61658" w:rsidP="00277935">
      <w:pPr>
        <w:jc w:val="both"/>
      </w:pPr>
      <w:r w:rsidRPr="00B61658">
        <w:rPr>
          <w:noProof/>
          <w:lang w:eastAsia="sl-SI"/>
        </w:rPr>
        <w:drawing>
          <wp:inline distT="0" distB="0" distL="0" distR="0">
            <wp:extent cx="5610225" cy="19431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0225" cy="1943100"/>
                    </a:xfrm>
                    <a:prstGeom prst="rect">
                      <a:avLst/>
                    </a:prstGeom>
                    <a:noFill/>
                    <a:ln>
                      <a:noFill/>
                    </a:ln>
                  </pic:spPr>
                </pic:pic>
              </a:graphicData>
            </a:graphic>
          </wp:inline>
        </w:drawing>
      </w:r>
    </w:p>
    <w:p w:rsidR="00277935" w:rsidRDefault="00277935" w:rsidP="00277935">
      <w:pPr>
        <w:jc w:val="both"/>
      </w:pPr>
    </w:p>
    <w:p w:rsidR="009110B8" w:rsidRDefault="009110B8" w:rsidP="00277935">
      <w:pPr>
        <w:jc w:val="both"/>
      </w:pPr>
    </w:p>
    <w:p w:rsidR="009110B8" w:rsidRDefault="009110B8" w:rsidP="00277935">
      <w:pPr>
        <w:jc w:val="both"/>
      </w:pPr>
    </w:p>
    <w:p w:rsidR="009110B8" w:rsidRDefault="009110B8" w:rsidP="00277935">
      <w:pPr>
        <w:jc w:val="both"/>
      </w:pPr>
    </w:p>
    <w:p w:rsidR="009110B8" w:rsidRDefault="009110B8" w:rsidP="00277935">
      <w:pPr>
        <w:jc w:val="both"/>
      </w:pPr>
    </w:p>
    <w:p w:rsidR="009110B8" w:rsidRDefault="009110B8" w:rsidP="00277935">
      <w:pPr>
        <w:jc w:val="both"/>
      </w:pPr>
    </w:p>
    <w:p w:rsidR="00277935" w:rsidRPr="005C527D" w:rsidRDefault="00277935" w:rsidP="00277935">
      <w:pPr>
        <w:pStyle w:val="Odstavekseznama"/>
        <w:numPr>
          <w:ilvl w:val="0"/>
          <w:numId w:val="17"/>
        </w:numPr>
        <w:jc w:val="both"/>
        <w:rPr>
          <w:rStyle w:val="Intenzivenpoudarek"/>
        </w:rPr>
      </w:pPr>
      <w:r w:rsidRPr="005C527D">
        <w:rPr>
          <w:rStyle w:val="Intenzivenpoudarek"/>
        </w:rPr>
        <w:t>PRIMERJAVA IZDATKOV Z DRUGIMI OBČINAMI</w:t>
      </w:r>
    </w:p>
    <w:p w:rsidR="00277935" w:rsidRDefault="00277935" w:rsidP="00277935">
      <w:pPr>
        <w:pStyle w:val="Brezrazmikov"/>
        <w:jc w:val="both"/>
        <w:rPr>
          <w:rStyle w:val="Intenzivenpoudarek"/>
          <w:b w:val="0"/>
          <w:bCs w:val="0"/>
          <w:i w:val="0"/>
          <w:iCs w:val="0"/>
        </w:rPr>
      </w:pPr>
    </w:p>
    <w:p w:rsidR="00036A90" w:rsidRDefault="00036A90" w:rsidP="00036A90">
      <w:pPr>
        <w:jc w:val="both"/>
      </w:pPr>
      <w:r>
        <w:t>V spodnji tabeli so prikazane cene in izdatki reprezentativnega gospodinjstva (16 m</w:t>
      </w:r>
      <w:r w:rsidRPr="00AD01DA">
        <w:rPr>
          <w:vertAlign w:val="superscript"/>
        </w:rPr>
        <w:t xml:space="preserve">3 </w:t>
      </w:r>
      <w:r>
        <w:t xml:space="preserve">vode mesečno in vodomer DN 20) v </w:t>
      </w:r>
      <w:r w:rsidR="005C527D">
        <w:t>sosednjih</w:t>
      </w:r>
      <w:r>
        <w:t xml:space="preserve"> občinah. </w:t>
      </w:r>
    </w:p>
    <w:p w:rsidR="00036A90" w:rsidRDefault="00B61658" w:rsidP="00036A90">
      <w:pPr>
        <w:pStyle w:val="Brezrazmikov"/>
        <w:jc w:val="both"/>
        <w:rPr>
          <w:rStyle w:val="Intenzivenpoudarek"/>
          <w:b w:val="0"/>
          <w:bCs w:val="0"/>
          <w:i w:val="0"/>
          <w:iCs w:val="0"/>
        </w:rPr>
      </w:pPr>
      <w:r w:rsidRPr="00B61658">
        <w:rPr>
          <w:rStyle w:val="Intenzivenpoudarek"/>
          <w:b w:val="0"/>
          <w:bCs w:val="0"/>
          <w:i w:val="0"/>
          <w:iCs w:val="0"/>
          <w:noProof/>
          <w:color w:val="auto"/>
          <w:lang w:eastAsia="sl-SI"/>
        </w:rPr>
        <w:drawing>
          <wp:inline distT="0" distB="0" distL="0" distR="0">
            <wp:extent cx="5760720" cy="168021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680210"/>
                    </a:xfrm>
                    <a:prstGeom prst="rect">
                      <a:avLst/>
                    </a:prstGeom>
                    <a:noFill/>
                    <a:ln>
                      <a:noFill/>
                    </a:ln>
                  </pic:spPr>
                </pic:pic>
              </a:graphicData>
            </a:graphic>
          </wp:inline>
        </w:drawing>
      </w:r>
    </w:p>
    <w:p w:rsidR="00036A90" w:rsidRDefault="00036A90" w:rsidP="00036A90">
      <w:pPr>
        <w:pStyle w:val="Brezrazmikov"/>
        <w:jc w:val="both"/>
        <w:rPr>
          <w:rStyle w:val="Intenzivenpoudarek"/>
          <w:b w:val="0"/>
          <w:bCs w:val="0"/>
          <w:i w:val="0"/>
          <w:iCs w:val="0"/>
        </w:rPr>
      </w:pPr>
    </w:p>
    <w:p w:rsidR="00036A90" w:rsidRDefault="00036A90" w:rsidP="00036A90">
      <w:pPr>
        <w:pStyle w:val="Brezrazmikov"/>
        <w:jc w:val="both"/>
        <w:rPr>
          <w:rStyle w:val="Intenzivenpoudarek"/>
          <w:b w:val="0"/>
          <w:bCs w:val="0"/>
          <w:i w:val="0"/>
          <w:iCs w:val="0"/>
        </w:rPr>
      </w:pPr>
    </w:p>
    <w:p w:rsidR="00036A90" w:rsidRDefault="00036A90" w:rsidP="00036A90">
      <w:pPr>
        <w:pStyle w:val="Brezrazmikov"/>
        <w:jc w:val="both"/>
        <w:rPr>
          <w:rStyle w:val="Intenzivenpoudarek"/>
          <w:b w:val="0"/>
          <w:bCs w:val="0"/>
          <w:i w:val="0"/>
          <w:iCs w:val="0"/>
        </w:rPr>
      </w:pPr>
    </w:p>
    <w:p w:rsidR="00036A90" w:rsidRDefault="00036A90" w:rsidP="00036A90">
      <w:pPr>
        <w:jc w:val="both"/>
      </w:pPr>
      <w:r w:rsidRPr="00992FF0">
        <w:t>Cene in izdatki v občinah, kjer storitvi izvaja Komunala Kranj</w:t>
      </w:r>
      <w:r w:rsidR="009F5179">
        <w:t>,</w:t>
      </w:r>
      <w:r w:rsidRPr="00992FF0">
        <w:t xml:space="preserve"> pa </w:t>
      </w:r>
      <w:r>
        <w:t>so trenutno</w:t>
      </w:r>
      <w:r w:rsidRPr="00992FF0">
        <w:t>:</w:t>
      </w:r>
    </w:p>
    <w:p w:rsidR="00036A90" w:rsidRPr="00992FF0" w:rsidRDefault="00036A90" w:rsidP="00036A90">
      <w:pPr>
        <w:jc w:val="both"/>
      </w:pPr>
      <w:r w:rsidRPr="00BD1CB9">
        <w:rPr>
          <w:noProof/>
          <w:lang w:eastAsia="sl-SI"/>
        </w:rPr>
        <w:drawing>
          <wp:inline distT="0" distB="0" distL="0" distR="0" wp14:anchorId="4531AC3C" wp14:editId="1DA95F2D">
            <wp:extent cx="5760720" cy="1779173"/>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779173"/>
                    </a:xfrm>
                    <a:prstGeom prst="rect">
                      <a:avLst/>
                    </a:prstGeom>
                    <a:noFill/>
                    <a:ln>
                      <a:noFill/>
                    </a:ln>
                  </pic:spPr>
                </pic:pic>
              </a:graphicData>
            </a:graphic>
          </wp:inline>
        </w:drawing>
      </w:r>
    </w:p>
    <w:p w:rsidR="00036A90" w:rsidRDefault="00036A90" w:rsidP="00036A90">
      <w:pPr>
        <w:jc w:val="both"/>
      </w:pPr>
    </w:p>
    <w:p w:rsidR="009748F7" w:rsidRDefault="009748F7" w:rsidP="00036A90">
      <w:pPr>
        <w:jc w:val="both"/>
      </w:pPr>
      <w:r>
        <w:t xml:space="preserve">V primeru, da bi se občine Šenčur, Naklo in Kranj dogovorile za enotni ceni storitve in omrežnine odvajanja, bi bili izdatki naslednji: </w:t>
      </w:r>
    </w:p>
    <w:p w:rsidR="00277935" w:rsidRDefault="009748F7" w:rsidP="00277935">
      <w:pPr>
        <w:jc w:val="both"/>
      </w:pPr>
      <w:r w:rsidRPr="009748F7">
        <w:rPr>
          <w:noProof/>
          <w:lang w:eastAsia="sl-SI"/>
        </w:rPr>
        <w:drawing>
          <wp:inline distT="0" distB="0" distL="0" distR="0">
            <wp:extent cx="2305050" cy="173355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sectPr w:rsidR="00277935" w:rsidSect="00CA4A4A">
      <w:footerReference w:type="default" r:id="rId25"/>
      <w:head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58" w:rsidRDefault="001C0558" w:rsidP="00CA4A4A">
      <w:pPr>
        <w:spacing w:after="0" w:line="240" w:lineRule="auto"/>
      </w:pPr>
      <w:r>
        <w:separator/>
      </w:r>
    </w:p>
  </w:endnote>
  <w:endnote w:type="continuationSeparator" w:id="0">
    <w:p w:rsidR="001C0558" w:rsidRDefault="001C0558" w:rsidP="00CA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utura Lt BT">
    <w:altName w:val="Century Gothic"/>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7923"/>
      <w:docPartObj>
        <w:docPartGallery w:val="Page Numbers (Bottom of Page)"/>
        <w:docPartUnique/>
      </w:docPartObj>
    </w:sdtPr>
    <w:sdtEndPr/>
    <w:sdtContent>
      <w:p w:rsidR="00FE715A" w:rsidRDefault="00C55492">
        <w:pPr>
          <w:pStyle w:val="Noga"/>
          <w:jc w:val="center"/>
        </w:pPr>
        <w:r>
          <w:fldChar w:fldCharType="begin"/>
        </w:r>
        <w:r w:rsidR="003E486F">
          <w:instrText xml:space="preserve"> PAGE   \* MERGEFORMAT </w:instrText>
        </w:r>
        <w:r>
          <w:fldChar w:fldCharType="separate"/>
        </w:r>
        <w:r w:rsidR="00A45CFD">
          <w:rPr>
            <w:noProof/>
          </w:rPr>
          <w:t>2</w:t>
        </w:r>
        <w:r>
          <w:rPr>
            <w:noProof/>
          </w:rPr>
          <w:fldChar w:fldCharType="end"/>
        </w:r>
      </w:p>
    </w:sdtContent>
  </w:sdt>
  <w:p w:rsidR="00FE715A" w:rsidRDefault="00FE715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58" w:rsidRDefault="001C0558" w:rsidP="00CA4A4A">
      <w:pPr>
        <w:spacing w:after="0" w:line="240" w:lineRule="auto"/>
      </w:pPr>
      <w:r>
        <w:separator/>
      </w:r>
    </w:p>
  </w:footnote>
  <w:footnote w:type="continuationSeparator" w:id="0">
    <w:p w:rsidR="001C0558" w:rsidRDefault="001C0558" w:rsidP="00CA4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A" w:rsidRDefault="00FE715A">
    <w:pPr>
      <w:pStyle w:val="Glava"/>
    </w:pPr>
    <w:r>
      <w:rPr>
        <w:noProof/>
        <w:lang w:eastAsia="sl-SI"/>
      </w:rPr>
      <w:drawing>
        <wp:anchor distT="0" distB="0" distL="114300" distR="114300" simplePos="0" relativeHeight="251658240" behindDoc="1" locked="0" layoutInCell="1" allowOverlap="1">
          <wp:simplePos x="0" y="0"/>
          <wp:positionH relativeFrom="column">
            <wp:posOffset>-770085</wp:posOffset>
          </wp:positionH>
          <wp:positionV relativeFrom="paragraph">
            <wp:posOffset>-425710</wp:posOffset>
          </wp:positionV>
          <wp:extent cx="6693191" cy="1252204"/>
          <wp:effectExtent l="19050" t="0" r="0" b="0"/>
          <wp:wrapNone/>
          <wp:docPr id="2" name="Slika 6" descr="KOMUNALA DOP 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KOMUNALA DOP ZG.jpg"/>
                  <pic:cNvPicPr>
                    <a:picLocks noChangeAspect="1" noChangeArrowheads="1"/>
                  </pic:cNvPicPr>
                </pic:nvPicPr>
                <pic:blipFill>
                  <a:blip r:embed="rId1"/>
                  <a:srcRect t="8791" r="3917"/>
                  <a:stretch>
                    <a:fillRect/>
                  </a:stretch>
                </pic:blipFill>
                <pic:spPr bwMode="auto">
                  <a:xfrm>
                    <a:off x="0" y="0"/>
                    <a:ext cx="6693191" cy="12522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579"/>
    <w:multiLevelType w:val="hybridMultilevel"/>
    <w:tmpl w:val="5A3E80F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EC4E47"/>
    <w:multiLevelType w:val="hybridMultilevel"/>
    <w:tmpl w:val="6C406ED8"/>
    <w:lvl w:ilvl="0" w:tplc="AA481E4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60BA1"/>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484DF8"/>
    <w:multiLevelType w:val="hybridMultilevel"/>
    <w:tmpl w:val="9880F996"/>
    <w:lvl w:ilvl="0" w:tplc="5F103D86">
      <w:start w:val="4"/>
      <w:numFmt w:val="bullet"/>
      <w:lvlText w:val="-"/>
      <w:lvlJc w:val="left"/>
      <w:pPr>
        <w:ind w:left="720" w:hanging="360"/>
      </w:pPr>
      <w:rPr>
        <w:rFonts w:ascii="Calibri" w:eastAsiaTheme="minorHAnsi" w:hAnsi="Calibri" w:cstheme="minorBidi"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FC4368"/>
    <w:multiLevelType w:val="hybridMultilevel"/>
    <w:tmpl w:val="F6C22ECE"/>
    <w:lvl w:ilvl="0" w:tplc="AA481E4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4E266E"/>
    <w:multiLevelType w:val="hybridMultilevel"/>
    <w:tmpl w:val="0EBC9BC6"/>
    <w:lvl w:ilvl="0" w:tplc="AA481E40">
      <w:start w:val="1"/>
      <w:numFmt w:val="bullet"/>
      <w:lvlText w:val="-"/>
      <w:lvlJc w:val="left"/>
      <w:pPr>
        <w:ind w:left="757" w:hanging="360"/>
      </w:pPr>
      <w:rPr>
        <w:rFonts w:ascii="Calibri" w:eastAsiaTheme="minorHAnsi" w:hAnsi="Calibri" w:cstheme="minorBidi"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6" w15:restartNumberingAfterBreak="0">
    <w:nsid w:val="34CD6AD5"/>
    <w:multiLevelType w:val="hybridMultilevel"/>
    <w:tmpl w:val="D26AB4A0"/>
    <w:lvl w:ilvl="0" w:tplc="AA481E4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1856DE"/>
    <w:multiLevelType w:val="multilevel"/>
    <w:tmpl w:val="7BF0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80207"/>
    <w:multiLevelType w:val="hybridMultilevel"/>
    <w:tmpl w:val="C5C23B66"/>
    <w:lvl w:ilvl="0" w:tplc="AA481E4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C83E19"/>
    <w:multiLevelType w:val="hybridMultilevel"/>
    <w:tmpl w:val="33C0D636"/>
    <w:lvl w:ilvl="0" w:tplc="2B90AF30">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756870"/>
    <w:multiLevelType w:val="hybridMultilevel"/>
    <w:tmpl w:val="F0DCC91E"/>
    <w:lvl w:ilvl="0" w:tplc="9B1025D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7B22EC"/>
    <w:multiLevelType w:val="hybridMultilevel"/>
    <w:tmpl w:val="67106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5565DF0"/>
    <w:multiLevelType w:val="hybridMultilevel"/>
    <w:tmpl w:val="9EFA4D46"/>
    <w:lvl w:ilvl="0" w:tplc="4A5049C0">
      <w:numFmt w:val="bullet"/>
      <w:lvlText w:val="-"/>
      <w:lvlJc w:val="left"/>
      <w:pPr>
        <w:ind w:left="390" w:hanging="360"/>
      </w:pPr>
      <w:rPr>
        <w:rFonts w:ascii="Calibri" w:eastAsiaTheme="minorHAnsi" w:hAnsi="Calibri" w:cstheme="minorBidi"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13" w15:restartNumberingAfterBreak="0">
    <w:nsid w:val="65A83BA6"/>
    <w:multiLevelType w:val="hybridMultilevel"/>
    <w:tmpl w:val="AF028700"/>
    <w:lvl w:ilvl="0" w:tplc="A878912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402F4C"/>
    <w:multiLevelType w:val="hybridMultilevel"/>
    <w:tmpl w:val="81A627AA"/>
    <w:lvl w:ilvl="0" w:tplc="1856FBD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BBD57EC"/>
    <w:multiLevelType w:val="multilevel"/>
    <w:tmpl w:val="E04EB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3"/>
  </w:num>
  <w:num w:numId="4">
    <w:abstractNumId w:val="9"/>
  </w:num>
  <w:num w:numId="5">
    <w:abstractNumId w:val="11"/>
  </w:num>
  <w:num w:numId="6">
    <w:abstractNumId w:val="15"/>
  </w:num>
  <w:num w:numId="7">
    <w:abstractNumId w:val="6"/>
  </w:num>
  <w:num w:numId="8">
    <w:abstractNumId w:val="8"/>
  </w:num>
  <w:num w:numId="9">
    <w:abstractNumId w:val="5"/>
  </w:num>
  <w:num w:numId="10">
    <w:abstractNumId w:val="4"/>
  </w:num>
  <w:num w:numId="11">
    <w:abstractNumId w:val="1"/>
  </w:num>
  <w:num w:numId="12">
    <w:abstractNumId w:val="10"/>
  </w:num>
  <w:num w:numId="13">
    <w:abstractNumId w:val="13"/>
  </w:num>
  <w:num w:numId="14">
    <w:abstractNumId w:val="14"/>
  </w:num>
  <w:num w:numId="15">
    <w:abstractNumId w:val="12"/>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A7"/>
    <w:rsid w:val="00003D64"/>
    <w:rsid w:val="00006741"/>
    <w:rsid w:val="00010610"/>
    <w:rsid w:val="00036A90"/>
    <w:rsid w:val="00044F35"/>
    <w:rsid w:val="00044FC0"/>
    <w:rsid w:val="000468AA"/>
    <w:rsid w:val="00050B3B"/>
    <w:rsid w:val="00055214"/>
    <w:rsid w:val="00060703"/>
    <w:rsid w:val="00064102"/>
    <w:rsid w:val="000648C6"/>
    <w:rsid w:val="00066041"/>
    <w:rsid w:val="0008477A"/>
    <w:rsid w:val="000B254F"/>
    <w:rsid w:val="000B2ED4"/>
    <w:rsid w:val="000B5B6F"/>
    <w:rsid w:val="000B649D"/>
    <w:rsid w:val="000C23B9"/>
    <w:rsid w:val="000D2579"/>
    <w:rsid w:val="000E4711"/>
    <w:rsid w:val="00102BEC"/>
    <w:rsid w:val="00102F98"/>
    <w:rsid w:val="00114413"/>
    <w:rsid w:val="001275AC"/>
    <w:rsid w:val="0013288B"/>
    <w:rsid w:val="001426B2"/>
    <w:rsid w:val="0016365C"/>
    <w:rsid w:val="00171C04"/>
    <w:rsid w:val="00175F07"/>
    <w:rsid w:val="0018050C"/>
    <w:rsid w:val="0018088E"/>
    <w:rsid w:val="00180F8D"/>
    <w:rsid w:val="0018215F"/>
    <w:rsid w:val="00195D7C"/>
    <w:rsid w:val="001A1B05"/>
    <w:rsid w:val="001A21FA"/>
    <w:rsid w:val="001A764F"/>
    <w:rsid w:val="001B094E"/>
    <w:rsid w:val="001C0558"/>
    <w:rsid w:val="001C203F"/>
    <w:rsid w:val="001F6488"/>
    <w:rsid w:val="0021799A"/>
    <w:rsid w:val="00221B22"/>
    <w:rsid w:val="00221BC0"/>
    <w:rsid w:val="00276393"/>
    <w:rsid w:val="00277935"/>
    <w:rsid w:val="002806C3"/>
    <w:rsid w:val="0028232F"/>
    <w:rsid w:val="002A3958"/>
    <w:rsid w:val="002A60ED"/>
    <w:rsid w:val="002A7740"/>
    <w:rsid w:val="002B1C58"/>
    <w:rsid w:val="002B373D"/>
    <w:rsid w:val="002B6D2E"/>
    <w:rsid w:val="002B78E9"/>
    <w:rsid w:val="002C3984"/>
    <w:rsid w:val="002D0055"/>
    <w:rsid w:val="002E130E"/>
    <w:rsid w:val="002E1674"/>
    <w:rsid w:val="002E218D"/>
    <w:rsid w:val="002E52FC"/>
    <w:rsid w:val="003036C9"/>
    <w:rsid w:val="00317B97"/>
    <w:rsid w:val="00331D1B"/>
    <w:rsid w:val="00337D1E"/>
    <w:rsid w:val="00344EB4"/>
    <w:rsid w:val="003471CC"/>
    <w:rsid w:val="0035044D"/>
    <w:rsid w:val="0036236C"/>
    <w:rsid w:val="00363328"/>
    <w:rsid w:val="00367E77"/>
    <w:rsid w:val="00370BF0"/>
    <w:rsid w:val="00387236"/>
    <w:rsid w:val="00396639"/>
    <w:rsid w:val="003A1436"/>
    <w:rsid w:val="003A7393"/>
    <w:rsid w:val="003B1E37"/>
    <w:rsid w:val="003B772D"/>
    <w:rsid w:val="003C54CA"/>
    <w:rsid w:val="003C68A8"/>
    <w:rsid w:val="003D0A8D"/>
    <w:rsid w:val="003D4CF2"/>
    <w:rsid w:val="003E486F"/>
    <w:rsid w:val="003F06CC"/>
    <w:rsid w:val="0040186A"/>
    <w:rsid w:val="0041343E"/>
    <w:rsid w:val="004223BE"/>
    <w:rsid w:val="0042431A"/>
    <w:rsid w:val="00436440"/>
    <w:rsid w:val="00441523"/>
    <w:rsid w:val="00454E8E"/>
    <w:rsid w:val="00463F18"/>
    <w:rsid w:val="00474200"/>
    <w:rsid w:val="00475C53"/>
    <w:rsid w:val="004769B2"/>
    <w:rsid w:val="004804BC"/>
    <w:rsid w:val="004851FE"/>
    <w:rsid w:val="004A29C1"/>
    <w:rsid w:val="004A3E3C"/>
    <w:rsid w:val="004C0908"/>
    <w:rsid w:val="004C1A2D"/>
    <w:rsid w:val="004C4A2C"/>
    <w:rsid w:val="004C5D88"/>
    <w:rsid w:val="004E0E74"/>
    <w:rsid w:val="004E16AF"/>
    <w:rsid w:val="004F32DD"/>
    <w:rsid w:val="004F37DB"/>
    <w:rsid w:val="0050469E"/>
    <w:rsid w:val="0050667F"/>
    <w:rsid w:val="005072A2"/>
    <w:rsid w:val="00533B6A"/>
    <w:rsid w:val="005433F0"/>
    <w:rsid w:val="005675BA"/>
    <w:rsid w:val="00570E00"/>
    <w:rsid w:val="00585F70"/>
    <w:rsid w:val="00586601"/>
    <w:rsid w:val="0058730A"/>
    <w:rsid w:val="00596B3B"/>
    <w:rsid w:val="005A73B2"/>
    <w:rsid w:val="005B24C2"/>
    <w:rsid w:val="005B30C2"/>
    <w:rsid w:val="005C24A8"/>
    <w:rsid w:val="005C527D"/>
    <w:rsid w:val="005C7D38"/>
    <w:rsid w:val="005D3360"/>
    <w:rsid w:val="005E434F"/>
    <w:rsid w:val="0060121E"/>
    <w:rsid w:val="00603615"/>
    <w:rsid w:val="00607F1E"/>
    <w:rsid w:val="006252B7"/>
    <w:rsid w:val="00636916"/>
    <w:rsid w:val="0063796E"/>
    <w:rsid w:val="00645EEA"/>
    <w:rsid w:val="00650ABB"/>
    <w:rsid w:val="0065227E"/>
    <w:rsid w:val="0066152C"/>
    <w:rsid w:val="006627C5"/>
    <w:rsid w:val="00681684"/>
    <w:rsid w:val="00687DD4"/>
    <w:rsid w:val="006A010A"/>
    <w:rsid w:val="006C012F"/>
    <w:rsid w:val="006C66E1"/>
    <w:rsid w:val="006F1B80"/>
    <w:rsid w:val="006F6E52"/>
    <w:rsid w:val="0070720B"/>
    <w:rsid w:val="00724A11"/>
    <w:rsid w:val="007319E8"/>
    <w:rsid w:val="00733829"/>
    <w:rsid w:val="00742992"/>
    <w:rsid w:val="00742B7A"/>
    <w:rsid w:val="00753C2F"/>
    <w:rsid w:val="00754974"/>
    <w:rsid w:val="0076771D"/>
    <w:rsid w:val="0078712A"/>
    <w:rsid w:val="00790C1F"/>
    <w:rsid w:val="00792C37"/>
    <w:rsid w:val="007A500D"/>
    <w:rsid w:val="007A7C7A"/>
    <w:rsid w:val="007B017A"/>
    <w:rsid w:val="007B09C7"/>
    <w:rsid w:val="007D6515"/>
    <w:rsid w:val="007E019A"/>
    <w:rsid w:val="007E7B9E"/>
    <w:rsid w:val="007F29E0"/>
    <w:rsid w:val="008005F7"/>
    <w:rsid w:val="008136B0"/>
    <w:rsid w:val="0081579B"/>
    <w:rsid w:val="008157C2"/>
    <w:rsid w:val="00816662"/>
    <w:rsid w:val="0082448F"/>
    <w:rsid w:val="008510D7"/>
    <w:rsid w:val="00853A32"/>
    <w:rsid w:val="00854A29"/>
    <w:rsid w:val="008701C5"/>
    <w:rsid w:val="008706D0"/>
    <w:rsid w:val="0087350D"/>
    <w:rsid w:val="008919D3"/>
    <w:rsid w:val="00895479"/>
    <w:rsid w:val="008A0378"/>
    <w:rsid w:val="008A38C9"/>
    <w:rsid w:val="008A39A9"/>
    <w:rsid w:val="008A636A"/>
    <w:rsid w:val="008B7888"/>
    <w:rsid w:val="008C1BC9"/>
    <w:rsid w:val="008D123E"/>
    <w:rsid w:val="008E3CFF"/>
    <w:rsid w:val="008F3422"/>
    <w:rsid w:val="009033CA"/>
    <w:rsid w:val="00904EDA"/>
    <w:rsid w:val="009110B8"/>
    <w:rsid w:val="00920F91"/>
    <w:rsid w:val="00930DEE"/>
    <w:rsid w:val="009355F2"/>
    <w:rsid w:val="00937203"/>
    <w:rsid w:val="00937E57"/>
    <w:rsid w:val="009412F5"/>
    <w:rsid w:val="009549D8"/>
    <w:rsid w:val="00954A26"/>
    <w:rsid w:val="009552C3"/>
    <w:rsid w:val="00966F64"/>
    <w:rsid w:val="00971EB8"/>
    <w:rsid w:val="00973AF8"/>
    <w:rsid w:val="0097404D"/>
    <w:rsid w:val="009748F7"/>
    <w:rsid w:val="00985FC9"/>
    <w:rsid w:val="009964B1"/>
    <w:rsid w:val="009A16FF"/>
    <w:rsid w:val="009A5A63"/>
    <w:rsid w:val="009B6EB8"/>
    <w:rsid w:val="009E0E0F"/>
    <w:rsid w:val="009E58C2"/>
    <w:rsid w:val="009F5179"/>
    <w:rsid w:val="00A0161E"/>
    <w:rsid w:val="00A12AC0"/>
    <w:rsid w:val="00A2449D"/>
    <w:rsid w:val="00A43E66"/>
    <w:rsid w:val="00A45CFD"/>
    <w:rsid w:val="00A46DAC"/>
    <w:rsid w:val="00A47516"/>
    <w:rsid w:val="00A531FC"/>
    <w:rsid w:val="00A5783F"/>
    <w:rsid w:val="00A60913"/>
    <w:rsid w:val="00A6368F"/>
    <w:rsid w:val="00A64B17"/>
    <w:rsid w:val="00A70F1F"/>
    <w:rsid w:val="00A77C98"/>
    <w:rsid w:val="00A8544F"/>
    <w:rsid w:val="00A85501"/>
    <w:rsid w:val="00A90B52"/>
    <w:rsid w:val="00AB47D2"/>
    <w:rsid w:val="00AC0F80"/>
    <w:rsid w:val="00AC751F"/>
    <w:rsid w:val="00AD01DA"/>
    <w:rsid w:val="00AE130C"/>
    <w:rsid w:val="00AE4A70"/>
    <w:rsid w:val="00AE52B6"/>
    <w:rsid w:val="00AE735F"/>
    <w:rsid w:val="00B02A67"/>
    <w:rsid w:val="00B04AC5"/>
    <w:rsid w:val="00B10B11"/>
    <w:rsid w:val="00B12677"/>
    <w:rsid w:val="00B217F0"/>
    <w:rsid w:val="00B24E16"/>
    <w:rsid w:val="00B25E1E"/>
    <w:rsid w:val="00B30CEB"/>
    <w:rsid w:val="00B31683"/>
    <w:rsid w:val="00B33F9E"/>
    <w:rsid w:val="00B372B0"/>
    <w:rsid w:val="00B44687"/>
    <w:rsid w:val="00B454C4"/>
    <w:rsid w:val="00B504E8"/>
    <w:rsid w:val="00B516F6"/>
    <w:rsid w:val="00B556E0"/>
    <w:rsid w:val="00B61658"/>
    <w:rsid w:val="00B62527"/>
    <w:rsid w:val="00B63C52"/>
    <w:rsid w:val="00B65099"/>
    <w:rsid w:val="00B67990"/>
    <w:rsid w:val="00B81BE2"/>
    <w:rsid w:val="00B844D1"/>
    <w:rsid w:val="00B86CB9"/>
    <w:rsid w:val="00B87750"/>
    <w:rsid w:val="00B93FFE"/>
    <w:rsid w:val="00BA5E8C"/>
    <w:rsid w:val="00BD1D5F"/>
    <w:rsid w:val="00BD64E1"/>
    <w:rsid w:val="00BE219C"/>
    <w:rsid w:val="00BF4206"/>
    <w:rsid w:val="00BF7D8D"/>
    <w:rsid w:val="00C0179C"/>
    <w:rsid w:val="00C05C7C"/>
    <w:rsid w:val="00C07D4E"/>
    <w:rsid w:val="00C10E66"/>
    <w:rsid w:val="00C13ACF"/>
    <w:rsid w:val="00C20FF2"/>
    <w:rsid w:val="00C21A1C"/>
    <w:rsid w:val="00C26515"/>
    <w:rsid w:val="00C27E36"/>
    <w:rsid w:val="00C3086E"/>
    <w:rsid w:val="00C319F3"/>
    <w:rsid w:val="00C33AC4"/>
    <w:rsid w:val="00C348CF"/>
    <w:rsid w:val="00C5024C"/>
    <w:rsid w:val="00C523F5"/>
    <w:rsid w:val="00C55492"/>
    <w:rsid w:val="00C61B37"/>
    <w:rsid w:val="00C632F1"/>
    <w:rsid w:val="00C636A7"/>
    <w:rsid w:val="00C6749C"/>
    <w:rsid w:val="00C756B5"/>
    <w:rsid w:val="00C862D0"/>
    <w:rsid w:val="00C912CB"/>
    <w:rsid w:val="00CA4A4A"/>
    <w:rsid w:val="00CA6081"/>
    <w:rsid w:val="00CB00F5"/>
    <w:rsid w:val="00CB1C5D"/>
    <w:rsid w:val="00CB55BA"/>
    <w:rsid w:val="00CB6FEB"/>
    <w:rsid w:val="00CC5C93"/>
    <w:rsid w:val="00CC61D2"/>
    <w:rsid w:val="00CC7A56"/>
    <w:rsid w:val="00CE2C0F"/>
    <w:rsid w:val="00CF1611"/>
    <w:rsid w:val="00CF1BA7"/>
    <w:rsid w:val="00CF227C"/>
    <w:rsid w:val="00D06702"/>
    <w:rsid w:val="00D10E6C"/>
    <w:rsid w:val="00D1762E"/>
    <w:rsid w:val="00D2099F"/>
    <w:rsid w:val="00D307C2"/>
    <w:rsid w:val="00D40628"/>
    <w:rsid w:val="00D468B3"/>
    <w:rsid w:val="00D5063D"/>
    <w:rsid w:val="00D527EC"/>
    <w:rsid w:val="00D52B46"/>
    <w:rsid w:val="00D52DDC"/>
    <w:rsid w:val="00D6541E"/>
    <w:rsid w:val="00D6717E"/>
    <w:rsid w:val="00D80CBB"/>
    <w:rsid w:val="00D8790D"/>
    <w:rsid w:val="00DA4C15"/>
    <w:rsid w:val="00DA54F5"/>
    <w:rsid w:val="00DB4058"/>
    <w:rsid w:val="00DC362D"/>
    <w:rsid w:val="00DC6175"/>
    <w:rsid w:val="00DE3BA1"/>
    <w:rsid w:val="00DE5940"/>
    <w:rsid w:val="00DF113E"/>
    <w:rsid w:val="00DF40E2"/>
    <w:rsid w:val="00E20CE6"/>
    <w:rsid w:val="00E2776B"/>
    <w:rsid w:val="00E321BF"/>
    <w:rsid w:val="00E33202"/>
    <w:rsid w:val="00E3375A"/>
    <w:rsid w:val="00E573EC"/>
    <w:rsid w:val="00E83A7C"/>
    <w:rsid w:val="00E87623"/>
    <w:rsid w:val="00EA3B6D"/>
    <w:rsid w:val="00EB5D0A"/>
    <w:rsid w:val="00EB786A"/>
    <w:rsid w:val="00EC2A51"/>
    <w:rsid w:val="00EC4170"/>
    <w:rsid w:val="00ED2D0E"/>
    <w:rsid w:val="00EE0FE9"/>
    <w:rsid w:val="00EE3590"/>
    <w:rsid w:val="00F07799"/>
    <w:rsid w:val="00F1159F"/>
    <w:rsid w:val="00F207CD"/>
    <w:rsid w:val="00F27DB4"/>
    <w:rsid w:val="00F30ACE"/>
    <w:rsid w:val="00F3756D"/>
    <w:rsid w:val="00F6037D"/>
    <w:rsid w:val="00F65DD4"/>
    <w:rsid w:val="00F91F83"/>
    <w:rsid w:val="00FA0619"/>
    <w:rsid w:val="00FB38B3"/>
    <w:rsid w:val="00FB6B24"/>
    <w:rsid w:val="00FC7EF5"/>
    <w:rsid w:val="00FD4AC8"/>
    <w:rsid w:val="00FE3063"/>
    <w:rsid w:val="00FE4984"/>
    <w:rsid w:val="00FE5DC6"/>
    <w:rsid w:val="00FE6C03"/>
    <w:rsid w:val="00FE715A"/>
    <w:rsid w:val="00FF2B8F"/>
    <w:rsid w:val="00FF3240"/>
    <w:rsid w:val="00FF71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4E07B9-F380-463B-AFF9-A9A57A80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72A2"/>
  </w:style>
  <w:style w:type="paragraph" w:styleId="Naslov1">
    <w:name w:val="heading 1"/>
    <w:basedOn w:val="Navaden"/>
    <w:next w:val="Navaden"/>
    <w:link w:val="Naslov1Znak"/>
    <w:uiPriority w:val="9"/>
    <w:qFormat/>
    <w:rsid w:val="00C63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636A7"/>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C636A7"/>
    <w:pPr>
      <w:ind w:left="720"/>
      <w:contextualSpacing/>
    </w:pPr>
  </w:style>
  <w:style w:type="paragraph" w:styleId="Glava">
    <w:name w:val="header"/>
    <w:basedOn w:val="Navaden"/>
    <w:link w:val="GlavaZnak"/>
    <w:uiPriority w:val="99"/>
    <w:semiHidden/>
    <w:unhideWhenUsed/>
    <w:rsid w:val="00CA4A4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A4A4A"/>
  </w:style>
  <w:style w:type="paragraph" w:styleId="Noga">
    <w:name w:val="footer"/>
    <w:basedOn w:val="Navaden"/>
    <w:link w:val="NogaZnak"/>
    <w:uiPriority w:val="99"/>
    <w:unhideWhenUsed/>
    <w:rsid w:val="00CA4A4A"/>
    <w:pPr>
      <w:tabs>
        <w:tab w:val="center" w:pos="4536"/>
        <w:tab w:val="right" w:pos="9072"/>
      </w:tabs>
      <w:spacing w:after="0" w:line="240" w:lineRule="auto"/>
    </w:pPr>
  </w:style>
  <w:style w:type="character" w:customStyle="1" w:styleId="NogaZnak">
    <w:name w:val="Noga Znak"/>
    <w:basedOn w:val="Privzetapisavaodstavka"/>
    <w:link w:val="Noga"/>
    <w:uiPriority w:val="99"/>
    <w:rsid w:val="00CA4A4A"/>
  </w:style>
  <w:style w:type="paragraph" w:styleId="Besedilooblaka">
    <w:name w:val="Balloon Text"/>
    <w:basedOn w:val="Navaden"/>
    <w:link w:val="BesedilooblakaZnak"/>
    <w:uiPriority w:val="99"/>
    <w:semiHidden/>
    <w:unhideWhenUsed/>
    <w:rsid w:val="009412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412F5"/>
    <w:rPr>
      <w:rFonts w:ascii="Tahoma" w:hAnsi="Tahoma" w:cs="Tahoma"/>
      <w:sz w:val="16"/>
      <w:szCs w:val="16"/>
    </w:rPr>
  </w:style>
  <w:style w:type="paragraph" w:styleId="Brezrazmikov">
    <w:name w:val="No Spacing"/>
    <w:uiPriority w:val="1"/>
    <w:qFormat/>
    <w:rsid w:val="00A6368F"/>
    <w:pPr>
      <w:spacing w:after="0" w:line="240" w:lineRule="auto"/>
    </w:pPr>
  </w:style>
  <w:style w:type="character" w:styleId="Neenpoudarek">
    <w:name w:val="Subtle Emphasis"/>
    <w:basedOn w:val="Privzetapisavaodstavka"/>
    <w:uiPriority w:val="19"/>
    <w:qFormat/>
    <w:rsid w:val="00C13ACF"/>
    <w:rPr>
      <w:i/>
      <w:iCs/>
      <w:color w:val="808080" w:themeColor="text1" w:themeTint="7F"/>
    </w:rPr>
  </w:style>
  <w:style w:type="character" w:styleId="Intenzivenpoudarek">
    <w:name w:val="Intense Emphasis"/>
    <w:basedOn w:val="Privzetapisavaodstavka"/>
    <w:uiPriority w:val="21"/>
    <w:qFormat/>
    <w:rsid w:val="00E2776B"/>
    <w:rPr>
      <w:b/>
      <w:bCs/>
      <w:i/>
      <w:iCs/>
      <w:color w:val="4F81BD" w:themeColor="accent1"/>
    </w:rPr>
  </w:style>
  <w:style w:type="character" w:styleId="Hiperpovezava">
    <w:name w:val="Hyperlink"/>
    <w:basedOn w:val="Privzetapisavaodstavka"/>
    <w:uiPriority w:val="99"/>
    <w:unhideWhenUsed/>
    <w:rsid w:val="00A77C98"/>
    <w:rPr>
      <w:color w:val="2273A3"/>
      <w:u w:val="single"/>
    </w:rPr>
  </w:style>
  <w:style w:type="character" w:customStyle="1" w:styleId="ListParagraphChar">
    <w:name w:val="List Paragraph Char"/>
    <w:aliases w:val="za tekst Char"/>
    <w:link w:val="ListParagraph1"/>
    <w:uiPriority w:val="34"/>
    <w:locked/>
    <w:rsid w:val="00D468B3"/>
    <w:rPr>
      <w:rFonts w:ascii="Calibri" w:eastAsia="Times New Roman" w:hAnsi="Calibri" w:cs="Times New Roman"/>
    </w:rPr>
  </w:style>
  <w:style w:type="paragraph" w:customStyle="1" w:styleId="ListParagraph1">
    <w:name w:val="List Paragraph1"/>
    <w:aliases w:val="za tekst,List Paragraph2"/>
    <w:basedOn w:val="Navaden"/>
    <w:link w:val="ListParagraphChar"/>
    <w:uiPriority w:val="34"/>
    <w:qFormat/>
    <w:rsid w:val="00D468B3"/>
    <w:pPr>
      <w:tabs>
        <w:tab w:val="left" w:pos="709"/>
        <w:tab w:val="left" w:pos="3175"/>
        <w:tab w:val="left" w:pos="4026"/>
        <w:tab w:val="left" w:pos="4876"/>
        <w:tab w:val="left" w:pos="5727"/>
        <w:tab w:val="left" w:pos="6577"/>
        <w:tab w:val="left" w:pos="7428"/>
        <w:tab w:val="left" w:pos="8278"/>
      </w:tabs>
      <w:spacing w:after="0" w:line="312" w:lineRule="auto"/>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007">
      <w:bodyDiv w:val="1"/>
      <w:marLeft w:val="0"/>
      <w:marRight w:val="0"/>
      <w:marTop w:val="0"/>
      <w:marBottom w:val="0"/>
      <w:divBdr>
        <w:top w:val="none" w:sz="0" w:space="0" w:color="auto"/>
        <w:left w:val="none" w:sz="0" w:space="0" w:color="auto"/>
        <w:bottom w:val="none" w:sz="0" w:space="0" w:color="auto"/>
        <w:right w:val="none" w:sz="0" w:space="0" w:color="auto"/>
      </w:divBdr>
    </w:div>
    <w:div w:id="64374637">
      <w:bodyDiv w:val="1"/>
      <w:marLeft w:val="0"/>
      <w:marRight w:val="0"/>
      <w:marTop w:val="0"/>
      <w:marBottom w:val="0"/>
      <w:divBdr>
        <w:top w:val="none" w:sz="0" w:space="0" w:color="auto"/>
        <w:left w:val="none" w:sz="0" w:space="0" w:color="auto"/>
        <w:bottom w:val="none" w:sz="0" w:space="0" w:color="auto"/>
        <w:right w:val="none" w:sz="0" w:space="0" w:color="auto"/>
      </w:divBdr>
    </w:div>
    <w:div w:id="91977314">
      <w:bodyDiv w:val="1"/>
      <w:marLeft w:val="0"/>
      <w:marRight w:val="0"/>
      <w:marTop w:val="0"/>
      <w:marBottom w:val="0"/>
      <w:divBdr>
        <w:top w:val="none" w:sz="0" w:space="0" w:color="auto"/>
        <w:left w:val="none" w:sz="0" w:space="0" w:color="auto"/>
        <w:bottom w:val="none" w:sz="0" w:space="0" w:color="auto"/>
        <w:right w:val="none" w:sz="0" w:space="0" w:color="auto"/>
      </w:divBdr>
    </w:div>
    <w:div w:id="120923436">
      <w:bodyDiv w:val="1"/>
      <w:marLeft w:val="0"/>
      <w:marRight w:val="0"/>
      <w:marTop w:val="0"/>
      <w:marBottom w:val="0"/>
      <w:divBdr>
        <w:top w:val="none" w:sz="0" w:space="0" w:color="auto"/>
        <w:left w:val="none" w:sz="0" w:space="0" w:color="auto"/>
        <w:bottom w:val="none" w:sz="0" w:space="0" w:color="auto"/>
        <w:right w:val="none" w:sz="0" w:space="0" w:color="auto"/>
      </w:divBdr>
    </w:div>
    <w:div w:id="237596629">
      <w:bodyDiv w:val="1"/>
      <w:marLeft w:val="0"/>
      <w:marRight w:val="0"/>
      <w:marTop w:val="0"/>
      <w:marBottom w:val="0"/>
      <w:divBdr>
        <w:top w:val="none" w:sz="0" w:space="0" w:color="auto"/>
        <w:left w:val="none" w:sz="0" w:space="0" w:color="auto"/>
        <w:bottom w:val="none" w:sz="0" w:space="0" w:color="auto"/>
        <w:right w:val="none" w:sz="0" w:space="0" w:color="auto"/>
      </w:divBdr>
    </w:div>
    <w:div w:id="307825335">
      <w:bodyDiv w:val="1"/>
      <w:marLeft w:val="0"/>
      <w:marRight w:val="0"/>
      <w:marTop w:val="0"/>
      <w:marBottom w:val="0"/>
      <w:divBdr>
        <w:top w:val="none" w:sz="0" w:space="0" w:color="auto"/>
        <w:left w:val="none" w:sz="0" w:space="0" w:color="auto"/>
        <w:bottom w:val="none" w:sz="0" w:space="0" w:color="auto"/>
        <w:right w:val="none" w:sz="0" w:space="0" w:color="auto"/>
      </w:divBdr>
    </w:div>
    <w:div w:id="309529576">
      <w:bodyDiv w:val="1"/>
      <w:marLeft w:val="0"/>
      <w:marRight w:val="0"/>
      <w:marTop w:val="0"/>
      <w:marBottom w:val="0"/>
      <w:divBdr>
        <w:top w:val="none" w:sz="0" w:space="0" w:color="auto"/>
        <w:left w:val="none" w:sz="0" w:space="0" w:color="auto"/>
        <w:bottom w:val="none" w:sz="0" w:space="0" w:color="auto"/>
        <w:right w:val="none" w:sz="0" w:space="0" w:color="auto"/>
      </w:divBdr>
    </w:div>
    <w:div w:id="360859301">
      <w:bodyDiv w:val="1"/>
      <w:marLeft w:val="0"/>
      <w:marRight w:val="0"/>
      <w:marTop w:val="0"/>
      <w:marBottom w:val="0"/>
      <w:divBdr>
        <w:top w:val="none" w:sz="0" w:space="0" w:color="auto"/>
        <w:left w:val="none" w:sz="0" w:space="0" w:color="auto"/>
        <w:bottom w:val="none" w:sz="0" w:space="0" w:color="auto"/>
        <w:right w:val="none" w:sz="0" w:space="0" w:color="auto"/>
      </w:divBdr>
    </w:div>
    <w:div w:id="361706493">
      <w:bodyDiv w:val="1"/>
      <w:marLeft w:val="0"/>
      <w:marRight w:val="0"/>
      <w:marTop w:val="0"/>
      <w:marBottom w:val="0"/>
      <w:divBdr>
        <w:top w:val="none" w:sz="0" w:space="0" w:color="auto"/>
        <w:left w:val="none" w:sz="0" w:space="0" w:color="auto"/>
        <w:bottom w:val="none" w:sz="0" w:space="0" w:color="auto"/>
        <w:right w:val="none" w:sz="0" w:space="0" w:color="auto"/>
      </w:divBdr>
    </w:div>
    <w:div w:id="422804509">
      <w:bodyDiv w:val="1"/>
      <w:marLeft w:val="0"/>
      <w:marRight w:val="0"/>
      <w:marTop w:val="0"/>
      <w:marBottom w:val="0"/>
      <w:divBdr>
        <w:top w:val="none" w:sz="0" w:space="0" w:color="auto"/>
        <w:left w:val="none" w:sz="0" w:space="0" w:color="auto"/>
        <w:bottom w:val="none" w:sz="0" w:space="0" w:color="auto"/>
        <w:right w:val="none" w:sz="0" w:space="0" w:color="auto"/>
      </w:divBdr>
    </w:div>
    <w:div w:id="428938453">
      <w:bodyDiv w:val="1"/>
      <w:marLeft w:val="0"/>
      <w:marRight w:val="0"/>
      <w:marTop w:val="0"/>
      <w:marBottom w:val="0"/>
      <w:divBdr>
        <w:top w:val="none" w:sz="0" w:space="0" w:color="auto"/>
        <w:left w:val="none" w:sz="0" w:space="0" w:color="auto"/>
        <w:bottom w:val="none" w:sz="0" w:space="0" w:color="auto"/>
        <w:right w:val="none" w:sz="0" w:space="0" w:color="auto"/>
      </w:divBdr>
      <w:divsChild>
        <w:div w:id="1785229407">
          <w:marLeft w:val="0"/>
          <w:marRight w:val="0"/>
          <w:marTop w:val="0"/>
          <w:marBottom w:val="0"/>
          <w:divBdr>
            <w:top w:val="none" w:sz="0" w:space="0" w:color="auto"/>
            <w:left w:val="none" w:sz="0" w:space="0" w:color="auto"/>
            <w:bottom w:val="none" w:sz="0" w:space="0" w:color="auto"/>
            <w:right w:val="none" w:sz="0" w:space="0" w:color="auto"/>
          </w:divBdr>
          <w:divsChild>
            <w:div w:id="2135365920">
              <w:marLeft w:val="0"/>
              <w:marRight w:val="37"/>
              <w:marTop w:val="0"/>
              <w:marBottom w:val="0"/>
              <w:divBdr>
                <w:top w:val="none" w:sz="0" w:space="0" w:color="auto"/>
                <w:left w:val="none" w:sz="0" w:space="0" w:color="auto"/>
                <w:bottom w:val="none" w:sz="0" w:space="0" w:color="auto"/>
                <w:right w:val="none" w:sz="0" w:space="0" w:color="auto"/>
              </w:divBdr>
              <w:divsChild>
                <w:div w:id="385840953">
                  <w:marLeft w:val="0"/>
                  <w:marRight w:val="0"/>
                  <w:marTop w:val="0"/>
                  <w:marBottom w:val="92"/>
                  <w:divBdr>
                    <w:top w:val="none" w:sz="0" w:space="0" w:color="auto"/>
                    <w:left w:val="none" w:sz="0" w:space="0" w:color="auto"/>
                    <w:bottom w:val="none" w:sz="0" w:space="0" w:color="auto"/>
                    <w:right w:val="none" w:sz="0" w:space="0" w:color="auto"/>
                  </w:divBdr>
                  <w:divsChild>
                    <w:div w:id="401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7095">
      <w:bodyDiv w:val="1"/>
      <w:marLeft w:val="0"/>
      <w:marRight w:val="0"/>
      <w:marTop w:val="0"/>
      <w:marBottom w:val="0"/>
      <w:divBdr>
        <w:top w:val="none" w:sz="0" w:space="0" w:color="auto"/>
        <w:left w:val="none" w:sz="0" w:space="0" w:color="auto"/>
        <w:bottom w:val="none" w:sz="0" w:space="0" w:color="auto"/>
        <w:right w:val="none" w:sz="0" w:space="0" w:color="auto"/>
      </w:divBdr>
    </w:div>
    <w:div w:id="562175881">
      <w:bodyDiv w:val="1"/>
      <w:marLeft w:val="0"/>
      <w:marRight w:val="0"/>
      <w:marTop w:val="0"/>
      <w:marBottom w:val="0"/>
      <w:divBdr>
        <w:top w:val="none" w:sz="0" w:space="0" w:color="auto"/>
        <w:left w:val="none" w:sz="0" w:space="0" w:color="auto"/>
        <w:bottom w:val="none" w:sz="0" w:space="0" w:color="auto"/>
        <w:right w:val="none" w:sz="0" w:space="0" w:color="auto"/>
      </w:divBdr>
    </w:div>
    <w:div w:id="654575716">
      <w:bodyDiv w:val="1"/>
      <w:marLeft w:val="0"/>
      <w:marRight w:val="0"/>
      <w:marTop w:val="0"/>
      <w:marBottom w:val="0"/>
      <w:divBdr>
        <w:top w:val="none" w:sz="0" w:space="0" w:color="auto"/>
        <w:left w:val="none" w:sz="0" w:space="0" w:color="auto"/>
        <w:bottom w:val="none" w:sz="0" w:space="0" w:color="auto"/>
        <w:right w:val="none" w:sz="0" w:space="0" w:color="auto"/>
      </w:divBdr>
    </w:div>
    <w:div w:id="701634227">
      <w:bodyDiv w:val="1"/>
      <w:marLeft w:val="0"/>
      <w:marRight w:val="0"/>
      <w:marTop w:val="0"/>
      <w:marBottom w:val="0"/>
      <w:divBdr>
        <w:top w:val="none" w:sz="0" w:space="0" w:color="auto"/>
        <w:left w:val="none" w:sz="0" w:space="0" w:color="auto"/>
        <w:bottom w:val="none" w:sz="0" w:space="0" w:color="auto"/>
        <w:right w:val="none" w:sz="0" w:space="0" w:color="auto"/>
      </w:divBdr>
    </w:div>
    <w:div w:id="765226101">
      <w:bodyDiv w:val="1"/>
      <w:marLeft w:val="0"/>
      <w:marRight w:val="0"/>
      <w:marTop w:val="0"/>
      <w:marBottom w:val="0"/>
      <w:divBdr>
        <w:top w:val="none" w:sz="0" w:space="0" w:color="auto"/>
        <w:left w:val="none" w:sz="0" w:space="0" w:color="auto"/>
        <w:bottom w:val="none" w:sz="0" w:space="0" w:color="auto"/>
        <w:right w:val="none" w:sz="0" w:space="0" w:color="auto"/>
      </w:divBdr>
    </w:div>
    <w:div w:id="887373425">
      <w:bodyDiv w:val="1"/>
      <w:marLeft w:val="0"/>
      <w:marRight w:val="0"/>
      <w:marTop w:val="0"/>
      <w:marBottom w:val="0"/>
      <w:divBdr>
        <w:top w:val="none" w:sz="0" w:space="0" w:color="auto"/>
        <w:left w:val="none" w:sz="0" w:space="0" w:color="auto"/>
        <w:bottom w:val="none" w:sz="0" w:space="0" w:color="auto"/>
        <w:right w:val="none" w:sz="0" w:space="0" w:color="auto"/>
      </w:divBdr>
    </w:div>
    <w:div w:id="1044715674">
      <w:bodyDiv w:val="1"/>
      <w:marLeft w:val="0"/>
      <w:marRight w:val="0"/>
      <w:marTop w:val="0"/>
      <w:marBottom w:val="0"/>
      <w:divBdr>
        <w:top w:val="none" w:sz="0" w:space="0" w:color="auto"/>
        <w:left w:val="none" w:sz="0" w:space="0" w:color="auto"/>
        <w:bottom w:val="none" w:sz="0" w:space="0" w:color="auto"/>
        <w:right w:val="none" w:sz="0" w:space="0" w:color="auto"/>
      </w:divBdr>
    </w:div>
    <w:div w:id="1050497097">
      <w:bodyDiv w:val="1"/>
      <w:marLeft w:val="0"/>
      <w:marRight w:val="0"/>
      <w:marTop w:val="0"/>
      <w:marBottom w:val="0"/>
      <w:divBdr>
        <w:top w:val="none" w:sz="0" w:space="0" w:color="auto"/>
        <w:left w:val="none" w:sz="0" w:space="0" w:color="auto"/>
        <w:bottom w:val="none" w:sz="0" w:space="0" w:color="auto"/>
        <w:right w:val="none" w:sz="0" w:space="0" w:color="auto"/>
      </w:divBdr>
    </w:div>
    <w:div w:id="1079137541">
      <w:bodyDiv w:val="1"/>
      <w:marLeft w:val="0"/>
      <w:marRight w:val="0"/>
      <w:marTop w:val="0"/>
      <w:marBottom w:val="0"/>
      <w:divBdr>
        <w:top w:val="none" w:sz="0" w:space="0" w:color="auto"/>
        <w:left w:val="none" w:sz="0" w:space="0" w:color="auto"/>
        <w:bottom w:val="none" w:sz="0" w:space="0" w:color="auto"/>
        <w:right w:val="none" w:sz="0" w:space="0" w:color="auto"/>
      </w:divBdr>
    </w:div>
    <w:div w:id="1163742681">
      <w:bodyDiv w:val="1"/>
      <w:marLeft w:val="0"/>
      <w:marRight w:val="0"/>
      <w:marTop w:val="0"/>
      <w:marBottom w:val="0"/>
      <w:divBdr>
        <w:top w:val="none" w:sz="0" w:space="0" w:color="auto"/>
        <w:left w:val="none" w:sz="0" w:space="0" w:color="auto"/>
        <w:bottom w:val="none" w:sz="0" w:space="0" w:color="auto"/>
        <w:right w:val="none" w:sz="0" w:space="0" w:color="auto"/>
      </w:divBdr>
    </w:div>
    <w:div w:id="1266232141">
      <w:bodyDiv w:val="1"/>
      <w:marLeft w:val="0"/>
      <w:marRight w:val="0"/>
      <w:marTop w:val="0"/>
      <w:marBottom w:val="0"/>
      <w:divBdr>
        <w:top w:val="none" w:sz="0" w:space="0" w:color="auto"/>
        <w:left w:val="none" w:sz="0" w:space="0" w:color="auto"/>
        <w:bottom w:val="none" w:sz="0" w:space="0" w:color="auto"/>
        <w:right w:val="none" w:sz="0" w:space="0" w:color="auto"/>
      </w:divBdr>
    </w:div>
    <w:div w:id="1273975227">
      <w:bodyDiv w:val="1"/>
      <w:marLeft w:val="0"/>
      <w:marRight w:val="0"/>
      <w:marTop w:val="0"/>
      <w:marBottom w:val="0"/>
      <w:divBdr>
        <w:top w:val="none" w:sz="0" w:space="0" w:color="auto"/>
        <w:left w:val="none" w:sz="0" w:space="0" w:color="auto"/>
        <w:bottom w:val="none" w:sz="0" w:space="0" w:color="auto"/>
        <w:right w:val="none" w:sz="0" w:space="0" w:color="auto"/>
      </w:divBdr>
    </w:div>
    <w:div w:id="1285381177">
      <w:bodyDiv w:val="1"/>
      <w:marLeft w:val="0"/>
      <w:marRight w:val="0"/>
      <w:marTop w:val="0"/>
      <w:marBottom w:val="0"/>
      <w:divBdr>
        <w:top w:val="none" w:sz="0" w:space="0" w:color="auto"/>
        <w:left w:val="none" w:sz="0" w:space="0" w:color="auto"/>
        <w:bottom w:val="none" w:sz="0" w:space="0" w:color="auto"/>
        <w:right w:val="none" w:sz="0" w:space="0" w:color="auto"/>
      </w:divBdr>
    </w:div>
    <w:div w:id="1335189270">
      <w:bodyDiv w:val="1"/>
      <w:marLeft w:val="0"/>
      <w:marRight w:val="0"/>
      <w:marTop w:val="0"/>
      <w:marBottom w:val="0"/>
      <w:divBdr>
        <w:top w:val="none" w:sz="0" w:space="0" w:color="auto"/>
        <w:left w:val="none" w:sz="0" w:space="0" w:color="auto"/>
        <w:bottom w:val="none" w:sz="0" w:space="0" w:color="auto"/>
        <w:right w:val="none" w:sz="0" w:space="0" w:color="auto"/>
      </w:divBdr>
    </w:div>
    <w:div w:id="1362633041">
      <w:bodyDiv w:val="1"/>
      <w:marLeft w:val="0"/>
      <w:marRight w:val="0"/>
      <w:marTop w:val="0"/>
      <w:marBottom w:val="0"/>
      <w:divBdr>
        <w:top w:val="none" w:sz="0" w:space="0" w:color="auto"/>
        <w:left w:val="none" w:sz="0" w:space="0" w:color="auto"/>
        <w:bottom w:val="none" w:sz="0" w:space="0" w:color="auto"/>
        <w:right w:val="none" w:sz="0" w:space="0" w:color="auto"/>
      </w:divBdr>
    </w:div>
    <w:div w:id="1386298432">
      <w:bodyDiv w:val="1"/>
      <w:marLeft w:val="0"/>
      <w:marRight w:val="0"/>
      <w:marTop w:val="0"/>
      <w:marBottom w:val="0"/>
      <w:divBdr>
        <w:top w:val="none" w:sz="0" w:space="0" w:color="auto"/>
        <w:left w:val="none" w:sz="0" w:space="0" w:color="auto"/>
        <w:bottom w:val="none" w:sz="0" w:space="0" w:color="auto"/>
        <w:right w:val="none" w:sz="0" w:space="0" w:color="auto"/>
      </w:divBdr>
    </w:div>
    <w:div w:id="1415325666">
      <w:bodyDiv w:val="1"/>
      <w:marLeft w:val="0"/>
      <w:marRight w:val="0"/>
      <w:marTop w:val="0"/>
      <w:marBottom w:val="0"/>
      <w:divBdr>
        <w:top w:val="none" w:sz="0" w:space="0" w:color="auto"/>
        <w:left w:val="none" w:sz="0" w:space="0" w:color="auto"/>
        <w:bottom w:val="none" w:sz="0" w:space="0" w:color="auto"/>
        <w:right w:val="none" w:sz="0" w:space="0" w:color="auto"/>
      </w:divBdr>
    </w:div>
    <w:div w:id="1489711037">
      <w:bodyDiv w:val="1"/>
      <w:marLeft w:val="0"/>
      <w:marRight w:val="0"/>
      <w:marTop w:val="0"/>
      <w:marBottom w:val="0"/>
      <w:divBdr>
        <w:top w:val="none" w:sz="0" w:space="0" w:color="auto"/>
        <w:left w:val="none" w:sz="0" w:space="0" w:color="auto"/>
        <w:bottom w:val="none" w:sz="0" w:space="0" w:color="auto"/>
        <w:right w:val="none" w:sz="0" w:space="0" w:color="auto"/>
      </w:divBdr>
    </w:div>
    <w:div w:id="1558054234">
      <w:bodyDiv w:val="1"/>
      <w:marLeft w:val="0"/>
      <w:marRight w:val="0"/>
      <w:marTop w:val="0"/>
      <w:marBottom w:val="0"/>
      <w:divBdr>
        <w:top w:val="none" w:sz="0" w:space="0" w:color="auto"/>
        <w:left w:val="none" w:sz="0" w:space="0" w:color="auto"/>
        <w:bottom w:val="none" w:sz="0" w:space="0" w:color="auto"/>
        <w:right w:val="none" w:sz="0" w:space="0" w:color="auto"/>
      </w:divBdr>
    </w:div>
    <w:div w:id="1577209750">
      <w:bodyDiv w:val="1"/>
      <w:marLeft w:val="0"/>
      <w:marRight w:val="0"/>
      <w:marTop w:val="0"/>
      <w:marBottom w:val="0"/>
      <w:divBdr>
        <w:top w:val="none" w:sz="0" w:space="0" w:color="auto"/>
        <w:left w:val="none" w:sz="0" w:space="0" w:color="auto"/>
        <w:bottom w:val="none" w:sz="0" w:space="0" w:color="auto"/>
        <w:right w:val="none" w:sz="0" w:space="0" w:color="auto"/>
      </w:divBdr>
    </w:div>
    <w:div w:id="1617447530">
      <w:bodyDiv w:val="1"/>
      <w:marLeft w:val="0"/>
      <w:marRight w:val="0"/>
      <w:marTop w:val="0"/>
      <w:marBottom w:val="0"/>
      <w:divBdr>
        <w:top w:val="none" w:sz="0" w:space="0" w:color="auto"/>
        <w:left w:val="none" w:sz="0" w:space="0" w:color="auto"/>
        <w:bottom w:val="none" w:sz="0" w:space="0" w:color="auto"/>
        <w:right w:val="none" w:sz="0" w:space="0" w:color="auto"/>
      </w:divBdr>
    </w:div>
    <w:div w:id="1647053892">
      <w:bodyDiv w:val="1"/>
      <w:marLeft w:val="0"/>
      <w:marRight w:val="0"/>
      <w:marTop w:val="0"/>
      <w:marBottom w:val="0"/>
      <w:divBdr>
        <w:top w:val="none" w:sz="0" w:space="0" w:color="auto"/>
        <w:left w:val="none" w:sz="0" w:space="0" w:color="auto"/>
        <w:bottom w:val="none" w:sz="0" w:space="0" w:color="auto"/>
        <w:right w:val="none" w:sz="0" w:space="0" w:color="auto"/>
      </w:divBdr>
    </w:div>
    <w:div w:id="1842548367">
      <w:bodyDiv w:val="1"/>
      <w:marLeft w:val="0"/>
      <w:marRight w:val="0"/>
      <w:marTop w:val="0"/>
      <w:marBottom w:val="0"/>
      <w:divBdr>
        <w:top w:val="none" w:sz="0" w:space="0" w:color="auto"/>
        <w:left w:val="none" w:sz="0" w:space="0" w:color="auto"/>
        <w:bottom w:val="none" w:sz="0" w:space="0" w:color="auto"/>
        <w:right w:val="none" w:sz="0" w:space="0" w:color="auto"/>
      </w:divBdr>
    </w:div>
    <w:div w:id="18539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1D3E0-F391-4ECC-B0C1-F80EDAE9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1560</Words>
  <Characters>8894</Characters>
  <Application>Microsoft Office Word</Application>
  <DocSecurity>4</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marijao</dc:creator>
  <cp:keywords/>
  <dc:description/>
  <cp:lastModifiedBy>Cankar Marija</cp:lastModifiedBy>
  <cp:revision>2</cp:revision>
  <cp:lastPrinted>2016-05-23T12:42:00Z</cp:lastPrinted>
  <dcterms:created xsi:type="dcterms:W3CDTF">2016-06-15T09:28:00Z</dcterms:created>
  <dcterms:modified xsi:type="dcterms:W3CDTF">2016-06-15T09:28:00Z</dcterms:modified>
</cp:coreProperties>
</file>