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01F" w:rsidRPr="000A2BA4" w:rsidRDefault="00F3301F" w:rsidP="00F3301F">
      <w:pPr>
        <w:pStyle w:val="Telobesedila"/>
        <w:tabs>
          <w:tab w:val="left" w:pos="-1080"/>
          <w:tab w:val="left" w:pos="-851"/>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Na podlagi 29. člena Zakona o lokalni samoupravi (</w:t>
      </w:r>
      <w:r w:rsidR="003832D4" w:rsidRPr="000A2BA4">
        <w:rPr>
          <w:rFonts w:asciiTheme="minorHAnsi" w:hAnsiTheme="minorHAnsi" w:cstheme="minorHAnsi"/>
          <w:bCs/>
          <w:sz w:val="20"/>
        </w:rPr>
        <w:t xml:space="preserve">Uradni list RS, št. </w:t>
      </w:r>
      <w:hyperlink r:id="rId9" w:tgtFrame="_blank" w:tooltip="Zakon o lokalni samoupravi (uradno prečiščeno besedilo)" w:history="1">
        <w:r w:rsidR="003832D4" w:rsidRPr="000A2BA4">
          <w:rPr>
            <w:rFonts w:asciiTheme="minorHAnsi" w:hAnsiTheme="minorHAnsi" w:cstheme="minorHAnsi"/>
            <w:bCs/>
            <w:sz w:val="20"/>
          </w:rPr>
          <w:t>94/07</w:t>
        </w:r>
      </w:hyperlink>
      <w:r w:rsidR="003832D4" w:rsidRPr="000A2BA4">
        <w:rPr>
          <w:rFonts w:asciiTheme="minorHAnsi" w:hAnsiTheme="minorHAnsi" w:cstheme="minorHAnsi"/>
          <w:bCs/>
          <w:sz w:val="20"/>
        </w:rPr>
        <w:t xml:space="preserve"> – uradno prečiščeno besedilo, </w:t>
      </w:r>
      <w:hyperlink r:id="rId10" w:tgtFrame="_blank" w:tooltip="Zakon o dopolnitvi Zakona o lokalni samoupravi" w:history="1">
        <w:r w:rsidR="003832D4" w:rsidRPr="000A2BA4">
          <w:rPr>
            <w:rFonts w:asciiTheme="minorHAnsi" w:hAnsiTheme="minorHAnsi" w:cstheme="minorHAnsi"/>
            <w:bCs/>
            <w:sz w:val="20"/>
          </w:rPr>
          <w:t>76/08</w:t>
        </w:r>
      </w:hyperlink>
      <w:r w:rsidR="003832D4" w:rsidRPr="000A2BA4">
        <w:rPr>
          <w:rFonts w:asciiTheme="minorHAnsi" w:hAnsiTheme="minorHAnsi" w:cstheme="minorHAnsi"/>
          <w:bCs/>
          <w:sz w:val="20"/>
        </w:rPr>
        <w:t xml:space="preserve">, </w:t>
      </w:r>
      <w:hyperlink r:id="rId11" w:tgtFrame="_blank" w:tooltip="Zakon o spremembah in dopolnitvah Zakona o lokalni samoupravi" w:history="1">
        <w:r w:rsidR="003832D4" w:rsidRPr="000A2BA4">
          <w:rPr>
            <w:rFonts w:asciiTheme="minorHAnsi" w:hAnsiTheme="minorHAnsi" w:cstheme="minorHAnsi"/>
            <w:bCs/>
            <w:sz w:val="20"/>
          </w:rPr>
          <w:t>79/09</w:t>
        </w:r>
      </w:hyperlink>
      <w:r w:rsidR="003832D4" w:rsidRPr="000A2BA4">
        <w:rPr>
          <w:rFonts w:asciiTheme="minorHAnsi" w:hAnsiTheme="minorHAnsi" w:cstheme="minorHAnsi"/>
          <w:bCs/>
          <w:sz w:val="20"/>
        </w:rPr>
        <w:t xml:space="preserve">, </w:t>
      </w:r>
      <w:hyperlink r:id="rId12" w:tgtFrame="_blank" w:tooltip="Zakon o spremembah in dopolnitvah Zakona o lokalni samoupravi" w:history="1">
        <w:r w:rsidR="003832D4" w:rsidRPr="000A2BA4">
          <w:rPr>
            <w:rFonts w:asciiTheme="minorHAnsi" w:hAnsiTheme="minorHAnsi" w:cstheme="minorHAnsi"/>
            <w:bCs/>
            <w:sz w:val="20"/>
          </w:rPr>
          <w:t>51/10</w:t>
        </w:r>
      </w:hyperlink>
      <w:r w:rsidR="003832D4" w:rsidRPr="000A2BA4">
        <w:rPr>
          <w:rFonts w:asciiTheme="minorHAnsi" w:hAnsiTheme="minorHAnsi" w:cstheme="minorHAnsi"/>
          <w:bCs/>
          <w:sz w:val="20"/>
        </w:rPr>
        <w:t xml:space="preserve">, </w:t>
      </w:r>
      <w:hyperlink r:id="rId13" w:tgtFrame="_blank" w:tooltip="Zakon za uravnoteženje javnih financ" w:history="1">
        <w:r w:rsidR="003832D4" w:rsidRPr="000A2BA4">
          <w:rPr>
            <w:rFonts w:asciiTheme="minorHAnsi" w:hAnsiTheme="minorHAnsi" w:cstheme="minorHAnsi"/>
            <w:bCs/>
            <w:sz w:val="20"/>
          </w:rPr>
          <w:t>40/12</w:t>
        </w:r>
      </w:hyperlink>
      <w:r w:rsidR="003832D4" w:rsidRPr="000A2BA4">
        <w:rPr>
          <w:rFonts w:asciiTheme="minorHAnsi" w:hAnsiTheme="minorHAnsi" w:cstheme="minorHAnsi"/>
          <w:bCs/>
          <w:sz w:val="20"/>
        </w:rPr>
        <w:t xml:space="preserve"> – ZUJF, </w:t>
      </w:r>
      <w:hyperlink r:id="rId14" w:tgtFrame="_blank" w:tooltip="Zakon o ukrepih za uravnoteženje javnih financ občin" w:history="1">
        <w:r w:rsidR="003832D4" w:rsidRPr="000A2BA4">
          <w:rPr>
            <w:rFonts w:asciiTheme="minorHAnsi" w:hAnsiTheme="minorHAnsi" w:cstheme="minorHAnsi"/>
            <w:bCs/>
            <w:sz w:val="20"/>
          </w:rPr>
          <w:t>14/15</w:t>
        </w:r>
      </w:hyperlink>
      <w:r w:rsidR="003832D4" w:rsidRPr="000A2BA4">
        <w:rPr>
          <w:rFonts w:asciiTheme="minorHAnsi" w:hAnsiTheme="minorHAnsi" w:cstheme="minorHAnsi"/>
          <w:bCs/>
          <w:sz w:val="20"/>
        </w:rPr>
        <w:t xml:space="preserve"> – ZUUJFO, </w:t>
      </w:r>
      <w:hyperlink r:id="rId15" w:tgtFrame="_blank" w:tooltip="Zakon o stvarnem premoženju države in samoupravnih lokalnih skupnosti" w:history="1">
        <w:r w:rsidR="003832D4" w:rsidRPr="000A2BA4">
          <w:rPr>
            <w:rFonts w:asciiTheme="minorHAnsi" w:hAnsiTheme="minorHAnsi" w:cstheme="minorHAnsi"/>
            <w:bCs/>
            <w:sz w:val="20"/>
          </w:rPr>
          <w:t>11/18</w:t>
        </w:r>
      </w:hyperlink>
      <w:r w:rsidR="003832D4" w:rsidRPr="000A2BA4">
        <w:rPr>
          <w:rFonts w:asciiTheme="minorHAnsi" w:hAnsiTheme="minorHAnsi" w:cstheme="minorHAnsi"/>
          <w:bCs/>
          <w:sz w:val="20"/>
        </w:rPr>
        <w:t xml:space="preserve"> – ZSPDSLS-1 in </w:t>
      </w:r>
      <w:hyperlink r:id="rId16" w:tgtFrame="_blank" w:tooltip="Zakon o spremembah in dopolnitvah Zakona o lokalni samoupravi" w:history="1">
        <w:r w:rsidR="003832D4" w:rsidRPr="000A2BA4">
          <w:rPr>
            <w:rFonts w:asciiTheme="minorHAnsi" w:hAnsiTheme="minorHAnsi" w:cstheme="minorHAnsi"/>
            <w:bCs/>
            <w:sz w:val="20"/>
          </w:rPr>
          <w:t>30/18</w:t>
        </w:r>
      </w:hyperlink>
      <w:r w:rsidRPr="000A2BA4">
        <w:rPr>
          <w:rFonts w:asciiTheme="minorHAnsi" w:hAnsiTheme="minorHAnsi" w:cstheme="minorHAnsi"/>
          <w:sz w:val="20"/>
        </w:rPr>
        <w:t xml:space="preserve">), 29. člena Zakona o javnih financah </w:t>
      </w:r>
      <w:r w:rsidRPr="000A2BA4">
        <w:rPr>
          <w:rFonts w:asciiTheme="minorHAnsi" w:hAnsiTheme="minorHAnsi" w:cstheme="minorHAnsi"/>
          <w:b/>
          <w:bCs/>
          <w:color w:val="626060"/>
          <w:sz w:val="20"/>
        </w:rPr>
        <w:t>(</w:t>
      </w:r>
      <w:r w:rsidRPr="000A2BA4">
        <w:rPr>
          <w:rFonts w:asciiTheme="minorHAnsi" w:hAnsiTheme="minorHAnsi" w:cstheme="minorHAnsi"/>
          <w:sz w:val="20"/>
        </w:rPr>
        <w:t xml:space="preserve">Uradni list RS, št. </w:t>
      </w:r>
      <w:hyperlink r:id="rId17" w:tgtFrame="_blank" w:tooltip="Zakon o javnih financah (uradno prečiščeno besedilo)" w:history="1">
        <w:r w:rsidRPr="000A2BA4">
          <w:rPr>
            <w:rFonts w:asciiTheme="minorHAnsi" w:hAnsiTheme="minorHAnsi" w:cstheme="minorHAnsi"/>
            <w:sz w:val="20"/>
          </w:rPr>
          <w:t>11/11</w:t>
        </w:r>
      </w:hyperlink>
      <w:r w:rsidRPr="000A2BA4">
        <w:rPr>
          <w:rFonts w:asciiTheme="minorHAnsi" w:hAnsiTheme="minorHAnsi" w:cstheme="minorHAnsi"/>
          <w:sz w:val="20"/>
        </w:rPr>
        <w:t xml:space="preserve"> – uradno prečiščeno besedilo, </w:t>
      </w:r>
      <w:hyperlink r:id="rId18" w:tgtFrame="_blank" w:tooltip="Popravek Uradnega prečiščenega besedila Zakona  o javnih financah (ZJF-UPB4p)" w:history="1">
        <w:r w:rsidRPr="000A2BA4">
          <w:rPr>
            <w:rFonts w:asciiTheme="minorHAnsi" w:hAnsiTheme="minorHAnsi" w:cstheme="minorHAnsi"/>
            <w:sz w:val="20"/>
          </w:rPr>
          <w:t xml:space="preserve">14/13 – </w:t>
        </w:r>
        <w:proofErr w:type="spellStart"/>
        <w:r w:rsidRPr="000A2BA4">
          <w:rPr>
            <w:rFonts w:asciiTheme="minorHAnsi" w:hAnsiTheme="minorHAnsi" w:cstheme="minorHAnsi"/>
            <w:sz w:val="20"/>
          </w:rPr>
          <w:t>popr</w:t>
        </w:r>
        <w:proofErr w:type="spellEnd"/>
        <w:r w:rsidRPr="000A2BA4">
          <w:rPr>
            <w:rFonts w:asciiTheme="minorHAnsi" w:hAnsiTheme="minorHAnsi" w:cstheme="minorHAnsi"/>
            <w:sz w:val="20"/>
          </w:rPr>
          <w:t>.</w:t>
        </w:r>
      </w:hyperlink>
      <w:r w:rsidRPr="000A2BA4">
        <w:rPr>
          <w:rFonts w:asciiTheme="minorHAnsi" w:hAnsiTheme="minorHAnsi" w:cstheme="minorHAnsi"/>
          <w:sz w:val="20"/>
        </w:rPr>
        <w:t xml:space="preserve">, </w:t>
      </w:r>
      <w:hyperlink r:id="rId19" w:tgtFrame="_blank" w:tooltip="Zakon o dopolnitvi Zakona o javnih financah" w:history="1">
        <w:r w:rsidRPr="000A2BA4">
          <w:rPr>
            <w:rFonts w:asciiTheme="minorHAnsi" w:hAnsiTheme="minorHAnsi" w:cstheme="minorHAnsi"/>
            <w:sz w:val="20"/>
          </w:rPr>
          <w:t>101/13</w:t>
        </w:r>
      </w:hyperlink>
      <w:r w:rsidRPr="000A2BA4">
        <w:rPr>
          <w:rFonts w:asciiTheme="minorHAnsi" w:hAnsiTheme="minorHAnsi" w:cstheme="minorHAnsi"/>
          <w:sz w:val="20"/>
        </w:rPr>
        <w:t xml:space="preserve"> in </w:t>
      </w:r>
      <w:hyperlink r:id="rId20" w:tgtFrame="_blank" w:tooltip="Zakon o fiskalnem pravilu" w:history="1">
        <w:r w:rsidRPr="000A2BA4">
          <w:rPr>
            <w:rFonts w:asciiTheme="minorHAnsi" w:hAnsiTheme="minorHAnsi" w:cstheme="minorHAnsi"/>
            <w:sz w:val="20"/>
          </w:rPr>
          <w:t>55/15</w:t>
        </w:r>
      </w:hyperlink>
      <w:r w:rsidRPr="000A2BA4">
        <w:rPr>
          <w:rFonts w:asciiTheme="minorHAnsi" w:hAnsiTheme="minorHAnsi" w:cstheme="minorHAnsi"/>
          <w:sz w:val="20"/>
        </w:rPr>
        <w:t xml:space="preserve"> – </w:t>
      </w:r>
      <w:proofErr w:type="spellStart"/>
      <w:r w:rsidRPr="000A2BA4">
        <w:rPr>
          <w:rFonts w:asciiTheme="minorHAnsi" w:hAnsiTheme="minorHAnsi" w:cstheme="minorHAnsi"/>
          <w:sz w:val="20"/>
        </w:rPr>
        <w:t>ZFisP</w:t>
      </w:r>
      <w:proofErr w:type="spellEnd"/>
      <w:r w:rsidRPr="000A2BA4">
        <w:rPr>
          <w:rFonts w:asciiTheme="minorHAnsi" w:hAnsiTheme="minorHAnsi" w:cstheme="minorHAnsi"/>
          <w:sz w:val="20"/>
        </w:rPr>
        <w:t>) in</w:t>
      </w:r>
      <w:r w:rsidR="003E6AFB" w:rsidRPr="000A2BA4">
        <w:rPr>
          <w:rFonts w:asciiTheme="minorHAnsi" w:hAnsiTheme="minorHAnsi" w:cstheme="minorHAnsi"/>
          <w:sz w:val="20"/>
        </w:rPr>
        <w:t xml:space="preserve"> 16. člena</w:t>
      </w:r>
      <w:r w:rsidRPr="000A2BA4">
        <w:rPr>
          <w:rFonts w:asciiTheme="minorHAnsi" w:hAnsiTheme="minorHAnsi" w:cstheme="minorHAnsi"/>
          <w:sz w:val="20"/>
        </w:rPr>
        <w:t xml:space="preserve"> Statuta Občine Cerklje na Gorenjskem (Uradni vestnik Občine Cerklje na Gorenjskem, št. 7/2016), je Občinski svet Občine Cerklje na Gorenjskem</w:t>
      </w:r>
      <w:r w:rsidRPr="000A2BA4">
        <w:rPr>
          <w:rFonts w:asciiTheme="minorHAnsi" w:hAnsiTheme="minorHAnsi" w:cstheme="minorHAnsi"/>
          <w:b/>
          <w:sz w:val="20"/>
        </w:rPr>
        <w:t xml:space="preserve"> </w:t>
      </w:r>
      <w:r w:rsidR="005905B5">
        <w:rPr>
          <w:rFonts w:asciiTheme="minorHAnsi" w:hAnsiTheme="minorHAnsi" w:cstheme="minorHAnsi"/>
          <w:sz w:val="20"/>
        </w:rPr>
        <w:t xml:space="preserve">na </w:t>
      </w:r>
      <w:r w:rsidR="00D8634D">
        <w:rPr>
          <w:rFonts w:asciiTheme="minorHAnsi" w:hAnsiTheme="minorHAnsi" w:cstheme="minorHAnsi"/>
          <w:sz w:val="20"/>
        </w:rPr>
        <w:t>_______________________________________________________________</w:t>
      </w:r>
      <w:r w:rsidR="005905B5">
        <w:rPr>
          <w:rFonts w:asciiTheme="minorHAnsi" w:hAnsiTheme="minorHAnsi" w:cstheme="minorHAnsi"/>
          <w:sz w:val="20"/>
        </w:rPr>
        <w:t xml:space="preserve"> </w:t>
      </w:r>
      <w:r w:rsidRPr="000A2BA4">
        <w:rPr>
          <w:rFonts w:asciiTheme="minorHAnsi" w:hAnsiTheme="minorHAnsi" w:cstheme="minorHAnsi"/>
          <w:sz w:val="20"/>
        </w:rPr>
        <w:t>sprejel</w:t>
      </w:r>
      <w:r w:rsidR="00C6320D" w:rsidRPr="000A2BA4">
        <w:rPr>
          <w:rFonts w:asciiTheme="minorHAnsi" w:hAnsiTheme="minorHAnsi" w:cstheme="minorHAnsi"/>
          <w:sz w:val="20"/>
        </w:rPr>
        <w:t xml:space="preserve"> </w:t>
      </w:r>
    </w:p>
    <w:p w:rsidR="00BF0A04" w:rsidRPr="000A2BA4" w:rsidRDefault="00BF0A04" w:rsidP="00BF0A04">
      <w:pPr>
        <w:pStyle w:val="Telobesedila"/>
        <w:tabs>
          <w:tab w:val="clear" w:pos="-1440"/>
          <w:tab w:val="left" w:pos="-1080"/>
          <w:tab w:val="left" w:pos="-851"/>
          <w:tab w:val="left" w:pos="0"/>
          <w:tab w:val="left" w:pos="810"/>
          <w:tab w:val="left" w:pos="1080"/>
        </w:tabs>
        <w:rPr>
          <w:rFonts w:asciiTheme="minorHAnsi" w:hAnsiTheme="minorHAnsi" w:cstheme="minorHAnsi"/>
          <w:sz w:val="20"/>
        </w:rPr>
      </w:pPr>
    </w:p>
    <w:p w:rsidR="00840D95" w:rsidRPr="000A2BA4" w:rsidRDefault="00840D95">
      <w:pPr>
        <w:pStyle w:val="Telobesedila"/>
        <w:tabs>
          <w:tab w:val="clear" w:pos="-1440"/>
          <w:tab w:val="left" w:pos="-1080"/>
          <w:tab w:val="left" w:pos="-720"/>
          <w:tab w:val="left" w:pos="0"/>
          <w:tab w:val="left" w:pos="810"/>
          <w:tab w:val="left" w:pos="1080"/>
        </w:tabs>
        <w:rPr>
          <w:rFonts w:asciiTheme="minorHAnsi" w:hAnsiTheme="minorHAnsi" w:cstheme="minorHAnsi"/>
          <w:sz w:val="20"/>
          <w:highlight w:val="yellow"/>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F25826" w:rsidRDefault="003D379B" w:rsidP="00792CD6">
      <w:pPr>
        <w:pStyle w:val="Telobesedila"/>
        <w:tabs>
          <w:tab w:val="clear" w:pos="-1440"/>
          <w:tab w:val="left" w:pos="-1080"/>
          <w:tab w:val="left" w:pos="-720"/>
          <w:tab w:val="left" w:pos="0"/>
          <w:tab w:val="left" w:pos="810"/>
          <w:tab w:val="left" w:pos="1080"/>
        </w:tabs>
        <w:jc w:val="center"/>
        <w:outlineLvl w:val="0"/>
        <w:rPr>
          <w:rFonts w:asciiTheme="minorHAnsi" w:hAnsiTheme="minorHAnsi" w:cstheme="minorHAnsi"/>
          <w:b/>
          <w:i/>
          <w:sz w:val="20"/>
        </w:rPr>
      </w:pPr>
      <w:r w:rsidRPr="00F25826">
        <w:rPr>
          <w:rFonts w:asciiTheme="minorHAnsi" w:hAnsiTheme="minorHAnsi" w:cstheme="minorHAnsi"/>
          <w:b/>
          <w:i/>
          <w:sz w:val="20"/>
        </w:rPr>
        <w:t>ODLOK O PRORAČUNU</w:t>
      </w:r>
    </w:p>
    <w:p w:rsidR="003D379B" w:rsidRPr="00F25826" w:rsidRDefault="000B0E94" w:rsidP="00792CD6">
      <w:pPr>
        <w:pStyle w:val="Telobesedila"/>
        <w:tabs>
          <w:tab w:val="clear" w:pos="-1440"/>
          <w:tab w:val="left" w:pos="-1080"/>
          <w:tab w:val="left" w:pos="-720"/>
          <w:tab w:val="left" w:pos="0"/>
          <w:tab w:val="left" w:pos="810"/>
          <w:tab w:val="left" w:pos="1080"/>
        </w:tabs>
        <w:jc w:val="center"/>
        <w:outlineLvl w:val="0"/>
        <w:rPr>
          <w:rFonts w:asciiTheme="minorHAnsi" w:hAnsiTheme="minorHAnsi" w:cstheme="minorHAnsi"/>
          <w:b/>
          <w:i/>
          <w:sz w:val="20"/>
        </w:rPr>
      </w:pPr>
      <w:r w:rsidRPr="00F25826">
        <w:rPr>
          <w:rFonts w:asciiTheme="minorHAnsi" w:hAnsiTheme="minorHAnsi" w:cstheme="minorHAnsi"/>
          <w:b/>
          <w:i/>
          <w:sz w:val="20"/>
        </w:rPr>
        <w:t xml:space="preserve">OBČINE CERKLJE NA GORENJSKEM </w:t>
      </w:r>
      <w:r w:rsidR="003D379B" w:rsidRPr="00F25826">
        <w:rPr>
          <w:rFonts w:asciiTheme="minorHAnsi" w:hAnsiTheme="minorHAnsi" w:cstheme="minorHAnsi"/>
          <w:b/>
          <w:i/>
          <w:sz w:val="20"/>
        </w:rPr>
        <w:t xml:space="preserve">ZA LETO </w:t>
      </w:r>
      <w:r w:rsidR="000F50C9" w:rsidRPr="00F25826">
        <w:rPr>
          <w:rFonts w:asciiTheme="minorHAnsi" w:hAnsiTheme="minorHAnsi" w:cstheme="minorHAnsi"/>
          <w:b/>
          <w:i/>
          <w:sz w:val="20"/>
        </w:rPr>
        <w:t>2021</w:t>
      </w:r>
    </w:p>
    <w:p w:rsidR="003D379B" w:rsidRPr="000A2BA4" w:rsidRDefault="003D379B">
      <w:pPr>
        <w:pStyle w:val="Telobesedila"/>
        <w:tabs>
          <w:tab w:val="clear" w:pos="-1440"/>
          <w:tab w:val="left" w:pos="-1080"/>
          <w:tab w:val="left" w:pos="-720"/>
          <w:tab w:val="left" w:pos="0"/>
          <w:tab w:val="left" w:pos="81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s>
        <w:rPr>
          <w:rFonts w:asciiTheme="minorHAnsi" w:hAnsiTheme="minorHAnsi" w:cstheme="minorHAnsi"/>
          <w:sz w:val="20"/>
          <w:highlight w:val="yellow"/>
        </w:rPr>
      </w:pPr>
    </w:p>
    <w:p w:rsidR="003D379B" w:rsidRPr="000A2BA4" w:rsidRDefault="003D379B" w:rsidP="00DE474D">
      <w:pPr>
        <w:pStyle w:val="Telobesedila"/>
        <w:tabs>
          <w:tab w:val="clear" w:pos="-1440"/>
          <w:tab w:val="left" w:pos="-1080"/>
          <w:tab w:val="left" w:pos="-720"/>
          <w:tab w:val="left" w:pos="0"/>
          <w:tab w:val="left" w:pos="810"/>
        </w:tabs>
        <w:jc w:val="center"/>
        <w:rPr>
          <w:rFonts w:asciiTheme="minorHAnsi" w:hAnsiTheme="minorHAnsi" w:cstheme="minorHAnsi"/>
          <w:sz w:val="20"/>
        </w:rPr>
      </w:pPr>
      <w:r w:rsidRPr="000A2BA4">
        <w:rPr>
          <w:rFonts w:asciiTheme="minorHAnsi" w:hAnsiTheme="minorHAnsi" w:cstheme="minorHAnsi"/>
          <w:sz w:val="20"/>
        </w:rPr>
        <w:t>1. SPLOŠNA DOLOČBA</w:t>
      </w:r>
    </w:p>
    <w:p w:rsidR="003D379B" w:rsidRPr="000A2BA4" w:rsidRDefault="003D379B">
      <w:pPr>
        <w:pStyle w:val="Telobesedila"/>
        <w:tabs>
          <w:tab w:val="clear" w:pos="-1440"/>
          <w:tab w:val="left" w:pos="-1080"/>
          <w:tab w:val="left" w:pos="-720"/>
          <w:tab w:val="left" w:pos="0"/>
          <w:tab w:val="left" w:pos="810"/>
        </w:tabs>
        <w:ind w:left="1980"/>
        <w:rPr>
          <w:rFonts w:asciiTheme="minorHAnsi" w:hAnsiTheme="minorHAnsi" w:cstheme="minorHAnsi"/>
          <w:sz w:val="20"/>
        </w:rPr>
      </w:pPr>
    </w:p>
    <w:p w:rsidR="003D379B" w:rsidRPr="000A2BA4" w:rsidRDefault="003D379B">
      <w:pPr>
        <w:pStyle w:val="Telobesedila"/>
        <w:numPr>
          <w:ilvl w:val="0"/>
          <w:numId w:val="2"/>
        </w:numPr>
        <w:tabs>
          <w:tab w:val="clear" w:pos="-1440"/>
          <w:tab w:val="left" w:pos="-1080"/>
          <w:tab w:val="left" w:pos="-720"/>
          <w:tab w:val="left" w:pos="0"/>
          <w:tab w:val="left" w:pos="810"/>
        </w:tabs>
        <w:jc w:val="center"/>
        <w:rPr>
          <w:rFonts w:asciiTheme="minorHAnsi" w:hAnsiTheme="minorHAnsi" w:cstheme="minorHAnsi"/>
          <w:sz w:val="20"/>
        </w:rPr>
      </w:pPr>
      <w:r w:rsidRPr="000A2BA4">
        <w:rPr>
          <w:rFonts w:asciiTheme="minorHAnsi" w:hAnsiTheme="minorHAnsi" w:cstheme="minorHAnsi"/>
          <w:sz w:val="20"/>
        </w:rPr>
        <w:t>člen</w:t>
      </w:r>
    </w:p>
    <w:p w:rsidR="003D379B" w:rsidRPr="000A2BA4" w:rsidRDefault="003D379B">
      <w:pPr>
        <w:pStyle w:val="Telobesedila"/>
        <w:tabs>
          <w:tab w:val="clear" w:pos="-1440"/>
          <w:tab w:val="left" w:pos="-1080"/>
          <w:tab w:val="left" w:pos="-720"/>
          <w:tab w:val="left" w:pos="0"/>
          <w:tab w:val="left" w:pos="810"/>
        </w:tabs>
        <w:ind w:left="360"/>
        <w:jc w:val="center"/>
        <w:rPr>
          <w:rFonts w:asciiTheme="minorHAnsi" w:hAnsiTheme="minorHAnsi" w:cstheme="minorHAnsi"/>
          <w:sz w:val="20"/>
        </w:rPr>
      </w:pPr>
      <w:r w:rsidRPr="000A2BA4">
        <w:rPr>
          <w:rFonts w:asciiTheme="minorHAnsi" w:hAnsiTheme="minorHAnsi" w:cstheme="minorHAnsi"/>
          <w:sz w:val="20"/>
        </w:rPr>
        <w:t>(vsebina odloka)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S tem odlokom se za Občino</w:t>
      </w:r>
      <w:r w:rsidR="000B0E94" w:rsidRPr="000A2BA4">
        <w:rPr>
          <w:rFonts w:asciiTheme="minorHAnsi" w:hAnsiTheme="minorHAnsi" w:cstheme="minorHAnsi"/>
          <w:sz w:val="20"/>
        </w:rPr>
        <w:t xml:space="preserve"> Cerklje na Gorenjskem </w:t>
      </w:r>
      <w:r w:rsidRPr="000A2BA4">
        <w:rPr>
          <w:rFonts w:asciiTheme="minorHAnsi" w:hAnsiTheme="minorHAnsi" w:cstheme="minorHAnsi"/>
          <w:sz w:val="20"/>
        </w:rPr>
        <w:t xml:space="preserve">za leto </w:t>
      </w:r>
      <w:r w:rsidR="000F50C9" w:rsidRPr="000A2BA4">
        <w:rPr>
          <w:rFonts w:asciiTheme="minorHAnsi" w:hAnsiTheme="minorHAnsi" w:cstheme="minorHAnsi"/>
          <w:sz w:val="20"/>
        </w:rPr>
        <w:t>2021</w:t>
      </w:r>
      <w:r w:rsidR="00F11792" w:rsidRPr="000A2BA4">
        <w:rPr>
          <w:rFonts w:asciiTheme="minorHAnsi" w:hAnsiTheme="minorHAnsi" w:cstheme="minorHAnsi"/>
          <w:sz w:val="20"/>
        </w:rPr>
        <w:t xml:space="preserve"> določa</w:t>
      </w:r>
      <w:r w:rsidR="00F77827" w:rsidRPr="000A2BA4">
        <w:rPr>
          <w:rFonts w:asciiTheme="minorHAnsi" w:hAnsiTheme="minorHAnsi" w:cstheme="minorHAnsi"/>
          <w:sz w:val="20"/>
        </w:rPr>
        <w:t>jo</w:t>
      </w:r>
      <w:r w:rsidR="0010129B" w:rsidRPr="000A2BA4">
        <w:rPr>
          <w:rFonts w:asciiTheme="minorHAnsi" w:hAnsiTheme="minorHAnsi" w:cstheme="minorHAnsi"/>
          <w:sz w:val="20"/>
        </w:rPr>
        <w:t xml:space="preserve"> proračun, </w:t>
      </w:r>
      <w:r w:rsidR="00F11792" w:rsidRPr="000A2BA4">
        <w:rPr>
          <w:rFonts w:asciiTheme="minorHAnsi" w:hAnsiTheme="minorHAnsi" w:cstheme="minorHAnsi"/>
          <w:sz w:val="20"/>
        </w:rPr>
        <w:t xml:space="preserve"> višina splošnega dela</w:t>
      </w:r>
      <w:r w:rsidRPr="000A2BA4">
        <w:rPr>
          <w:rFonts w:asciiTheme="minorHAnsi" w:hAnsiTheme="minorHAnsi" w:cstheme="minorHAnsi"/>
          <w:sz w:val="20"/>
        </w:rPr>
        <w:t xml:space="preserve"> proračun</w:t>
      </w:r>
      <w:r w:rsidR="000B1F1C" w:rsidRPr="000A2BA4">
        <w:rPr>
          <w:rFonts w:asciiTheme="minorHAnsi" w:hAnsiTheme="minorHAnsi" w:cstheme="minorHAnsi"/>
          <w:sz w:val="20"/>
        </w:rPr>
        <w:t>a</w:t>
      </w:r>
      <w:r w:rsidR="00F11792" w:rsidRPr="000A2BA4">
        <w:rPr>
          <w:rFonts w:asciiTheme="minorHAnsi" w:hAnsiTheme="minorHAnsi" w:cstheme="minorHAnsi"/>
          <w:sz w:val="20"/>
        </w:rPr>
        <w:t xml:space="preserve"> in struktura posebnega dela proračuna,</w:t>
      </w:r>
      <w:r w:rsidRPr="000A2BA4">
        <w:rPr>
          <w:rFonts w:asciiTheme="minorHAnsi" w:hAnsiTheme="minorHAnsi" w:cstheme="minorHAnsi"/>
          <w:sz w:val="20"/>
        </w:rPr>
        <w:t xml:space="preserve"> postopki izvrševanja proračuna</w:t>
      </w:r>
      <w:r w:rsidR="00F11792" w:rsidRPr="000A2BA4">
        <w:rPr>
          <w:rFonts w:asciiTheme="minorHAnsi" w:hAnsiTheme="minorHAnsi" w:cstheme="minorHAnsi"/>
          <w:sz w:val="20"/>
        </w:rPr>
        <w:t xml:space="preserve">, posebnosti pri upravljanju in prodaji finančnega premoženja </w:t>
      </w:r>
      <w:r w:rsidR="00AA4567" w:rsidRPr="000A2BA4">
        <w:rPr>
          <w:rFonts w:asciiTheme="minorHAnsi" w:hAnsiTheme="minorHAnsi" w:cstheme="minorHAnsi"/>
          <w:sz w:val="20"/>
        </w:rPr>
        <w:t>občine</w:t>
      </w:r>
      <w:r w:rsidRPr="000A2BA4">
        <w:rPr>
          <w:rFonts w:asciiTheme="minorHAnsi" w:hAnsiTheme="minorHAnsi" w:cstheme="minorHAnsi"/>
          <w:sz w:val="20"/>
        </w:rPr>
        <w:t xml:space="preserve"> ter obseg zadolževanja in poroštev občine in javnega sektorja na ravni občine (v nadaljnjem besedilu: proračun).</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02700B" w:rsidRPr="000A2BA4" w:rsidRDefault="0002700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rsidP="00DE474D">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2. VIŠINA SPLOŠNEGA DELA PRORAČUNA IN STRUKTURA POSEBNEGA DELA PRORAČUNA</w:t>
      </w:r>
    </w:p>
    <w:p w:rsidR="003D379B" w:rsidRPr="000A2BA4" w:rsidRDefault="003D379B">
      <w:pPr>
        <w:pStyle w:val="Telobesedila"/>
        <w:tabs>
          <w:tab w:val="clear" w:pos="-1440"/>
          <w:tab w:val="left" w:pos="-1080"/>
          <w:tab w:val="left" w:pos="-720"/>
          <w:tab w:val="left" w:pos="0"/>
          <w:tab w:val="left" w:pos="810"/>
        </w:tabs>
        <w:jc w:val="center"/>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s>
        <w:jc w:val="center"/>
        <w:rPr>
          <w:rFonts w:asciiTheme="minorHAnsi" w:hAnsiTheme="minorHAnsi" w:cstheme="minorHAnsi"/>
          <w:sz w:val="20"/>
        </w:rPr>
      </w:pPr>
      <w:r w:rsidRPr="000A2BA4">
        <w:rPr>
          <w:rFonts w:asciiTheme="minorHAnsi" w:hAnsiTheme="minorHAnsi" w:cstheme="minorHAnsi"/>
          <w:sz w:val="20"/>
        </w:rPr>
        <w:t>2.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(sestava proračuna in višina splošnega dela proračuna)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V splošnem delu proračuna so prikazani prejemki in izdatki po ekonomsk</w:t>
      </w:r>
      <w:r w:rsidR="000B0E94" w:rsidRPr="000A2BA4">
        <w:rPr>
          <w:rFonts w:asciiTheme="minorHAnsi" w:hAnsiTheme="minorHAnsi" w:cstheme="minorHAnsi"/>
          <w:sz w:val="20"/>
        </w:rPr>
        <w:t>i klasifikaciji do ravni kontov.</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Splošni del proračuna se na ravni podskupin kontov določa v naslednjih zneskih:</w:t>
      </w:r>
    </w:p>
    <w:tbl>
      <w:tblPr>
        <w:tblW w:w="7783" w:type="dxa"/>
        <w:tblCellMar>
          <w:left w:w="70" w:type="dxa"/>
          <w:right w:w="70" w:type="dxa"/>
        </w:tblCellMar>
        <w:tblLook w:val="04A0" w:firstRow="1" w:lastRow="0" w:firstColumn="1" w:lastColumn="0" w:noHBand="0" w:noVBand="1"/>
      </w:tblPr>
      <w:tblGrid>
        <w:gridCol w:w="343"/>
        <w:gridCol w:w="6260"/>
        <w:gridCol w:w="1180"/>
      </w:tblGrid>
      <w:tr w:rsidR="00220208" w:rsidRPr="00220208" w:rsidTr="00220208">
        <w:trPr>
          <w:trHeight w:val="255"/>
        </w:trPr>
        <w:tc>
          <w:tcPr>
            <w:tcW w:w="6603" w:type="dxa"/>
            <w:gridSpan w:val="2"/>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Predlog proračuna 2021</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b/>
                <w:bCs/>
                <w:sz w:val="20"/>
                <w:szCs w:val="20"/>
                <w:lang w:eastAsia="sl-SI"/>
              </w:rPr>
            </w:pPr>
            <w:r w:rsidRPr="00220208">
              <w:rPr>
                <w:rFonts w:ascii="Calibri" w:hAnsi="Calibri" w:cs="Calibri"/>
                <w:b/>
                <w:bCs/>
                <w:sz w:val="20"/>
                <w:szCs w:val="20"/>
                <w:lang w:eastAsia="sl-SI"/>
              </w:rPr>
              <w:t>A.</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 xml:space="preserve">BILANCA PRIHODKOV IN ODHODKOV </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p>
        </w:tc>
      </w:tr>
      <w:tr w:rsidR="00220208" w:rsidRPr="00220208" w:rsidTr="00220208">
        <w:trPr>
          <w:trHeight w:val="255"/>
        </w:trPr>
        <w:tc>
          <w:tcPr>
            <w:tcW w:w="6603" w:type="dxa"/>
            <w:gridSpan w:val="2"/>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Skupina/podskupina kontov</w:t>
            </w:r>
          </w:p>
        </w:tc>
        <w:tc>
          <w:tcPr>
            <w:tcW w:w="1180" w:type="dxa"/>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v EUR</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I. SKUPAJ PRIHODKI (70+71+72+73+74)</w:t>
            </w:r>
          </w:p>
        </w:tc>
        <w:tc>
          <w:tcPr>
            <w:tcW w:w="1180" w:type="dxa"/>
            <w:tcBorders>
              <w:top w:val="nil"/>
              <w:left w:val="nil"/>
              <w:bottom w:val="nil"/>
              <w:right w:val="nil"/>
            </w:tcBorders>
            <w:shd w:val="clear" w:color="auto" w:fill="auto"/>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11.053.611</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TEKOČI PRIHODKI (70+71)</w:t>
            </w:r>
          </w:p>
        </w:tc>
        <w:tc>
          <w:tcPr>
            <w:tcW w:w="1180" w:type="dxa"/>
            <w:tcBorders>
              <w:top w:val="nil"/>
              <w:left w:val="nil"/>
              <w:bottom w:val="nil"/>
              <w:right w:val="nil"/>
            </w:tcBorders>
            <w:shd w:val="clear" w:color="auto" w:fill="auto"/>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8.156.171</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70</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DAVČNI PRIHODKI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6.772.396</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700 Davki na dohodek in dobiček</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5.031.247</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703 Davki na premoženje</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1.326.720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704 Domači davki na blago in storitve</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349.429</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706 Drugi davki in prispevki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65.000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71</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NEDAVČNI PRIHODKI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1.383.775</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710 Udeležba na dobičku in dohodki od premoženja</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616.048</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711 Takse in pristojbine</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14.736</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xml:space="preserve">712 Denarne kazni </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166.150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713 Prihodki od prodaje blaga in storitev</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23.000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714 Drugi nedavčni prihodki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563.841</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72</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KAPITALSKI PRIHODKI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832.000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720 Prihodki od prodaje osnovnih sredstev</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182.000</w:t>
            </w:r>
          </w:p>
        </w:tc>
      </w:tr>
      <w:tr w:rsidR="00220208" w:rsidRPr="00220208" w:rsidTr="00220208">
        <w:trPr>
          <w:trHeight w:val="30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722 Prihodki od prodaje zemljišč in nematerialnega premoženja</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650.000</w:t>
            </w:r>
          </w:p>
        </w:tc>
      </w:tr>
      <w:tr w:rsidR="00220208" w:rsidRPr="00220208" w:rsidTr="00220208">
        <w:trPr>
          <w:trHeight w:val="30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73</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PREJETE DONACIJE</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0</w:t>
            </w:r>
          </w:p>
        </w:tc>
      </w:tr>
      <w:tr w:rsidR="00220208" w:rsidRPr="00220208" w:rsidTr="00220208">
        <w:trPr>
          <w:trHeight w:val="30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730 Prejete donacije iz domačih virov</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74</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TRANSFERNI PRIHODKI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2.065.440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740 Transferni prihodki iz drugih javnofinančnih institucij</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971.816</w:t>
            </w:r>
          </w:p>
        </w:tc>
      </w:tr>
      <w:tr w:rsidR="00220208" w:rsidRPr="00220208" w:rsidTr="00220208">
        <w:trPr>
          <w:trHeight w:val="51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741 Prejeta sredstva iz državnega proračuna iz sredstev proračuna Evropske unije</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1.093.624</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II. SKUPAJ ODHODKI (40+41+42+43)</w:t>
            </w:r>
          </w:p>
        </w:tc>
        <w:tc>
          <w:tcPr>
            <w:tcW w:w="1180" w:type="dxa"/>
            <w:tcBorders>
              <w:top w:val="nil"/>
              <w:left w:val="nil"/>
              <w:bottom w:val="nil"/>
              <w:right w:val="nil"/>
            </w:tcBorders>
            <w:shd w:val="clear" w:color="auto" w:fill="auto"/>
            <w:noWrap/>
            <w:vAlign w:val="bottom"/>
            <w:hideMark/>
          </w:tcPr>
          <w:p w:rsidR="00220208" w:rsidRPr="00220208" w:rsidRDefault="002054FB" w:rsidP="00220208">
            <w:pPr>
              <w:jc w:val="right"/>
              <w:rPr>
                <w:rFonts w:ascii="Calibri" w:hAnsi="Calibri" w:cs="Calibri"/>
                <w:b/>
                <w:bCs/>
                <w:sz w:val="20"/>
                <w:szCs w:val="20"/>
                <w:lang w:eastAsia="sl-SI"/>
              </w:rPr>
            </w:pPr>
            <w:r>
              <w:rPr>
                <w:rFonts w:ascii="Calibri" w:hAnsi="Calibri" w:cs="Calibri"/>
                <w:b/>
                <w:bCs/>
                <w:sz w:val="20"/>
                <w:szCs w:val="20"/>
                <w:lang w:eastAsia="sl-SI"/>
              </w:rPr>
              <w:t>18.0</w:t>
            </w:r>
            <w:r w:rsidR="00220208" w:rsidRPr="00220208">
              <w:rPr>
                <w:rFonts w:ascii="Calibri" w:hAnsi="Calibri" w:cs="Calibri"/>
                <w:b/>
                <w:bCs/>
                <w:sz w:val="20"/>
                <w:szCs w:val="20"/>
                <w:lang w:eastAsia="sl-SI"/>
              </w:rPr>
              <w:t>01.231</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40</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TEKOČI ODHODKI</w:t>
            </w:r>
          </w:p>
        </w:tc>
        <w:tc>
          <w:tcPr>
            <w:tcW w:w="1180" w:type="dxa"/>
            <w:tcBorders>
              <w:top w:val="nil"/>
              <w:left w:val="nil"/>
              <w:bottom w:val="nil"/>
              <w:right w:val="nil"/>
            </w:tcBorders>
            <w:shd w:val="clear" w:color="auto" w:fill="auto"/>
            <w:noWrap/>
            <w:vAlign w:val="bottom"/>
            <w:hideMark/>
          </w:tcPr>
          <w:p w:rsidR="00220208" w:rsidRPr="00220208" w:rsidRDefault="002054FB" w:rsidP="00220208">
            <w:pPr>
              <w:jc w:val="right"/>
              <w:rPr>
                <w:rFonts w:ascii="Calibri" w:hAnsi="Calibri" w:cs="Calibri"/>
                <w:b/>
                <w:bCs/>
                <w:sz w:val="20"/>
                <w:szCs w:val="20"/>
                <w:lang w:eastAsia="sl-SI"/>
              </w:rPr>
            </w:pPr>
            <w:r>
              <w:rPr>
                <w:rFonts w:ascii="Calibri" w:hAnsi="Calibri" w:cs="Calibri"/>
                <w:b/>
                <w:bCs/>
                <w:sz w:val="20"/>
                <w:szCs w:val="20"/>
                <w:lang w:eastAsia="sl-SI"/>
              </w:rPr>
              <w:t>3.0</w:t>
            </w:r>
            <w:r w:rsidR="00220208" w:rsidRPr="00220208">
              <w:rPr>
                <w:rFonts w:ascii="Calibri" w:hAnsi="Calibri" w:cs="Calibri"/>
                <w:b/>
                <w:bCs/>
                <w:sz w:val="20"/>
                <w:szCs w:val="20"/>
                <w:lang w:eastAsia="sl-SI"/>
              </w:rPr>
              <w:t>92.856</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400 Plače in drugi izdatki zaposlenim</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538.089</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xml:space="preserve">401 Prispevki delodajalcev za socialno varnost </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75.100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402 Izdatki za blago in storitve</w:t>
            </w:r>
          </w:p>
        </w:tc>
        <w:tc>
          <w:tcPr>
            <w:tcW w:w="1180" w:type="dxa"/>
            <w:tcBorders>
              <w:top w:val="nil"/>
              <w:left w:val="nil"/>
              <w:bottom w:val="nil"/>
              <w:right w:val="nil"/>
            </w:tcBorders>
            <w:shd w:val="clear" w:color="auto" w:fill="auto"/>
            <w:noWrap/>
            <w:vAlign w:val="bottom"/>
            <w:hideMark/>
          </w:tcPr>
          <w:p w:rsidR="00220208" w:rsidRPr="00220208" w:rsidRDefault="002054FB" w:rsidP="00220208">
            <w:pPr>
              <w:jc w:val="right"/>
              <w:rPr>
                <w:rFonts w:ascii="Calibri" w:hAnsi="Calibri" w:cs="Calibri"/>
                <w:sz w:val="20"/>
                <w:szCs w:val="20"/>
                <w:lang w:eastAsia="sl-SI"/>
              </w:rPr>
            </w:pPr>
            <w:r>
              <w:rPr>
                <w:rFonts w:ascii="Calibri" w:hAnsi="Calibri" w:cs="Calibri"/>
                <w:sz w:val="20"/>
                <w:szCs w:val="20"/>
                <w:lang w:eastAsia="sl-SI"/>
              </w:rPr>
              <w:t>2.3</w:t>
            </w:r>
            <w:r w:rsidR="00220208" w:rsidRPr="00220208">
              <w:rPr>
                <w:rFonts w:ascii="Calibri" w:hAnsi="Calibri" w:cs="Calibri"/>
                <w:sz w:val="20"/>
                <w:szCs w:val="20"/>
                <w:lang w:eastAsia="sl-SI"/>
              </w:rPr>
              <w:t>85.637</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409 Rezerve</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94.030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41</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TEKOČI TRANSFERI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2.805.753</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410 Subvencije</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182.000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411 Transferi posameznikom in gospodinjstvom</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1.751.852</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412 Transferi neprofitnim organizacijam in ustanovam</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456.750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413 Drugi tekoči domači transferi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415.151</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42</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INVESTICIJSKI ODHODKI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11.865.622</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Pr>
                <w:rFonts w:ascii="Calibri" w:hAnsi="Calibri" w:cs="Calibri"/>
                <w:sz w:val="20"/>
                <w:szCs w:val="20"/>
                <w:lang w:eastAsia="sl-SI"/>
              </w:rPr>
              <w:t>420 Nakup in gradnja osnovnih s</w:t>
            </w:r>
            <w:r w:rsidRPr="00220208">
              <w:rPr>
                <w:rFonts w:ascii="Calibri" w:hAnsi="Calibri" w:cs="Calibri"/>
                <w:sz w:val="20"/>
                <w:szCs w:val="20"/>
                <w:lang w:eastAsia="sl-SI"/>
              </w:rPr>
              <w:t>redstev</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11.865.622</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43</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INVESTICIJSKI TRANSFERI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r w:rsidRPr="00220208">
              <w:rPr>
                <w:rFonts w:ascii="Calibri" w:hAnsi="Calibri" w:cs="Calibri"/>
                <w:b/>
                <w:bCs/>
                <w:sz w:val="20"/>
                <w:szCs w:val="20"/>
                <w:lang w:eastAsia="sl-SI"/>
              </w:rPr>
              <w:t>237.000</w:t>
            </w:r>
          </w:p>
        </w:tc>
      </w:tr>
      <w:tr w:rsidR="00220208" w:rsidRPr="00220208" w:rsidTr="00220208">
        <w:trPr>
          <w:trHeight w:val="51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b/>
                <w:bCs/>
                <w:sz w:val="20"/>
                <w:szCs w:val="20"/>
                <w:lang w:eastAsia="sl-SI"/>
              </w:rPr>
            </w:pPr>
          </w:p>
        </w:tc>
        <w:tc>
          <w:tcPr>
            <w:tcW w:w="6260" w:type="dxa"/>
            <w:tcBorders>
              <w:top w:val="nil"/>
              <w:left w:val="nil"/>
              <w:bottom w:val="nil"/>
              <w:right w:val="nil"/>
            </w:tcBorders>
            <w:shd w:val="clear" w:color="auto" w:fill="auto"/>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431 Investicijski transferi pravnim in fizičnim osebam, ki niso proračunski uporabniki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237.000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xml:space="preserve">III. PRORAČUNSKI PRESEŽEK </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left"/>
              <w:rPr>
                <w:rFonts w:ascii="Times New Roman" w:hAnsi="Times New Roman"/>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(PRORAČUNSKI PRIMANJKLJAJ) (I.-II.)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-6.847.620</w:t>
            </w:r>
          </w:p>
        </w:tc>
      </w:tr>
      <w:tr w:rsidR="00220208" w:rsidRPr="00220208" w:rsidTr="00220208">
        <w:trPr>
          <w:trHeight w:val="255"/>
        </w:trPr>
        <w:tc>
          <w:tcPr>
            <w:tcW w:w="343" w:type="dxa"/>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center"/>
              <w:rPr>
                <w:rFonts w:ascii="Calibri" w:hAnsi="Calibri" w:cs="Calibri"/>
                <w:b/>
                <w:bCs/>
                <w:sz w:val="20"/>
                <w:szCs w:val="20"/>
                <w:lang w:eastAsia="sl-SI"/>
              </w:rPr>
            </w:pPr>
            <w:r w:rsidRPr="00220208">
              <w:rPr>
                <w:rFonts w:ascii="Calibri" w:hAnsi="Calibri" w:cs="Calibri"/>
                <w:b/>
                <w:bCs/>
                <w:sz w:val="20"/>
                <w:szCs w:val="20"/>
                <w:lang w:eastAsia="sl-SI"/>
              </w:rPr>
              <w:t>B.</w:t>
            </w:r>
          </w:p>
        </w:tc>
        <w:tc>
          <w:tcPr>
            <w:tcW w:w="6260" w:type="dxa"/>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RAČUN FINANČNIH TERJATEV IN NALOŽB</w:t>
            </w:r>
          </w:p>
        </w:tc>
        <w:tc>
          <w:tcPr>
            <w:tcW w:w="1180" w:type="dxa"/>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w:t>
            </w:r>
          </w:p>
        </w:tc>
      </w:tr>
      <w:tr w:rsidR="00220208" w:rsidRPr="00220208" w:rsidTr="00220208">
        <w:trPr>
          <w:trHeight w:val="255"/>
        </w:trPr>
        <w:tc>
          <w:tcPr>
            <w:tcW w:w="6603" w:type="dxa"/>
            <w:gridSpan w:val="2"/>
            <w:tcBorders>
              <w:top w:val="nil"/>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 xml:space="preserve">Skupina/Podskupina kontov </w:t>
            </w:r>
          </w:p>
        </w:tc>
        <w:tc>
          <w:tcPr>
            <w:tcW w:w="1180" w:type="dxa"/>
            <w:tcBorders>
              <w:top w:val="nil"/>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w:t>
            </w:r>
          </w:p>
        </w:tc>
      </w:tr>
      <w:tr w:rsidR="00220208" w:rsidRPr="00220208" w:rsidTr="00220208">
        <w:trPr>
          <w:trHeight w:val="51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p>
        </w:tc>
        <w:tc>
          <w:tcPr>
            <w:tcW w:w="6260" w:type="dxa"/>
            <w:tcBorders>
              <w:top w:val="nil"/>
              <w:left w:val="nil"/>
              <w:bottom w:val="nil"/>
              <w:right w:val="nil"/>
            </w:tcBorders>
            <w:shd w:val="clear" w:color="auto" w:fill="auto"/>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IV. PREJETA VRAČILA DANIH POSOJIL IN KAPITALSKIH DELEŽEV (750+751+752)</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217.620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75</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PREJETA VRAČILA DANIH POSOJIL IN PRODAJA KAPITALSKIH DELEŽEV</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217.620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751 Prodaja kapitalskih deležev</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217.620</w:t>
            </w:r>
          </w:p>
        </w:tc>
      </w:tr>
      <w:tr w:rsidR="00220208" w:rsidRPr="00220208" w:rsidTr="00220208">
        <w:trPr>
          <w:trHeight w:val="51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V. DANA POSOJILA IN POVEČANJE KAPITALSKIH DELEŽEV  (440+441+442+443)</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xml:space="preserve">VI. PREJETA MINUS DANA POSOJILA </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left"/>
              <w:rPr>
                <w:rFonts w:ascii="Times New Roman" w:hAnsi="Times New Roman"/>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IN SPREMEMBE KAPITALSKIH DELEŽEV (IV.-V.)</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217.620</w:t>
            </w:r>
          </w:p>
        </w:tc>
      </w:tr>
      <w:tr w:rsidR="00220208" w:rsidRPr="00220208" w:rsidTr="00220208">
        <w:trPr>
          <w:trHeight w:val="255"/>
        </w:trPr>
        <w:tc>
          <w:tcPr>
            <w:tcW w:w="343" w:type="dxa"/>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center"/>
              <w:rPr>
                <w:rFonts w:ascii="Calibri" w:hAnsi="Calibri" w:cs="Calibri"/>
                <w:b/>
                <w:bCs/>
                <w:sz w:val="20"/>
                <w:szCs w:val="20"/>
                <w:lang w:eastAsia="sl-SI"/>
              </w:rPr>
            </w:pPr>
            <w:r w:rsidRPr="00220208">
              <w:rPr>
                <w:rFonts w:ascii="Calibri" w:hAnsi="Calibri" w:cs="Calibri"/>
                <w:b/>
                <w:bCs/>
                <w:sz w:val="20"/>
                <w:szCs w:val="20"/>
                <w:lang w:eastAsia="sl-SI"/>
              </w:rPr>
              <w:t xml:space="preserve">C. </w:t>
            </w:r>
          </w:p>
        </w:tc>
        <w:tc>
          <w:tcPr>
            <w:tcW w:w="6260" w:type="dxa"/>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RAČUN FINANCIRANJA</w:t>
            </w:r>
          </w:p>
        </w:tc>
        <w:tc>
          <w:tcPr>
            <w:tcW w:w="1180" w:type="dxa"/>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w:t>
            </w:r>
          </w:p>
        </w:tc>
      </w:tr>
      <w:tr w:rsidR="00220208" w:rsidRPr="00220208" w:rsidTr="00220208">
        <w:trPr>
          <w:trHeight w:val="255"/>
        </w:trPr>
        <w:tc>
          <w:tcPr>
            <w:tcW w:w="6603" w:type="dxa"/>
            <w:gridSpan w:val="2"/>
            <w:tcBorders>
              <w:top w:val="single" w:sz="4" w:space="0" w:color="auto"/>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Skupina/Podskupina kontov</w:t>
            </w:r>
          </w:p>
        </w:tc>
        <w:tc>
          <w:tcPr>
            <w:tcW w:w="1180" w:type="dxa"/>
            <w:tcBorders>
              <w:top w:val="nil"/>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 </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VII. ZADOLŽEVANJE (500)</w:t>
            </w:r>
          </w:p>
        </w:tc>
        <w:tc>
          <w:tcPr>
            <w:tcW w:w="1180" w:type="dxa"/>
            <w:tcBorders>
              <w:top w:val="nil"/>
              <w:left w:val="nil"/>
              <w:bottom w:val="nil"/>
              <w:right w:val="nil"/>
            </w:tcBorders>
            <w:shd w:val="clear" w:color="auto" w:fill="auto"/>
            <w:noWrap/>
            <w:vAlign w:val="bottom"/>
            <w:hideMark/>
          </w:tcPr>
          <w:p w:rsidR="00220208" w:rsidRPr="00220208" w:rsidRDefault="002054FB" w:rsidP="00220208">
            <w:pPr>
              <w:jc w:val="right"/>
              <w:rPr>
                <w:rFonts w:ascii="Calibri" w:hAnsi="Calibri" w:cs="Calibri"/>
                <w:sz w:val="20"/>
                <w:szCs w:val="20"/>
                <w:lang w:eastAsia="sl-SI"/>
              </w:rPr>
            </w:pPr>
            <w:r>
              <w:rPr>
                <w:rFonts w:ascii="Calibri" w:hAnsi="Calibri" w:cs="Calibri"/>
                <w:sz w:val="20"/>
                <w:szCs w:val="20"/>
                <w:lang w:eastAsia="sl-SI"/>
              </w:rPr>
              <w:t>3.3</w:t>
            </w:r>
            <w:r w:rsidR="00220208" w:rsidRPr="00220208">
              <w:rPr>
                <w:rFonts w:ascii="Calibri" w:hAnsi="Calibri" w:cs="Calibri"/>
                <w:sz w:val="20"/>
                <w:szCs w:val="20"/>
                <w:lang w:eastAsia="sl-SI"/>
              </w:rPr>
              <w:t>00.000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50</w:t>
            </w: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ZADOLŽEVANJE</w:t>
            </w:r>
          </w:p>
        </w:tc>
        <w:tc>
          <w:tcPr>
            <w:tcW w:w="1180" w:type="dxa"/>
            <w:tcBorders>
              <w:top w:val="nil"/>
              <w:left w:val="nil"/>
              <w:bottom w:val="nil"/>
              <w:right w:val="nil"/>
            </w:tcBorders>
            <w:shd w:val="clear" w:color="auto" w:fill="auto"/>
            <w:noWrap/>
            <w:vAlign w:val="bottom"/>
            <w:hideMark/>
          </w:tcPr>
          <w:p w:rsidR="00220208" w:rsidRPr="00220208" w:rsidRDefault="002054FB" w:rsidP="00220208">
            <w:pPr>
              <w:jc w:val="right"/>
              <w:rPr>
                <w:rFonts w:ascii="Calibri" w:hAnsi="Calibri" w:cs="Calibri"/>
                <w:sz w:val="20"/>
                <w:szCs w:val="20"/>
                <w:lang w:eastAsia="sl-SI"/>
              </w:rPr>
            </w:pPr>
            <w:r>
              <w:rPr>
                <w:rFonts w:ascii="Calibri" w:hAnsi="Calibri" w:cs="Calibri"/>
                <w:sz w:val="20"/>
                <w:szCs w:val="20"/>
                <w:lang w:eastAsia="sl-SI"/>
              </w:rPr>
              <w:t>3.3</w:t>
            </w:r>
            <w:r w:rsidR="00220208" w:rsidRPr="00220208">
              <w:rPr>
                <w:rFonts w:ascii="Calibri" w:hAnsi="Calibri" w:cs="Calibri"/>
                <w:sz w:val="20"/>
                <w:szCs w:val="20"/>
                <w:lang w:eastAsia="sl-SI"/>
              </w:rPr>
              <w:t>00.000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500 Domače zadolževanje</w:t>
            </w:r>
          </w:p>
        </w:tc>
        <w:tc>
          <w:tcPr>
            <w:tcW w:w="1180" w:type="dxa"/>
            <w:tcBorders>
              <w:top w:val="nil"/>
              <w:left w:val="nil"/>
              <w:bottom w:val="nil"/>
              <w:right w:val="nil"/>
            </w:tcBorders>
            <w:shd w:val="clear" w:color="auto" w:fill="auto"/>
            <w:noWrap/>
            <w:vAlign w:val="bottom"/>
            <w:hideMark/>
          </w:tcPr>
          <w:p w:rsidR="00220208" w:rsidRPr="00220208" w:rsidRDefault="002054FB" w:rsidP="00220208">
            <w:pPr>
              <w:jc w:val="right"/>
              <w:rPr>
                <w:rFonts w:ascii="Calibri" w:hAnsi="Calibri" w:cs="Calibri"/>
                <w:sz w:val="20"/>
                <w:szCs w:val="20"/>
                <w:lang w:eastAsia="sl-SI"/>
              </w:rPr>
            </w:pPr>
            <w:r>
              <w:rPr>
                <w:rFonts w:ascii="Calibri" w:hAnsi="Calibri" w:cs="Calibri"/>
                <w:sz w:val="20"/>
                <w:szCs w:val="20"/>
                <w:lang w:eastAsia="sl-SI"/>
              </w:rPr>
              <w:t>3.3</w:t>
            </w:r>
            <w:r w:rsidR="00220208" w:rsidRPr="00220208">
              <w:rPr>
                <w:rFonts w:ascii="Calibri" w:hAnsi="Calibri" w:cs="Calibri"/>
                <w:sz w:val="20"/>
                <w:szCs w:val="20"/>
                <w:lang w:eastAsia="sl-SI"/>
              </w:rPr>
              <w:t>00.000</w:t>
            </w:r>
          </w:p>
        </w:tc>
      </w:tr>
      <w:tr w:rsidR="00220208" w:rsidRPr="00220208" w:rsidTr="00220208">
        <w:trPr>
          <w:trHeight w:val="510"/>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IX. SPREMEMBA STANJA SREDSTEV NA RAČUNIH (I.+IV.+VII.-II.-V.-VIII.)</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-3.430.000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b/>
                <w:bCs/>
                <w:sz w:val="20"/>
                <w:szCs w:val="20"/>
                <w:lang w:eastAsia="sl-SI"/>
              </w:rPr>
            </w:pPr>
            <w:r w:rsidRPr="00220208">
              <w:rPr>
                <w:rFonts w:ascii="Calibri" w:hAnsi="Calibri" w:cs="Calibri"/>
                <w:b/>
                <w:bCs/>
                <w:sz w:val="20"/>
                <w:szCs w:val="20"/>
                <w:lang w:eastAsia="sl-SI"/>
              </w:rPr>
              <w:t>X. NETO ZADOLŽEVANJE (VII.-VIII.)</w:t>
            </w:r>
          </w:p>
        </w:tc>
        <w:tc>
          <w:tcPr>
            <w:tcW w:w="1180" w:type="dxa"/>
            <w:tcBorders>
              <w:top w:val="nil"/>
              <w:left w:val="nil"/>
              <w:bottom w:val="nil"/>
              <w:right w:val="nil"/>
            </w:tcBorders>
            <w:shd w:val="clear" w:color="auto" w:fill="auto"/>
            <w:noWrap/>
            <w:vAlign w:val="bottom"/>
            <w:hideMark/>
          </w:tcPr>
          <w:p w:rsidR="00220208" w:rsidRPr="00220208" w:rsidRDefault="00B71670" w:rsidP="00220208">
            <w:pPr>
              <w:jc w:val="right"/>
              <w:rPr>
                <w:rFonts w:ascii="Calibri" w:hAnsi="Calibri" w:cs="Calibri"/>
                <w:sz w:val="20"/>
                <w:szCs w:val="20"/>
                <w:lang w:eastAsia="sl-SI"/>
              </w:rPr>
            </w:pPr>
            <w:r>
              <w:rPr>
                <w:rFonts w:ascii="Calibri" w:hAnsi="Calibri" w:cs="Calibri"/>
                <w:sz w:val="20"/>
                <w:szCs w:val="20"/>
                <w:lang w:eastAsia="sl-SI"/>
              </w:rPr>
              <w:t>3.3</w:t>
            </w:r>
            <w:bookmarkStart w:id="0" w:name="_GoBack"/>
            <w:bookmarkEnd w:id="0"/>
            <w:r w:rsidR="00220208" w:rsidRPr="00220208">
              <w:rPr>
                <w:rFonts w:ascii="Calibri" w:hAnsi="Calibri" w:cs="Calibri"/>
                <w:sz w:val="20"/>
                <w:szCs w:val="20"/>
                <w:lang w:eastAsia="sl-SI"/>
              </w:rPr>
              <w:t>00.000</w:t>
            </w:r>
          </w:p>
        </w:tc>
      </w:tr>
      <w:tr w:rsidR="00220208" w:rsidRPr="00220208" w:rsidTr="00220208">
        <w:trPr>
          <w:trHeight w:val="255"/>
        </w:trPr>
        <w:tc>
          <w:tcPr>
            <w:tcW w:w="343" w:type="dxa"/>
            <w:tcBorders>
              <w:top w:val="nil"/>
              <w:left w:val="nil"/>
              <w:bottom w:val="single" w:sz="4" w:space="0" w:color="auto"/>
              <w:right w:val="nil"/>
            </w:tcBorders>
            <w:shd w:val="clear" w:color="auto" w:fill="auto"/>
            <w:noWrap/>
            <w:vAlign w:val="bottom"/>
            <w:hideMark/>
          </w:tcPr>
          <w:p w:rsidR="00220208" w:rsidRPr="00220208" w:rsidRDefault="00220208" w:rsidP="00220208">
            <w:pPr>
              <w:jc w:val="center"/>
              <w:rPr>
                <w:rFonts w:ascii="Calibri" w:hAnsi="Calibri" w:cs="Calibri"/>
                <w:sz w:val="20"/>
                <w:szCs w:val="20"/>
                <w:lang w:eastAsia="sl-SI"/>
              </w:rPr>
            </w:pPr>
            <w:r w:rsidRPr="00220208">
              <w:rPr>
                <w:rFonts w:ascii="Calibri" w:hAnsi="Calibri" w:cs="Calibri"/>
                <w:sz w:val="20"/>
                <w:szCs w:val="20"/>
                <w:lang w:eastAsia="sl-SI"/>
              </w:rPr>
              <w:t> </w:t>
            </w:r>
          </w:p>
        </w:tc>
        <w:tc>
          <w:tcPr>
            <w:tcW w:w="6260" w:type="dxa"/>
            <w:tcBorders>
              <w:top w:val="nil"/>
              <w:left w:val="nil"/>
              <w:bottom w:val="single" w:sz="4" w:space="0" w:color="auto"/>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XI. NETO FINANCIRANJE (VI+VII.-VIII.-IX.)</w:t>
            </w:r>
          </w:p>
        </w:tc>
        <w:tc>
          <w:tcPr>
            <w:tcW w:w="1180" w:type="dxa"/>
            <w:tcBorders>
              <w:top w:val="nil"/>
              <w:left w:val="nil"/>
              <w:bottom w:val="single" w:sz="4" w:space="0" w:color="auto"/>
              <w:right w:val="nil"/>
            </w:tcBorders>
            <w:shd w:val="clear" w:color="auto" w:fill="auto"/>
            <w:noWrap/>
            <w:vAlign w:val="bottom"/>
            <w:hideMark/>
          </w:tcPr>
          <w:p w:rsidR="00220208" w:rsidRPr="00220208" w:rsidRDefault="00B71670" w:rsidP="00220208">
            <w:pPr>
              <w:jc w:val="right"/>
              <w:rPr>
                <w:rFonts w:ascii="Calibri" w:hAnsi="Calibri" w:cs="Calibri"/>
                <w:sz w:val="20"/>
                <w:szCs w:val="20"/>
                <w:lang w:eastAsia="sl-SI"/>
              </w:rPr>
            </w:pPr>
            <w:r>
              <w:rPr>
                <w:rFonts w:ascii="Calibri" w:hAnsi="Calibri" w:cs="Calibri"/>
                <w:sz w:val="20"/>
                <w:szCs w:val="20"/>
                <w:lang w:eastAsia="sl-SI"/>
              </w:rPr>
              <w:t>6.9</w:t>
            </w:r>
            <w:r w:rsidR="00220208" w:rsidRPr="00220208">
              <w:rPr>
                <w:rFonts w:ascii="Calibri" w:hAnsi="Calibri" w:cs="Calibri"/>
                <w:sz w:val="20"/>
                <w:szCs w:val="20"/>
                <w:lang w:eastAsia="sl-SI"/>
              </w:rPr>
              <w:t>47.620</w:t>
            </w:r>
          </w:p>
        </w:tc>
      </w:tr>
      <w:tr w:rsidR="00220208" w:rsidRPr="00220208" w:rsidTr="00220208">
        <w:trPr>
          <w:trHeight w:val="255"/>
        </w:trPr>
        <w:tc>
          <w:tcPr>
            <w:tcW w:w="343"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p>
        </w:tc>
        <w:tc>
          <w:tcPr>
            <w:tcW w:w="6260" w:type="dxa"/>
            <w:tcBorders>
              <w:top w:val="nil"/>
              <w:left w:val="nil"/>
              <w:bottom w:val="nil"/>
              <w:right w:val="nil"/>
            </w:tcBorders>
            <w:shd w:val="clear" w:color="auto" w:fill="auto"/>
            <w:noWrap/>
            <w:vAlign w:val="bottom"/>
            <w:hideMark/>
          </w:tcPr>
          <w:p w:rsidR="00220208" w:rsidRPr="00220208" w:rsidRDefault="00220208" w:rsidP="00220208">
            <w:pPr>
              <w:jc w:val="left"/>
              <w:rPr>
                <w:rFonts w:ascii="Calibri" w:hAnsi="Calibri" w:cs="Calibri"/>
                <w:sz w:val="20"/>
                <w:szCs w:val="20"/>
                <w:lang w:eastAsia="sl-SI"/>
              </w:rPr>
            </w:pPr>
            <w:r w:rsidRPr="00220208">
              <w:rPr>
                <w:rFonts w:ascii="Calibri" w:hAnsi="Calibri" w:cs="Calibri"/>
                <w:sz w:val="20"/>
                <w:szCs w:val="20"/>
                <w:lang w:eastAsia="sl-SI"/>
              </w:rPr>
              <w:t>Stanje na računu preteklega leta 31.12.</w:t>
            </w:r>
          </w:p>
        </w:tc>
        <w:tc>
          <w:tcPr>
            <w:tcW w:w="1180" w:type="dxa"/>
            <w:tcBorders>
              <w:top w:val="nil"/>
              <w:left w:val="nil"/>
              <w:bottom w:val="nil"/>
              <w:right w:val="nil"/>
            </w:tcBorders>
            <w:shd w:val="clear" w:color="auto" w:fill="auto"/>
            <w:noWrap/>
            <w:vAlign w:val="bottom"/>
            <w:hideMark/>
          </w:tcPr>
          <w:p w:rsidR="00220208" w:rsidRPr="00220208" w:rsidRDefault="00220208" w:rsidP="00220208">
            <w:pPr>
              <w:jc w:val="right"/>
              <w:rPr>
                <w:rFonts w:ascii="Calibri" w:hAnsi="Calibri" w:cs="Calibri"/>
                <w:sz w:val="20"/>
                <w:szCs w:val="20"/>
                <w:lang w:eastAsia="sl-SI"/>
              </w:rPr>
            </w:pPr>
            <w:r w:rsidRPr="00220208">
              <w:rPr>
                <w:rFonts w:ascii="Calibri" w:hAnsi="Calibri" w:cs="Calibri"/>
                <w:sz w:val="20"/>
                <w:szCs w:val="20"/>
                <w:lang w:eastAsia="sl-SI"/>
              </w:rPr>
              <w:t>3.430.000</w:t>
            </w:r>
          </w:p>
        </w:tc>
      </w:tr>
    </w:tbl>
    <w:p w:rsidR="00A541B3" w:rsidRPr="000A2BA4" w:rsidRDefault="00A541B3">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1D3FA4" w:rsidRPr="000A2BA4" w:rsidRDefault="001D3FA4">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716A36" w:rsidRPr="000A2BA4" w:rsidRDefault="00716A36">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B52CD3" w:rsidRPr="000A2BA4" w:rsidRDefault="00B52CD3">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w:t>
      </w:r>
      <w:r w:rsidR="0083450E" w:rsidRPr="000A2BA4">
        <w:rPr>
          <w:rFonts w:asciiTheme="minorHAnsi" w:hAnsiTheme="minorHAnsi" w:cstheme="minorHAnsi"/>
          <w:sz w:val="20"/>
        </w:rPr>
        <w:t>ljen na proračunske postavke, ta</w:t>
      </w:r>
      <w:r w:rsidRPr="000A2BA4">
        <w:rPr>
          <w:rFonts w:asciiTheme="minorHAnsi" w:hAnsiTheme="minorHAnsi" w:cstheme="minorHAnsi"/>
          <w:sz w:val="20"/>
        </w:rPr>
        <w:t xml:space="preserve"> pa na pod</w:t>
      </w:r>
      <w:r w:rsidR="00142464" w:rsidRPr="000A2BA4">
        <w:rPr>
          <w:rFonts w:asciiTheme="minorHAnsi" w:hAnsiTheme="minorHAnsi" w:cstheme="minorHAnsi"/>
          <w:sz w:val="20"/>
        </w:rPr>
        <w:t xml:space="preserve"> </w:t>
      </w:r>
      <w:r w:rsidRPr="000A2BA4">
        <w:rPr>
          <w:rFonts w:asciiTheme="minorHAnsi" w:hAnsiTheme="minorHAnsi" w:cstheme="minorHAnsi"/>
          <w:sz w:val="20"/>
        </w:rPr>
        <w:t>konte, določene s predpisanim kontnim načrtom.</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Posebni del proračuna do ravni proračunskih postavk </w:t>
      </w:r>
      <w:r w:rsidR="00F77827" w:rsidRPr="000A2BA4">
        <w:rPr>
          <w:rFonts w:asciiTheme="minorHAnsi" w:hAnsiTheme="minorHAnsi" w:cstheme="minorHAnsi"/>
          <w:sz w:val="20"/>
        </w:rPr>
        <w:t>–</w:t>
      </w:r>
      <w:r w:rsidRPr="000A2BA4">
        <w:rPr>
          <w:rFonts w:asciiTheme="minorHAnsi" w:hAnsiTheme="minorHAnsi" w:cstheme="minorHAnsi"/>
          <w:sz w:val="20"/>
        </w:rPr>
        <w:t xml:space="preserve"> </w:t>
      </w:r>
      <w:r w:rsidR="000B0E94" w:rsidRPr="000A2BA4">
        <w:rPr>
          <w:rFonts w:asciiTheme="minorHAnsi" w:hAnsiTheme="minorHAnsi" w:cstheme="minorHAnsi"/>
          <w:sz w:val="20"/>
        </w:rPr>
        <w:t>pod</w:t>
      </w:r>
      <w:r w:rsidR="00F77827" w:rsidRPr="000A2BA4">
        <w:rPr>
          <w:rFonts w:asciiTheme="minorHAnsi" w:hAnsiTheme="minorHAnsi" w:cstheme="minorHAnsi"/>
          <w:sz w:val="20"/>
        </w:rPr>
        <w:t xml:space="preserve"> </w:t>
      </w:r>
      <w:r w:rsidR="000B0E94" w:rsidRPr="000A2BA4">
        <w:rPr>
          <w:rFonts w:asciiTheme="minorHAnsi" w:hAnsiTheme="minorHAnsi" w:cstheme="minorHAnsi"/>
          <w:sz w:val="20"/>
        </w:rPr>
        <w:t xml:space="preserve">kontov </w:t>
      </w:r>
      <w:r w:rsidRPr="000A2BA4">
        <w:rPr>
          <w:rFonts w:asciiTheme="minorHAnsi" w:hAnsiTheme="minorHAnsi" w:cstheme="minorHAnsi"/>
          <w:sz w:val="20"/>
        </w:rPr>
        <w:t>in načrt razvojnih programov sta prilogi k temu odloku in</w:t>
      </w:r>
      <w:r w:rsidR="00BD441F" w:rsidRPr="000A2BA4">
        <w:rPr>
          <w:rFonts w:asciiTheme="minorHAnsi" w:hAnsiTheme="minorHAnsi" w:cstheme="minorHAnsi"/>
          <w:sz w:val="20"/>
        </w:rPr>
        <w:t xml:space="preserve"> se objavita na spletni strani o</w:t>
      </w:r>
      <w:r w:rsidRPr="000A2BA4">
        <w:rPr>
          <w:rFonts w:asciiTheme="minorHAnsi" w:hAnsiTheme="minorHAnsi" w:cstheme="minorHAnsi"/>
          <w:sz w:val="20"/>
        </w:rPr>
        <w:t>bčine</w:t>
      </w:r>
      <w:r w:rsidR="000B0E94" w:rsidRPr="000A2BA4">
        <w:rPr>
          <w:rFonts w:asciiTheme="minorHAnsi" w:hAnsiTheme="minorHAnsi" w:cstheme="minorHAnsi"/>
          <w:sz w:val="20"/>
        </w:rPr>
        <w:t>.</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rsidP="00792CD6">
      <w:pPr>
        <w:pStyle w:val="Telobesedila"/>
        <w:tabs>
          <w:tab w:val="clear" w:pos="-1440"/>
          <w:tab w:val="left" w:pos="-1080"/>
          <w:tab w:val="left" w:pos="-720"/>
          <w:tab w:val="left" w:pos="0"/>
          <w:tab w:val="left" w:pos="810"/>
          <w:tab w:val="left" w:pos="1080"/>
        </w:tabs>
        <w:outlineLvl w:val="0"/>
        <w:rPr>
          <w:rFonts w:asciiTheme="minorHAnsi" w:hAnsiTheme="minorHAnsi" w:cstheme="minorHAnsi"/>
          <w:sz w:val="20"/>
        </w:rPr>
      </w:pPr>
      <w:r w:rsidRPr="000A2BA4">
        <w:rPr>
          <w:rFonts w:asciiTheme="minorHAnsi" w:hAnsiTheme="minorHAnsi" w:cstheme="minorHAnsi"/>
          <w:sz w:val="20"/>
        </w:rPr>
        <w:t>Načrt razvojnih programov sestavljajo projekti.</w:t>
      </w:r>
    </w:p>
    <w:p w:rsidR="00912998" w:rsidRDefault="00912998">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EF6497" w:rsidRDefault="00EF6497">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EF6497" w:rsidRPr="000A2BA4" w:rsidRDefault="00EF6497">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792CD6" w:rsidRPr="000A2BA4" w:rsidRDefault="00792CD6">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02700B" w:rsidP="00DE474D">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lastRenderedPageBreak/>
        <w:t xml:space="preserve">3. </w:t>
      </w:r>
      <w:r w:rsidR="003D379B" w:rsidRPr="000A2BA4">
        <w:rPr>
          <w:rFonts w:asciiTheme="minorHAnsi" w:hAnsiTheme="minorHAnsi" w:cstheme="minorHAnsi"/>
          <w:sz w:val="20"/>
        </w:rPr>
        <w:t>POSTOPKI IZVRŠEVANJA PRORAČUNA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3.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(izvrševanje proračuna)</w:t>
      </w:r>
    </w:p>
    <w:p w:rsidR="003D379B" w:rsidRPr="000A2BA4" w:rsidRDefault="003D379B">
      <w:pPr>
        <w:pStyle w:val="Telobesedila"/>
        <w:tabs>
          <w:tab w:val="clear" w:pos="-1440"/>
          <w:tab w:val="left" w:pos="-1080"/>
          <w:tab w:val="left" w:pos="-720"/>
          <w:tab w:val="left" w:pos="0"/>
          <w:tab w:val="left" w:pos="810"/>
          <w:tab w:val="left" w:pos="1080"/>
        </w:tabs>
        <w:ind w:left="360"/>
        <w:jc w:val="center"/>
        <w:rPr>
          <w:rFonts w:asciiTheme="minorHAnsi" w:hAnsiTheme="minorHAnsi" w:cstheme="minorHAnsi"/>
          <w:sz w:val="20"/>
        </w:rPr>
      </w:pP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V tekočem letu se izvršuje proračun tekočega leta.</w:t>
      </w: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Proračun se izvršuje skladno z določbami zakona, ki ureja javne finance in podzakonskimi predpisi, izdanimi na njegovi podlagi, in tega odloka</w:t>
      </w: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Proračun se izvršuje na ravni proračunske postavke</w:t>
      </w:r>
      <w:r w:rsidR="003C5CF6" w:rsidRPr="000A2BA4">
        <w:rPr>
          <w:rFonts w:asciiTheme="minorHAnsi" w:hAnsiTheme="minorHAnsi" w:cstheme="minorHAnsi"/>
          <w:sz w:val="20"/>
        </w:rPr>
        <w:t xml:space="preserve"> </w:t>
      </w:r>
      <w:r w:rsidRPr="000A2BA4">
        <w:rPr>
          <w:rFonts w:asciiTheme="minorHAnsi" w:hAnsiTheme="minorHAnsi" w:cstheme="minorHAnsi"/>
          <w:sz w:val="20"/>
        </w:rPr>
        <w:t>- pod</w:t>
      </w:r>
      <w:r w:rsidR="003C5CF6" w:rsidRPr="000A2BA4">
        <w:rPr>
          <w:rFonts w:asciiTheme="minorHAnsi" w:hAnsiTheme="minorHAnsi" w:cstheme="minorHAnsi"/>
          <w:sz w:val="20"/>
        </w:rPr>
        <w:t xml:space="preserve"> </w:t>
      </w:r>
      <w:r w:rsidRPr="000A2BA4">
        <w:rPr>
          <w:rFonts w:asciiTheme="minorHAnsi" w:hAnsiTheme="minorHAnsi" w:cstheme="minorHAnsi"/>
          <w:sz w:val="20"/>
        </w:rPr>
        <w:t>konta.</w:t>
      </w: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Veljavni načrt razvojnih programov tekočega leta mora biti za tekoče leto usklajen z veljavnim proračunom.  </w:t>
      </w:r>
    </w:p>
    <w:p w:rsidR="00BF0A04" w:rsidRPr="000A2BA4" w:rsidRDefault="00BF0A04" w:rsidP="00BF0A04">
      <w:pPr>
        <w:pStyle w:val="Telobesedila"/>
        <w:tabs>
          <w:tab w:val="clear" w:pos="-1440"/>
          <w:tab w:val="left" w:pos="-1080"/>
          <w:tab w:val="left" w:pos="-720"/>
          <w:tab w:val="left" w:pos="0"/>
          <w:tab w:val="left" w:pos="810"/>
          <w:tab w:val="left" w:pos="1080"/>
        </w:tabs>
        <w:outlineLvl w:val="0"/>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4.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(namenski prihodki in odhodki proračuna)</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p>
    <w:p w:rsidR="00246690"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Namenski prihodki proračuna so</w:t>
      </w:r>
      <w:r w:rsidR="00246690" w:rsidRPr="000A2BA4">
        <w:rPr>
          <w:rFonts w:asciiTheme="minorHAnsi" w:hAnsiTheme="minorHAnsi" w:cstheme="minorHAnsi"/>
          <w:sz w:val="20"/>
        </w:rPr>
        <w:t>:</w:t>
      </w:r>
    </w:p>
    <w:p w:rsidR="000B0E94" w:rsidRPr="000A2BA4" w:rsidRDefault="000B0E94" w:rsidP="00246690">
      <w:pPr>
        <w:pStyle w:val="Telobesedila"/>
        <w:numPr>
          <w:ilvl w:val="0"/>
          <w:numId w:val="8"/>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donacije,</w:t>
      </w:r>
    </w:p>
    <w:p w:rsidR="000B0E94" w:rsidRPr="000A2BA4" w:rsidRDefault="000B0E94" w:rsidP="00246690">
      <w:pPr>
        <w:pStyle w:val="Telobesedila"/>
        <w:numPr>
          <w:ilvl w:val="0"/>
          <w:numId w:val="8"/>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pristojbina za vzdrževanje gozdnih cest,</w:t>
      </w:r>
    </w:p>
    <w:p w:rsidR="000B0E94" w:rsidRPr="000A2BA4" w:rsidRDefault="000B0E94" w:rsidP="00246690">
      <w:pPr>
        <w:pStyle w:val="Telobesedila"/>
        <w:numPr>
          <w:ilvl w:val="0"/>
          <w:numId w:val="8"/>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požarna taksa,</w:t>
      </w:r>
    </w:p>
    <w:p w:rsidR="00395C55" w:rsidRPr="000A2BA4" w:rsidRDefault="00395C55" w:rsidP="00246690">
      <w:pPr>
        <w:pStyle w:val="Telobesedila"/>
        <w:numPr>
          <w:ilvl w:val="0"/>
          <w:numId w:val="8"/>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turistična taksa,</w:t>
      </w:r>
    </w:p>
    <w:p w:rsidR="00246690" w:rsidRPr="000A2BA4" w:rsidRDefault="000B0E94" w:rsidP="00246690">
      <w:pPr>
        <w:pStyle w:val="Telobesedila"/>
        <w:numPr>
          <w:ilvl w:val="0"/>
          <w:numId w:val="8"/>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prihodki iz naslova komunalnih prispevkov, </w:t>
      </w:r>
    </w:p>
    <w:p w:rsidR="00246690" w:rsidRPr="000A2BA4" w:rsidRDefault="00246690" w:rsidP="00246690">
      <w:pPr>
        <w:pStyle w:val="Telobesedila"/>
        <w:numPr>
          <w:ilvl w:val="0"/>
          <w:numId w:val="8"/>
        </w:numPr>
        <w:tabs>
          <w:tab w:val="clear" w:pos="-1440"/>
          <w:tab w:val="left" w:pos="-1080"/>
          <w:tab w:val="left" w:pos="-720"/>
          <w:tab w:val="left" w:pos="0"/>
          <w:tab w:val="left" w:pos="810"/>
          <w:tab w:val="left" w:pos="1080"/>
        </w:tabs>
        <w:rPr>
          <w:rFonts w:asciiTheme="minorHAnsi" w:hAnsiTheme="minorHAnsi" w:cstheme="minorHAnsi"/>
          <w:sz w:val="20"/>
        </w:rPr>
      </w:pPr>
      <w:proofErr w:type="spellStart"/>
      <w:r w:rsidRPr="000A2BA4">
        <w:rPr>
          <w:rFonts w:asciiTheme="minorHAnsi" w:hAnsiTheme="minorHAnsi" w:cstheme="minorHAnsi"/>
          <w:sz w:val="20"/>
        </w:rPr>
        <w:t>okoljska</w:t>
      </w:r>
      <w:proofErr w:type="spellEnd"/>
      <w:r w:rsidRPr="000A2BA4">
        <w:rPr>
          <w:rFonts w:asciiTheme="minorHAnsi" w:hAnsiTheme="minorHAnsi" w:cstheme="minorHAnsi"/>
          <w:sz w:val="20"/>
        </w:rPr>
        <w:t xml:space="preserve"> dajatev za onesnaževanje okolja zaradi odvajanja odpadnih voda,</w:t>
      </w:r>
    </w:p>
    <w:p w:rsidR="00246690" w:rsidRPr="000A2BA4" w:rsidRDefault="00246690" w:rsidP="00246690">
      <w:pPr>
        <w:pStyle w:val="Telobesedila"/>
        <w:numPr>
          <w:ilvl w:val="0"/>
          <w:numId w:val="8"/>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prejeta sredstva iz državnega proračuna in javnih agencij za investicije.</w:t>
      </w:r>
    </w:p>
    <w:p w:rsidR="00246690" w:rsidRPr="000A2BA4" w:rsidRDefault="00246690" w:rsidP="00246690">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246690" w:rsidRPr="000A2BA4" w:rsidRDefault="00246690" w:rsidP="00246690">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Če se po sprejemu proračuna vplača namenski prihodek, ki zahteva sorazmeren namenski izdatek, ki v proračunu ni izkazan v zadostni višini, se za višino vplačanega namenskega prihodka lahko poveča obseg teh izdatkov in višina proračuna.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5.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(prerazporejanje pravic porabe)</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Osnova za prerazporejanje pravic porabe je zadnji sprejeti proračun, spremembe proračuna ali rebalans proračuna.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O prerazporeditvah pravic porabe v posebnem delu proračuna </w:t>
      </w:r>
      <w:r w:rsidR="00246690" w:rsidRPr="000A2BA4">
        <w:rPr>
          <w:rFonts w:asciiTheme="minorHAnsi" w:hAnsiTheme="minorHAnsi" w:cstheme="minorHAnsi"/>
          <w:sz w:val="20"/>
        </w:rPr>
        <w:t>med</w:t>
      </w:r>
      <w:r w:rsidRPr="000A2BA4">
        <w:rPr>
          <w:rFonts w:asciiTheme="minorHAnsi" w:hAnsiTheme="minorHAnsi" w:cstheme="minorHAnsi"/>
          <w:sz w:val="20"/>
        </w:rPr>
        <w:t xml:space="preserve"> glavnimi programi v okviru področja proračunske porabe odloča na predlog neposrednega uporabnika predstojnik neposredne</w:t>
      </w:r>
      <w:r w:rsidR="00DB7D89" w:rsidRPr="000A2BA4">
        <w:rPr>
          <w:rFonts w:asciiTheme="minorHAnsi" w:hAnsiTheme="minorHAnsi" w:cstheme="minorHAnsi"/>
          <w:sz w:val="20"/>
        </w:rPr>
        <w:t xml:space="preserve">ga uporabnika, to je </w:t>
      </w:r>
      <w:r w:rsidRPr="000A2BA4">
        <w:rPr>
          <w:rFonts w:asciiTheme="minorHAnsi" w:hAnsiTheme="minorHAnsi" w:cstheme="minorHAnsi"/>
          <w:sz w:val="20"/>
        </w:rPr>
        <w:t>župan</w:t>
      </w:r>
      <w:r w:rsidR="00985555" w:rsidRPr="000A2BA4">
        <w:rPr>
          <w:rFonts w:asciiTheme="minorHAnsi" w:hAnsiTheme="minorHAnsi" w:cstheme="minorHAnsi"/>
          <w:sz w:val="20"/>
        </w:rPr>
        <w:t>.</w:t>
      </w:r>
      <w:r w:rsidRPr="000A2BA4">
        <w:rPr>
          <w:rFonts w:asciiTheme="minorHAnsi" w:hAnsiTheme="minorHAnsi" w:cstheme="minorHAnsi"/>
          <w:sz w:val="20"/>
        </w:rPr>
        <w:t xml:space="preserve"> </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Župan s poročilom o izvrševanju proračuna v mesecu</w:t>
      </w:r>
      <w:r w:rsidR="00985555" w:rsidRPr="000A2BA4">
        <w:rPr>
          <w:rFonts w:asciiTheme="minorHAnsi" w:hAnsiTheme="minorHAnsi" w:cstheme="minorHAnsi"/>
          <w:sz w:val="20"/>
        </w:rPr>
        <w:t xml:space="preserve"> juliju </w:t>
      </w:r>
      <w:r w:rsidRPr="000A2BA4">
        <w:rPr>
          <w:rFonts w:asciiTheme="minorHAnsi" w:hAnsiTheme="minorHAnsi" w:cstheme="minorHAnsi"/>
          <w:sz w:val="20"/>
        </w:rPr>
        <w:t>in konec leta z zaključnim računom poroča občinskemu svetu o veljavnem proračunu za leto</w:t>
      </w:r>
      <w:r w:rsidR="00985555" w:rsidRPr="000A2BA4">
        <w:rPr>
          <w:rFonts w:asciiTheme="minorHAnsi" w:hAnsiTheme="minorHAnsi" w:cstheme="minorHAnsi"/>
          <w:sz w:val="20"/>
        </w:rPr>
        <w:t xml:space="preserve"> </w:t>
      </w:r>
      <w:r w:rsidR="000F50C9" w:rsidRPr="000A2BA4">
        <w:rPr>
          <w:rFonts w:asciiTheme="minorHAnsi" w:hAnsiTheme="minorHAnsi" w:cstheme="minorHAnsi"/>
          <w:sz w:val="20"/>
        </w:rPr>
        <w:t>2021</w:t>
      </w:r>
      <w:r w:rsidR="00985555" w:rsidRPr="000A2BA4">
        <w:rPr>
          <w:rFonts w:asciiTheme="minorHAnsi" w:hAnsiTheme="minorHAnsi" w:cstheme="minorHAnsi"/>
          <w:sz w:val="20"/>
        </w:rPr>
        <w:t xml:space="preserve"> </w:t>
      </w:r>
      <w:r w:rsidRPr="000A2BA4">
        <w:rPr>
          <w:rFonts w:asciiTheme="minorHAnsi" w:hAnsiTheme="minorHAnsi" w:cstheme="minorHAnsi"/>
          <w:sz w:val="20"/>
        </w:rPr>
        <w:t>in njegovi realizaciji.</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6.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(največji dovoljeni obseg prevzetih obveznosti v breme proračunov prihodnjih let)</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2D7681" w:rsidRPr="006E2479" w:rsidRDefault="002D7681" w:rsidP="002D7681">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6E2479">
        <w:rPr>
          <w:rFonts w:asciiTheme="minorHAnsi" w:hAnsiTheme="minorHAnsi" w:cstheme="minorHAnsi"/>
          <w:sz w:val="20"/>
        </w:rPr>
        <w:t xml:space="preserve">Neposredni uporabnik lahko v tekočem letu </w:t>
      </w:r>
      <w:r w:rsidR="006E2479" w:rsidRPr="006E2479">
        <w:rPr>
          <w:rFonts w:asciiTheme="minorHAnsi" w:hAnsiTheme="minorHAnsi" w:cstheme="minorHAnsi"/>
          <w:sz w:val="20"/>
        </w:rPr>
        <w:t>odda</w:t>
      </w:r>
      <w:r w:rsidRPr="006E2479">
        <w:rPr>
          <w:rFonts w:asciiTheme="minorHAnsi" w:hAnsiTheme="minorHAnsi" w:cstheme="minorHAnsi"/>
          <w:sz w:val="20"/>
        </w:rPr>
        <w:t xml:space="preserve"> javno naročilo za celotno vrednost projekta, ki je vključen v načrt razvojnih programov, če so zanj načrtovane pravice porabe na proračunskih postavkah v sprejetem proračunu.</w:t>
      </w:r>
    </w:p>
    <w:p w:rsidR="002D7681" w:rsidRPr="000A2BA4" w:rsidRDefault="002D7681" w:rsidP="002D7681">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6E2479">
        <w:rPr>
          <w:rFonts w:asciiTheme="minorHAnsi" w:hAnsiTheme="minorHAnsi" w:cstheme="minorHAnsi"/>
          <w:sz w:val="20"/>
        </w:rPr>
        <w:t xml:space="preserve">Skupni obseg prevzetih obveznosti neposrednega uporabnika, ki bodo zapadle v plačilo v prihodnjih letih za investicijske odhodke in investicijske transfere ne sme presegati </w:t>
      </w:r>
      <w:r w:rsidR="006E2479" w:rsidRPr="006E2479">
        <w:rPr>
          <w:rFonts w:asciiTheme="minorHAnsi" w:hAnsiTheme="minorHAnsi" w:cstheme="minorHAnsi"/>
          <w:sz w:val="20"/>
        </w:rPr>
        <w:t>80</w:t>
      </w:r>
      <w:r w:rsidRPr="006E2479">
        <w:rPr>
          <w:rFonts w:asciiTheme="minorHAnsi" w:hAnsiTheme="minorHAnsi" w:cstheme="minorHAnsi"/>
          <w:sz w:val="20"/>
        </w:rPr>
        <w:t xml:space="preserve"> % pravic porabe v sprejetem finančnem načrtu neposrednega uporabnika.</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7.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(spreminjanje načrta razvojnih programov)</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985555">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lastRenderedPageBreak/>
        <w:t>Župan</w:t>
      </w:r>
      <w:r w:rsidR="003D379B" w:rsidRPr="000A2BA4">
        <w:rPr>
          <w:rFonts w:asciiTheme="minorHAnsi" w:hAnsiTheme="minorHAnsi" w:cstheme="minorHAnsi"/>
          <w:sz w:val="20"/>
        </w:rPr>
        <w:t xml:space="preserve"> lahko spreminja vrednost projektov v načrtu razvojnih programov</w:t>
      </w:r>
      <w:r w:rsidR="0085432B" w:rsidRPr="000A2BA4">
        <w:rPr>
          <w:rFonts w:asciiTheme="minorHAnsi" w:hAnsiTheme="minorHAnsi" w:cstheme="minorHAnsi"/>
          <w:sz w:val="20"/>
        </w:rPr>
        <w:t xml:space="preserve"> za največ</w:t>
      </w:r>
      <w:r w:rsidR="002C5056" w:rsidRPr="000A2BA4">
        <w:rPr>
          <w:rFonts w:asciiTheme="minorHAnsi" w:hAnsiTheme="minorHAnsi" w:cstheme="minorHAnsi"/>
          <w:sz w:val="20"/>
        </w:rPr>
        <w:t xml:space="preserve"> 20</w:t>
      </w:r>
      <w:r w:rsidR="00201530" w:rsidRPr="000A2BA4">
        <w:rPr>
          <w:rFonts w:asciiTheme="minorHAnsi" w:hAnsiTheme="minorHAnsi" w:cstheme="minorHAnsi"/>
          <w:sz w:val="20"/>
        </w:rPr>
        <w:t xml:space="preserve"> </w:t>
      </w:r>
      <w:r w:rsidR="002C5056" w:rsidRPr="000A2BA4">
        <w:rPr>
          <w:rFonts w:asciiTheme="minorHAnsi" w:hAnsiTheme="minorHAnsi" w:cstheme="minorHAnsi"/>
          <w:sz w:val="20"/>
        </w:rPr>
        <w:t xml:space="preserve">%.  V primeru  premalo planiranih sredstev za tekoče leto, ta sredstva lahko  črpa iz tekoče proračunske rezerve. </w:t>
      </w:r>
      <w:r w:rsidR="003D379B" w:rsidRPr="000A2BA4">
        <w:rPr>
          <w:rFonts w:asciiTheme="minorHAnsi" w:hAnsiTheme="minorHAnsi" w:cstheme="minorHAnsi"/>
          <w:sz w:val="20"/>
        </w:rPr>
        <w:t>Projekte, katerih vrednost se spremeni za več kot 20</w:t>
      </w:r>
      <w:r w:rsidR="00201530" w:rsidRPr="000A2BA4">
        <w:rPr>
          <w:rFonts w:asciiTheme="minorHAnsi" w:hAnsiTheme="minorHAnsi" w:cstheme="minorHAnsi"/>
          <w:sz w:val="20"/>
        </w:rPr>
        <w:t xml:space="preserve"> </w:t>
      </w:r>
      <w:r w:rsidR="003D379B" w:rsidRPr="000A2BA4">
        <w:rPr>
          <w:rFonts w:asciiTheme="minorHAnsi" w:hAnsiTheme="minorHAnsi" w:cstheme="minorHAnsi"/>
          <w:sz w:val="20"/>
        </w:rPr>
        <w:t>% mora predhodno potrditi občinski svet.</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Projekti, za katere se zaradi prenosa plačil v tekoče leto, zaključek financiranja prestavi iz predhodnega v tekoče leto, se uvrstijo v načrt razvojnih programov po uveljavitvi proračuna.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rsidP="00792CD6">
      <w:pPr>
        <w:pStyle w:val="Telobesedila"/>
        <w:tabs>
          <w:tab w:val="clear" w:pos="-1440"/>
          <w:tab w:val="left" w:pos="-1080"/>
          <w:tab w:val="left" w:pos="-720"/>
          <w:tab w:val="left" w:pos="0"/>
          <w:tab w:val="left" w:pos="810"/>
          <w:tab w:val="left" w:pos="1080"/>
        </w:tabs>
        <w:outlineLvl w:val="0"/>
        <w:rPr>
          <w:rFonts w:asciiTheme="minorHAnsi" w:hAnsiTheme="minorHAnsi" w:cstheme="minorHAnsi"/>
          <w:sz w:val="20"/>
        </w:rPr>
      </w:pPr>
      <w:r w:rsidRPr="000A2BA4">
        <w:rPr>
          <w:rFonts w:asciiTheme="minorHAnsi" w:hAnsiTheme="minorHAnsi" w:cstheme="minorHAnsi"/>
          <w:sz w:val="20"/>
        </w:rPr>
        <w:t>Novi projekti se uvrstijo v načrt razvojnih programov na podlagi odločitve občinskega sveta.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8.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(proračunski skladi)</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FA30BE">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Proračunski skladi so</w:t>
      </w:r>
      <w:r w:rsidR="00DE5527" w:rsidRPr="000A2BA4">
        <w:rPr>
          <w:rFonts w:asciiTheme="minorHAnsi" w:hAnsiTheme="minorHAnsi" w:cstheme="minorHAnsi"/>
          <w:sz w:val="20"/>
        </w:rPr>
        <w:t>;</w:t>
      </w:r>
    </w:p>
    <w:p w:rsidR="00DE5527" w:rsidRPr="000A2BA4" w:rsidRDefault="00DE5527" w:rsidP="00DE5527">
      <w:pPr>
        <w:pStyle w:val="Telobesedila"/>
        <w:numPr>
          <w:ilvl w:val="0"/>
          <w:numId w:val="11"/>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podračun proračunske rezerve, oblikovane po ZJF . </w:t>
      </w:r>
    </w:p>
    <w:p w:rsidR="00DE5527" w:rsidRPr="000A2BA4" w:rsidRDefault="00FA30BE" w:rsidP="00DE5527">
      <w:pPr>
        <w:pStyle w:val="Telobesedila"/>
        <w:numPr>
          <w:ilvl w:val="0"/>
          <w:numId w:val="11"/>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w:t>
      </w:r>
      <w:r w:rsidR="00DE5527" w:rsidRPr="000A2BA4">
        <w:rPr>
          <w:rFonts w:asciiTheme="minorHAnsi" w:hAnsiTheme="minorHAnsi" w:cstheme="minorHAnsi"/>
          <w:sz w:val="20"/>
        </w:rPr>
        <w:t>odračun stanovanjskega sklada</w:t>
      </w:r>
    </w:p>
    <w:p w:rsidR="004260EA" w:rsidRPr="000A2BA4" w:rsidRDefault="005D43C0" w:rsidP="00DE5527">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Občina oblikuje</w:t>
      </w:r>
      <w:r w:rsidR="00DE5527" w:rsidRPr="000A2BA4">
        <w:rPr>
          <w:rFonts w:asciiTheme="minorHAnsi" w:hAnsiTheme="minorHAnsi" w:cstheme="minorHAnsi"/>
          <w:sz w:val="20"/>
        </w:rPr>
        <w:t xml:space="preserve"> proračunske rezerve iz prve točke v zakon</w:t>
      </w:r>
      <w:r w:rsidRPr="000A2BA4">
        <w:rPr>
          <w:rFonts w:asciiTheme="minorHAnsi" w:hAnsiTheme="minorHAnsi" w:cstheme="minorHAnsi"/>
          <w:sz w:val="20"/>
        </w:rPr>
        <w:t xml:space="preserve">ski višini </w:t>
      </w:r>
      <w:r w:rsidRPr="000A2BA4">
        <w:rPr>
          <w:rStyle w:val="mrppsc"/>
          <w:rFonts w:asciiTheme="minorHAnsi" w:hAnsiTheme="minorHAnsi" w:cstheme="minorHAnsi"/>
          <w:sz w:val="20"/>
        </w:rPr>
        <w:t>največ do višine 1,5% prejemkov proračuna.</w:t>
      </w:r>
      <w:r w:rsidR="0015012D" w:rsidRPr="000A2BA4">
        <w:rPr>
          <w:rFonts w:asciiTheme="minorHAnsi" w:hAnsiTheme="minorHAnsi" w:cstheme="minorHAnsi"/>
          <w:sz w:val="20"/>
        </w:rPr>
        <w:t xml:space="preserve"> </w:t>
      </w:r>
      <w:r w:rsidR="00DE5527" w:rsidRPr="000A2BA4">
        <w:rPr>
          <w:rFonts w:asciiTheme="minorHAnsi" w:hAnsiTheme="minorHAnsi" w:cstheme="minorHAnsi"/>
          <w:sz w:val="20"/>
        </w:rPr>
        <w:t>Proračunske rezerve</w:t>
      </w:r>
      <w:r w:rsidR="004260EA" w:rsidRPr="000A2BA4">
        <w:rPr>
          <w:rFonts w:asciiTheme="minorHAnsi" w:hAnsiTheme="minorHAnsi" w:cstheme="minorHAnsi"/>
          <w:sz w:val="20"/>
        </w:rPr>
        <w:t>:</w:t>
      </w:r>
    </w:p>
    <w:p w:rsidR="004260EA" w:rsidRPr="000A2BA4" w:rsidRDefault="00DE5527" w:rsidP="004260EA">
      <w:pPr>
        <w:pStyle w:val="Telobesedila"/>
        <w:numPr>
          <w:ilvl w:val="0"/>
          <w:numId w:val="12"/>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za s</w:t>
      </w:r>
      <w:r w:rsidR="0015012D" w:rsidRPr="000A2BA4">
        <w:rPr>
          <w:rFonts w:asciiTheme="minorHAnsi" w:hAnsiTheme="minorHAnsi" w:cstheme="minorHAnsi"/>
          <w:sz w:val="20"/>
        </w:rPr>
        <w:t xml:space="preserve">tanovanjski sklad se v letu </w:t>
      </w:r>
      <w:r w:rsidR="007F187A" w:rsidRPr="000A2BA4">
        <w:rPr>
          <w:rFonts w:asciiTheme="minorHAnsi" w:hAnsiTheme="minorHAnsi" w:cstheme="minorHAnsi"/>
          <w:sz w:val="20"/>
        </w:rPr>
        <w:t>2021</w:t>
      </w:r>
      <w:r w:rsidRPr="000A2BA4">
        <w:rPr>
          <w:rFonts w:asciiTheme="minorHAnsi" w:hAnsiTheme="minorHAnsi" w:cstheme="minorHAnsi"/>
          <w:sz w:val="20"/>
        </w:rPr>
        <w:t xml:space="preserve"> </w:t>
      </w:r>
      <w:r w:rsidR="004260EA" w:rsidRPr="000A2BA4">
        <w:rPr>
          <w:rFonts w:asciiTheme="minorHAnsi" w:hAnsiTheme="minorHAnsi" w:cstheme="minorHAnsi"/>
          <w:sz w:val="20"/>
        </w:rPr>
        <w:t xml:space="preserve">oblikujejo v višini </w:t>
      </w:r>
      <w:r w:rsidR="00AD77A0" w:rsidRPr="000A2BA4">
        <w:rPr>
          <w:rFonts w:asciiTheme="minorHAnsi" w:hAnsiTheme="minorHAnsi" w:cstheme="minorHAnsi"/>
          <w:sz w:val="20"/>
        </w:rPr>
        <w:t>513</w:t>
      </w:r>
      <w:r w:rsidR="00FA30BE" w:rsidRPr="000A2BA4">
        <w:rPr>
          <w:rFonts w:asciiTheme="minorHAnsi" w:hAnsiTheme="minorHAnsi" w:cstheme="minorHAnsi"/>
          <w:sz w:val="20"/>
        </w:rPr>
        <w:t xml:space="preserve"> €</w:t>
      </w:r>
      <w:r w:rsidR="004260EA" w:rsidRPr="000A2BA4">
        <w:rPr>
          <w:rFonts w:asciiTheme="minorHAnsi" w:hAnsiTheme="minorHAnsi" w:cstheme="minorHAnsi"/>
          <w:sz w:val="20"/>
        </w:rPr>
        <w:t xml:space="preserve">, </w:t>
      </w:r>
    </w:p>
    <w:p w:rsidR="00DE5527" w:rsidRPr="000A2BA4" w:rsidRDefault="004260EA" w:rsidP="004260EA">
      <w:pPr>
        <w:pStyle w:val="Telobesedila"/>
        <w:numPr>
          <w:ilvl w:val="0"/>
          <w:numId w:val="12"/>
        </w:numPr>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za naravne nesreče se v letu </w:t>
      </w:r>
      <w:r w:rsidR="007F187A" w:rsidRPr="000A2BA4">
        <w:rPr>
          <w:rFonts w:asciiTheme="minorHAnsi" w:hAnsiTheme="minorHAnsi" w:cstheme="minorHAnsi"/>
          <w:sz w:val="20"/>
        </w:rPr>
        <w:t>2021</w:t>
      </w:r>
      <w:r w:rsidRPr="000A2BA4">
        <w:rPr>
          <w:rFonts w:asciiTheme="minorHAnsi" w:hAnsiTheme="minorHAnsi" w:cstheme="minorHAnsi"/>
          <w:sz w:val="20"/>
        </w:rPr>
        <w:t xml:space="preserve"> oblikuje v višini 18.000 €.</w:t>
      </w:r>
    </w:p>
    <w:p w:rsidR="00E86F6E" w:rsidRPr="000A2BA4" w:rsidRDefault="00E86F6E" w:rsidP="00DE5527">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Na predlog za finance pristojnega organa občinske uprave odloča o uporabi sredstev proračunske rezerve za namene iz drugega odstavka 49. člena ZJF do višine</w:t>
      </w:r>
      <w:r w:rsidR="008138F6" w:rsidRPr="000A2BA4">
        <w:rPr>
          <w:rFonts w:asciiTheme="minorHAnsi" w:hAnsiTheme="minorHAnsi" w:cstheme="minorHAnsi"/>
          <w:sz w:val="20"/>
        </w:rPr>
        <w:t xml:space="preserve"> 6.500</w:t>
      </w:r>
      <w:r w:rsidR="00817C12" w:rsidRPr="000A2BA4">
        <w:rPr>
          <w:rFonts w:asciiTheme="minorHAnsi" w:hAnsiTheme="minorHAnsi" w:cstheme="minorHAnsi"/>
          <w:sz w:val="20"/>
        </w:rPr>
        <w:t>,00</w:t>
      </w:r>
      <w:r w:rsidR="008138F6" w:rsidRPr="000A2BA4">
        <w:rPr>
          <w:rFonts w:asciiTheme="minorHAnsi" w:hAnsiTheme="minorHAnsi" w:cstheme="minorHAnsi"/>
          <w:sz w:val="20"/>
        </w:rPr>
        <w:t xml:space="preserve"> </w:t>
      </w:r>
      <w:r w:rsidR="00FA30BE" w:rsidRPr="000A2BA4">
        <w:rPr>
          <w:rFonts w:asciiTheme="minorHAnsi" w:hAnsiTheme="minorHAnsi" w:cstheme="minorHAnsi"/>
          <w:sz w:val="20"/>
        </w:rPr>
        <w:t>€</w:t>
      </w:r>
      <w:r w:rsidRPr="000A2BA4">
        <w:rPr>
          <w:rFonts w:asciiTheme="minorHAnsi" w:hAnsiTheme="minorHAnsi" w:cstheme="minorHAnsi"/>
          <w:sz w:val="20"/>
        </w:rPr>
        <w:t xml:space="preserve"> župan in o tem s pisnimi poročili obvešča občinski svet.</w:t>
      </w:r>
    </w:p>
    <w:p w:rsidR="00F518EF" w:rsidRPr="000A2BA4" w:rsidRDefault="00F518EF">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F518EF" w:rsidRPr="000A2BA4" w:rsidRDefault="00F518EF" w:rsidP="00F518EF">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9. člen</w:t>
      </w:r>
    </w:p>
    <w:p w:rsidR="00F518EF" w:rsidRPr="000A2BA4" w:rsidRDefault="00F518EF" w:rsidP="00F518EF">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(splošna proračunska rezervacija)</w:t>
      </w:r>
    </w:p>
    <w:p w:rsidR="00F518EF" w:rsidRPr="000A2BA4" w:rsidRDefault="00F518EF" w:rsidP="00F518EF">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p>
    <w:p w:rsidR="00F518EF" w:rsidRPr="000A2BA4" w:rsidRDefault="00F518EF" w:rsidP="00F518EF">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V proračunu se do višine, določene v posebnem delu, zagotovijo sredstva splošne proračunske rezervacije, ki je namenjena financiranju odhodkov, ki jih ob sprejemanju proračuna ni bilo mogoče predvideti ali zanje ni bilo mogoče predvideti zadostnih sredstev. O uporabi splošne proračunske rezervacije odloča župan. </w:t>
      </w:r>
    </w:p>
    <w:p w:rsidR="00F518EF" w:rsidRPr="000A2BA4" w:rsidRDefault="00F518EF" w:rsidP="00F518EF">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p>
    <w:p w:rsidR="003B570D" w:rsidRPr="000A2BA4" w:rsidRDefault="00F518EF" w:rsidP="003B570D">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10</w:t>
      </w:r>
      <w:r w:rsidR="003B570D" w:rsidRPr="000A2BA4">
        <w:rPr>
          <w:rFonts w:asciiTheme="minorHAnsi" w:hAnsiTheme="minorHAnsi" w:cstheme="minorHAnsi"/>
          <w:sz w:val="20"/>
        </w:rPr>
        <w:t>. člen</w:t>
      </w:r>
    </w:p>
    <w:p w:rsidR="003B570D" w:rsidRPr="000A2BA4" w:rsidRDefault="003B570D" w:rsidP="003B570D">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(pooblastila županu)</w:t>
      </w:r>
    </w:p>
    <w:p w:rsidR="003B570D" w:rsidRPr="000A2BA4" w:rsidRDefault="003B570D" w:rsidP="003B570D">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p>
    <w:p w:rsidR="006338E8" w:rsidRPr="000A2BA4" w:rsidRDefault="003B570D" w:rsidP="0015012D">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S tem odlokom občinski svet Občine Cerklje na Gorenjskem pooblašča župana, da potrdi  investicijsko dokumentacijo za projekte, </w:t>
      </w:r>
      <w:r w:rsidR="007D57D3" w:rsidRPr="000A2BA4">
        <w:rPr>
          <w:rFonts w:asciiTheme="minorHAnsi" w:hAnsiTheme="minorHAnsi" w:cstheme="minorHAnsi"/>
          <w:sz w:val="20"/>
        </w:rPr>
        <w:t>pripravljene na podlagi določil Uredbe o enotni metodologiji za pripravo in obravnavo investicijske dokumentacije na področju javnih financ (</w:t>
      </w:r>
      <w:r w:rsidR="004270F5" w:rsidRPr="000A2BA4">
        <w:rPr>
          <w:rFonts w:asciiTheme="minorHAnsi" w:hAnsiTheme="minorHAnsi" w:cstheme="minorHAnsi"/>
          <w:bCs/>
          <w:sz w:val="20"/>
        </w:rPr>
        <w:t xml:space="preserve">Uradni list RS, št. </w:t>
      </w:r>
      <w:hyperlink r:id="rId21" w:tgtFrame="_blank" w:tooltip="Uredba o enotni metodologiji za pripravo in obravnavo investicijske dokumentacije na področju javnih financ" w:history="1">
        <w:r w:rsidR="004270F5" w:rsidRPr="000A2BA4">
          <w:rPr>
            <w:rFonts w:asciiTheme="minorHAnsi" w:hAnsiTheme="minorHAnsi" w:cstheme="minorHAnsi"/>
            <w:bCs/>
            <w:sz w:val="20"/>
          </w:rPr>
          <w:t>60/06</w:t>
        </w:r>
      </w:hyperlink>
      <w:r w:rsidR="004270F5" w:rsidRPr="000A2BA4">
        <w:rPr>
          <w:rFonts w:asciiTheme="minorHAnsi" w:hAnsiTheme="minorHAnsi" w:cstheme="minorHAnsi"/>
          <w:bCs/>
          <w:sz w:val="20"/>
        </w:rPr>
        <w:t xml:space="preserve">, </w:t>
      </w:r>
      <w:hyperlink r:id="rId22" w:tgtFrame="_blank" w:tooltip="Uredba o spremembah in dopolnitvah Uredbe o enotni metodologiji za pripravo in obravnavo investicijske dokumentacije na področju javnih financ" w:history="1">
        <w:r w:rsidR="004270F5" w:rsidRPr="000A2BA4">
          <w:rPr>
            <w:rFonts w:asciiTheme="minorHAnsi" w:hAnsiTheme="minorHAnsi" w:cstheme="minorHAnsi"/>
            <w:bCs/>
            <w:sz w:val="20"/>
          </w:rPr>
          <w:t>54/10</w:t>
        </w:r>
      </w:hyperlink>
      <w:r w:rsidR="004270F5" w:rsidRPr="000A2BA4">
        <w:rPr>
          <w:rFonts w:asciiTheme="minorHAnsi" w:hAnsiTheme="minorHAnsi" w:cstheme="minorHAnsi"/>
          <w:bCs/>
          <w:sz w:val="20"/>
        </w:rPr>
        <w:t xml:space="preserve"> in </w:t>
      </w:r>
      <w:hyperlink r:id="rId23" w:tgtFrame="_blank" w:tooltip="Uredba o spremembah in dopolnitvah Uredbe o enotni metodologiji za pripravo in obravnavo investicijske dokumentacije na področju javnih financ" w:history="1">
        <w:r w:rsidR="004270F5" w:rsidRPr="000A2BA4">
          <w:rPr>
            <w:rFonts w:asciiTheme="minorHAnsi" w:hAnsiTheme="minorHAnsi" w:cstheme="minorHAnsi"/>
            <w:bCs/>
            <w:sz w:val="20"/>
          </w:rPr>
          <w:t>27/16</w:t>
        </w:r>
      </w:hyperlink>
      <w:r w:rsidR="007D57D3" w:rsidRPr="000A2BA4">
        <w:rPr>
          <w:rFonts w:asciiTheme="minorHAnsi" w:hAnsiTheme="minorHAnsi" w:cstheme="minorHAnsi"/>
          <w:sz w:val="20"/>
        </w:rPr>
        <w:t>)</w:t>
      </w:r>
    </w:p>
    <w:p w:rsidR="006338E8" w:rsidRPr="000A2BA4" w:rsidRDefault="006338E8" w:rsidP="00792CD6">
      <w:pPr>
        <w:pStyle w:val="Telobesedila"/>
        <w:tabs>
          <w:tab w:val="clear" w:pos="-1440"/>
          <w:tab w:val="left" w:pos="-1080"/>
          <w:tab w:val="left" w:pos="-720"/>
          <w:tab w:val="left" w:pos="0"/>
          <w:tab w:val="left" w:pos="810"/>
          <w:tab w:val="left" w:pos="1080"/>
        </w:tabs>
        <w:outlineLvl w:val="0"/>
        <w:rPr>
          <w:rFonts w:asciiTheme="minorHAnsi" w:hAnsiTheme="minorHAnsi" w:cstheme="minorHAnsi"/>
          <w:bCs/>
          <w:sz w:val="20"/>
        </w:rPr>
      </w:pPr>
    </w:p>
    <w:p w:rsidR="0015012D" w:rsidRPr="000A2BA4" w:rsidRDefault="0015012D" w:rsidP="00792CD6">
      <w:pPr>
        <w:pStyle w:val="Telobesedila"/>
        <w:tabs>
          <w:tab w:val="clear" w:pos="-1440"/>
          <w:tab w:val="left" w:pos="-1080"/>
          <w:tab w:val="left" w:pos="-720"/>
          <w:tab w:val="left" w:pos="0"/>
          <w:tab w:val="left" w:pos="810"/>
          <w:tab w:val="left" w:pos="1080"/>
        </w:tabs>
        <w:outlineLvl w:val="0"/>
        <w:rPr>
          <w:rFonts w:asciiTheme="minorHAnsi" w:hAnsiTheme="minorHAnsi" w:cstheme="minorHAnsi"/>
          <w:bCs/>
          <w:sz w:val="20"/>
        </w:rPr>
      </w:pPr>
    </w:p>
    <w:p w:rsidR="00F518EF" w:rsidRPr="000A2BA4" w:rsidRDefault="003D379B" w:rsidP="00DE474D">
      <w:pPr>
        <w:pStyle w:val="Telobesedila"/>
        <w:tabs>
          <w:tab w:val="clear" w:pos="-1440"/>
          <w:tab w:val="left" w:pos="-1080"/>
          <w:tab w:val="left" w:pos="-720"/>
          <w:tab w:val="left" w:pos="0"/>
          <w:tab w:val="left" w:pos="810"/>
          <w:tab w:val="left" w:pos="1080"/>
        </w:tabs>
        <w:jc w:val="center"/>
        <w:outlineLvl w:val="0"/>
        <w:rPr>
          <w:rFonts w:asciiTheme="minorHAnsi" w:hAnsiTheme="minorHAnsi" w:cstheme="minorHAnsi"/>
          <w:bCs/>
          <w:sz w:val="20"/>
        </w:rPr>
      </w:pPr>
      <w:r w:rsidRPr="000A2BA4">
        <w:rPr>
          <w:rFonts w:asciiTheme="minorHAnsi" w:hAnsiTheme="minorHAnsi" w:cstheme="minorHAnsi"/>
          <w:bCs/>
          <w:sz w:val="20"/>
        </w:rPr>
        <w:t xml:space="preserve">4. POSEBNOSTI </w:t>
      </w:r>
      <w:r w:rsidR="00F518EF" w:rsidRPr="000A2BA4">
        <w:rPr>
          <w:rFonts w:asciiTheme="minorHAnsi" w:hAnsiTheme="minorHAnsi" w:cstheme="minorHAnsi"/>
          <w:bCs/>
          <w:sz w:val="20"/>
        </w:rPr>
        <w:t>RAVNANJA S STVARNIM PREMOŽENJEM</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p>
    <w:p w:rsidR="003D379B" w:rsidRPr="000A2BA4" w:rsidRDefault="003B570D">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1</w:t>
      </w:r>
      <w:r w:rsidR="00AD351F" w:rsidRPr="000A2BA4">
        <w:rPr>
          <w:rFonts w:asciiTheme="minorHAnsi" w:hAnsiTheme="minorHAnsi" w:cstheme="minorHAnsi"/>
          <w:sz w:val="20"/>
        </w:rPr>
        <w:t>1</w:t>
      </w:r>
      <w:r w:rsidR="003D379B" w:rsidRPr="000A2BA4">
        <w:rPr>
          <w:rFonts w:asciiTheme="minorHAnsi" w:hAnsiTheme="minorHAnsi" w:cstheme="minorHAnsi"/>
          <w:sz w:val="20"/>
        </w:rPr>
        <w:t>. člen</w:t>
      </w:r>
    </w:p>
    <w:p w:rsidR="003D379B" w:rsidRPr="000A2BA4" w:rsidRDefault="00E66122" w:rsidP="00E66122">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(odpis dolga)</w:t>
      </w:r>
    </w:p>
    <w:p w:rsidR="00E66122" w:rsidRPr="000A2BA4" w:rsidRDefault="00E66122">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Če so izpolnjeni pogoji iz tretjega odstavka 77. čl</w:t>
      </w:r>
      <w:r w:rsidR="00735A85" w:rsidRPr="000A2BA4">
        <w:rPr>
          <w:rFonts w:asciiTheme="minorHAnsi" w:hAnsiTheme="minorHAnsi" w:cstheme="minorHAnsi"/>
          <w:sz w:val="20"/>
        </w:rPr>
        <w:t xml:space="preserve">ena ZJF, lahko župan v letu </w:t>
      </w:r>
      <w:r w:rsidR="00B323B1" w:rsidRPr="000A2BA4">
        <w:rPr>
          <w:rFonts w:asciiTheme="minorHAnsi" w:hAnsiTheme="minorHAnsi" w:cstheme="minorHAnsi"/>
          <w:sz w:val="20"/>
        </w:rPr>
        <w:t>2021</w:t>
      </w:r>
      <w:r w:rsidRPr="000A2BA4">
        <w:rPr>
          <w:rFonts w:asciiTheme="minorHAnsi" w:hAnsiTheme="minorHAnsi" w:cstheme="minorHAnsi"/>
          <w:sz w:val="20"/>
        </w:rPr>
        <w:t xml:space="preserve"> odpiše dolgove, ki jih imajo dolžniki do občine, in sicer največ</w:t>
      </w:r>
      <w:r w:rsidR="00DE474D" w:rsidRPr="000A2BA4">
        <w:rPr>
          <w:rFonts w:asciiTheme="minorHAnsi" w:hAnsiTheme="minorHAnsi" w:cstheme="minorHAnsi"/>
          <w:sz w:val="20"/>
        </w:rPr>
        <w:t xml:space="preserve"> do skupne višine 5.000</w:t>
      </w:r>
      <w:r w:rsidR="00FA30BE" w:rsidRPr="000A2BA4">
        <w:rPr>
          <w:rFonts w:asciiTheme="minorHAnsi" w:hAnsiTheme="minorHAnsi" w:cstheme="minorHAnsi"/>
          <w:sz w:val="20"/>
        </w:rPr>
        <w:t xml:space="preserve"> €</w:t>
      </w:r>
      <w:r w:rsidRPr="000A2BA4">
        <w:rPr>
          <w:rFonts w:asciiTheme="minorHAnsi" w:hAnsiTheme="minorHAnsi" w:cstheme="minorHAnsi"/>
          <w:sz w:val="20"/>
        </w:rPr>
        <w:t>.</w:t>
      </w: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BF0A04" w:rsidRPr="000A2BA4" w:rsidRDefault="00BF0A04"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Obseg sredstev se v primerih, ko dolg do posameznega dolžnika neposrednega uporabnika ne presega stroška </w:t>
      </w:r>
      <w:r w:rsidR="00FD0B52" w:rsidRPr="000A2BA4">
        <w:rPr>
          <w:rFonts w:asciiTheme="minorHAnsi" w:hAnsiTheme="minorHAnsi" w:cstheme="minorHAnsi"/>
          <w:sz w:val="20"/>
        </w:rPr>
        <w:t>2 €</w:t>
      </w:r>
      <w:r w:rsidRPr="000A2BA4">
        <w:rPr>
          <w:rFonts w:asciiTheme="minorHAnsi" w:hAnsiTheme="minorHAnsi" w:cstheme="minorHAnsi"/>
          <w:sz w:val="20"/>
        </w:rPr>
        <w:t>, v poslovnih knjigah razknjiži in se v kvoto iz prvega odstavka tega člena ne všteva.</w:t>
      </w:r>
    </w:p>
    <w:p w:rsidR="002D7681" w:rsidRPr="000A2BA4" w:rsidRDefault="002D7681" w:rsidP="00BF0A04">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2D7681" w:rsidRPr="000A2BA4" w:rsidRDefault="002D7681" w:rsidP="002D7681">
      <w:pPr>
        <w:pStyle w:val="Telobesedila"/>
        <w:tabs>
          <w:tab w:val="clear" w:pos="-1440"/>
          <w:tab w:val="left" w:pos="-1080"/>
          <w:tab w:val="left" w:pos="-720"/>
          <w:tab w:val="left" w:pos="0"/>
          <w:tab w:val="left" w:pos="810"/>
          <w:tab w:val="left" w:pos="1080"/>
        </w:tabs>
        <w:outlineLvl w:val="0"/>
        <w:rPr>
          <w:rFonts w:asciiTheme="minorHAnsi" w:hAnsiTheme="minorHAnsi" w:cstheme="minorHAnsi"/>
          <w:sz w:val="20"/>
        </w:rPr>
      </w:pPr>
      <w:r w:rsidRPr="000A2BA4">
        <w:rPr>
          <w:rFonts w:asciiTheme="minorHAnsi" w:hAnsiTheme="minorHAnsi" w:cstheme="minorHAnsi"/>
          <w:sz w:val="20"/>
        </w:rPr>
        <w:t>5. OBSEG ZADOLŽEVANJA IN POROŠTEV OBČINE IN JAVNEGA SEKTORJA</w:t>
      </w:r>
    </w:p>
    <w:p w:rsidR="002D7681" w:rsidRPr="000A2BA4" w:rsidRDefault="002D7681" w:rsidP="002D7681">
      <w:pPr>
        <w:pStyle w:val="Telobesedila"/>
        <w:tabs>
          <w:tab w:val="clear" w:pos="-1440"/>
          <w:tab w:val="left" w:pos="-1080"/>
          <w:tab w:val="left" w:pos="-720"/>
          <w:tab w:val="left" w:pos="0"/>
          <w:tab w:val="left" w:pos="810"/>
          <w:tab w:val="left" w:pos="1080"/>
        </w:tabs>
        <w:outlineLvl w:val="0"/>
        <w:rPr>
          <w:rFonts w:asciiTheme="minorHAnsi" w:hAnsiTheme="minorHAnsi" w:cstheme="minorHAnsi"/>
          <w:sz w:val="20"/>
        </w:rPr>
      </w:pPr>
    </w:p>
    <w:p w:rsidR="002D7681" w:rsidRPr="000A2BA4" w:rsidRDefault="002D7681" w:rsidP="002D7681">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12. člen</w:t>
      </w:r>
    </w:p>
    <w:p w:rsidR="002D7681" w:rsidRPr="000A2BA4" w:rsidRDefault="002D7681" w:rsidP="002D7681">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(obseg zadolževanja občine in izdanih poroštev občine)</w:t>
      </w:r>
    </w:p>
    <w:p w:rsidR="002D7681" w:rsidRPr="000A2BA4" w:rsidRDefault="002D7681" w:rsidP="002D7681">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p>
    <w:p w:rsidR="002D7681" w:rsidRPr="000A2BA4" w:rsidRDefault="002D7681" w:rsidP="002D7681">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Občina Cerklje na Gorenjskem se  lahko dolgoročno zadolži do višine </w:t>
      </w:r>
      <w:r w:rsidR="00525E6F">
        <w:rPr>
          <w:rFonts w:asciiTheme="minorHAnsi" w:hAnsiTheme="minorHAnsi" w:cstheme="minorHAnsi"/>
          <w:sz w:val="20"/>
        </w:rPr>
        <w:t>3.</w:t>
      </w:r>
      <w:r w:rsidR="002054FB">
        <w:rPr>
          <w:rFonts w:asciiTheme="minorHAnsi" w:hAnsiTheme="minorHAnsi" w:cstheme="minorHAnsi"/>
          <w:sz w:val="20"/>
        </w:rPr>
        <w:t>3</w:t>
      </w:r>
      <w:r w:rsidRPr="000A2BA4">
        <w:rPr>
          <w:rFonts w:asciiTheme="minorHAnsi" w:hAnsiTheme="minorHAnsi" w:cstheme="minorHAnsi"/>
          <w:sz w:val="20"/>
        </w:rPr>
        <w:t xml:space="preserve">00.000 €. </w:t>
      </w:r>
    </w:p>
    <w:p w:rsidR="002D7681" w:rsidRPr="000A2BA4" w:rsidRDefault="002D7681" w:rsidP="002D7681">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2D7681" w:rsidRPr="000A2BA4" w:rsidRDefault="002D7681" w:rsidP="002D7681">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lastRenderedPageBreak/>
        <w:t>Obseg poroštev občine za izpolnitev obveznosti javnih zavodov, javnih podjetij in drugih pravnih oseb,  katerih ustanoviteljica je Občina Cerklje na Gorenjskem, v letu 2021 ne sme preseči 100.000,00 €. Skupna višina pomeni največjo dovoljeno vsoto vseh poroštev skupaj.</w:t>
      </w:r>
    </w:p>
    <w:p w:rsidR="002D7681" w:rsidRPr="000A2BA4" w:rsidRDefault="002D7681" w:rsidP="002D7681">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2D7681" w:rsidRPr="000A2BA4" w:rsidRDefault="002D7681" w:rsidP="002D7681">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Pogoj za poroštvo pravnim osebam javnega sektorja in drugim pravnim osebam, katerih ustanoviteljica je Občina Cerklje na Gorenjskem,  je soglasje Občinskega sveta Občine Cerklje na Gorenjskem. Občinski svet Občine Cerklje na Gorenjskem pooblašča župana Občine Cerklje na Gorenjskem, da podpiše poroštvo do dovoljene višine</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BA0C9C" w:rsidRPr="000A2BA4" w:rsidRDefault="00BA0C9C" w:rsidP="00375993">
      <w:pPr>
        <w:pStyle w:val="Telobesedila"/>
        <w:tabs>
          <w:tab w:val="clear" w:pos="-1440"/>
          <w:tab w:val="left" w:pos="-1080"/>
          <w:tab w:val="left" w:pos="-720"/>
          <w:tab w:val="left" w:pos="0"/>
          <w:tab w:val="left" w:pos="810"/>
          <w:tab w:val="left" w:pos="1080"/>
        </w:tabs>
        <w:jc w:val="center"/>
        <w:outlineLvl w:val="0"/>
        <w:rPr>
          <w:rFonts w:asciiTheme="minorHAnsi" w:hAnsiTheme="minorHAnsi" w:cstheme="minorHAnsi"/>
          <w:sz w:val="20"/>
        </w:rPr>
      </w:pPr>
    </w:p>
    <w:p w:rsidR="003D379B" w:rsidRPr="000A2BA4" w:rsidRDefault="002D7681" w:rsidP="00DE474D">
      <w:pPr>
        <w:pStyle w:val="Telobesedila"/>
        <w:tabs>
          <w:tab w:val="clear" w:pos="-1440"/>
          <w:tab w:val="left" w:pos="-1080"/>
          <w:tab w:val="left" w:pos="-720"/>
          <w:tab w:val="left" w:pos="0"/>
          <w:tab w:val="left" w:pos="810"/>
          <w:tab w:val="left" w:pos="1080"/>
        </w:tabs>
        <w:jc w:val="center"/>
        <w:outlineLvl w:val="0"/>
        <w:rPr>
          <w:rFonts w:asciiTheme="minorHAnsi" w:hAnsiTheme="minorHAnsi" w:cstheme="minorHAnsi"/>
          <w:sz w:val="20"/>
        </w:rPr>
      </w:pPr>
      <w:r w:rsidRPr="000A2BA4">
        <w:rPr>
          <w:rFonts w:asciiTheme="minorHAnsi" w:hAnsiTheme="minorHAnsi" w:cstheme="minorHAnsi"/>
          <w:sz w:val="20"/>
        </w:rPr>
        <w:t>6</w:t>
      </w:r>
      <w:r w:rsidR="003D379B" w:rsidRPr="000A2BA4">
        <w:rPr>
          <w:rFonts w:asciiTheme="minorHAnsi" w:hAnsiTheme="minorHAnsi" w:cstheme="minorHAnsi"/>
          <w:sz w:val="20"/>
        </w:rPr>
        <w:t>. PREHODNE IN KONČNE DOLOČBE</w:t>
      </w:r>
    </w:p>
    <w:p w:rsidR="003D379B" w:rsidRPr="000A2BA4" w:rsidRDefault="003B570D">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1</w:t>
      </w:r>
      <w:r w:rsidR="002D7681" w:rsidRPr="000A2BA4">
        <w:rPr>
          <w:rFonts w:asciiTheme="minorHAnsi" w:hAnsiTheme="minorHAnsi" w:cstheme="minorHAnsi"/>
          <w:sz w:val="20"/>
        </w:rPr>
        <w:t>3</w:t>
      </w:r>
      <w:r w:rsidR="003D379B" w:rsidRPr="000A2BA4">
        <w:rPr>
          <w:rFonts w:asciiTheme="minorHAnsi" w:hAnsiTheme="minorHAnsi" w:cstheme="minorHAnsi"/>
          <w:sz w:val="20"/>
        </w:rPr>
        <w:t>.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 xml:space="preserve">(začasno financiranje v letu </w:t>
      </w:r>
      <w:r w:rsidR="00F25826">
        <w:rPr>
          <w:rFonts w:asciiTheme="minorHAnsi" w:hAnsiTheme="minorHAnsi" w:cstheme="minorHAnsi"/>
          <w:sz w:val="20"/>
        </w:rPr>
        <w:t>2022</w:t>
      </w:r>
      <w:r w:rsidRPr="000A2BA4">
        <w:rPr>
          <w:rFonts w:asciiTheme="minorHAnsi" w:hAnsiTheme="minorHAnsi" w:cstheme="minorHAnsi"/>
          <w:sz w:val="20"/>
        </w:rPr>
        <w:t>)</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V obdobju začasnega financiranja Občine</w:t>
      </w:r>
      <w:r w:rsidR="008138F6" w:rsidRPr="000A2BA4">
        <w:rPr>
          <w:rFonts w:asciiTheme="minorHAnsi" w:hAnsiTheme="minorHAnsi" w:cstheme="minorHAnsi"/>
          <w:sz w:val="20"/>
        </w:rPr>
        <w:t xml:space="preserve"> Cerklje na Gorenjskem </w:t>
      </w:r>
      <w:r w:rsidRPr="000A2BA4">
        <w:rPr>
          <w:rFonts w:asciiTheme="minorHAnsi" w:hAnsiTheme="minorHAnsi" w:cstheme="minorHAnsi"/>
          <w:sz w:val="20"/>
        </w:rPr>
        <w:t xml:space="preserve">v letu </w:t>
      </w:r>
      <w:r w:rsidR="00B323B1" w:rsidRPr="000A2BA4">
        <w:rPr>
          <w:rFonts w:asciiTheme="minorHAnsi" w:hAnsiTheme="minorHAnsi" w:cstheme="minorHAnsi"/>
          <w:sz w:val="20"/>
        </w:rPr>
        <w:t>2022</w:t>
      </w:r>
      <w:r w:rsidRPr="000A2BA4">
        <w:rPr>
          <w:rFonts w:asciiTheme="minorHAnsi" w:hAnsiTheme="minorHAnsi" w:cstheme="minorHAnsi"/>
          <w:sz w:val="20"/>
        </w:rPr>
        <w:t>, če bo začasno financiranje potrebno, se uporablja ta odlok in sklep o določitvi začasnega financiranja.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1</w:t>
      </w:r>
      <w:r w:rsidR="002D7681" w:rsidRPr="000A2BA4">
        <w:rPr>
          <w:rFonts w:asciiTheme="minorHAnsi" w:hAnsiTheme="minorHAnsi" w:cstheme="minorHAnsi"/>
          <w:sz w:val="20"/>
        </w:rPr>
        <w:t>4</w:t>
      </w:r>
      <w:r w:rsidRPr="000A2BA4">
        <w:rPr>
          <w:rFonts w:asciiTheme="minorHAnsi" w:hAnsiTheme="minorHAnsi" w:cstheme="minorHAnsi"/>
          <w:sz w:val="20"/>
        </w:rPr>
        <w:t>. člen</w:t>
      </w:r>
    </w:p>
    <w:p w:rsidR="003D379B" w:rsidRPr="000A2BA4" w:rsidRDefault="003D379B">
      <w:pPr>
        <w:pStyle w:val="Telobesedila"/>
        <w:tabs>
          <w:tab w:val="clear" w:pos="-1440"/>
          <w:tab w:val="left" w:pos="-1080"/>
          <w:tab w:val="left" w:pos="-720"/>
          <w:tab w:val="left" w:pos="0"/>
          <w:tab w:val="left" w:pos="810"/>
          <w:tab w:val="left" w:pos="1080"/>
        </w:tabs>
        <w:jc w:val="center"/>
        <w:rPr>
          <w:rFonts w:asciiTheme="minorHAnsi" w:hAnsiTheme="minorHAnsi" w:cstheme="minorHAnsi"/>
          <w:sz w:val="20"/>
        </w:rPr>
      </w:pPr>
      <w:r w:rsidRPr="000A2BA4">
        <w:rPr>
          <w:rFonts w:asciiTheme="minorHAnsi" w:hAnsiTheme="minorHAnsi" w:cstheme="minorHAnsi"/>
          <w:sz w:val="20"/>
        </w:rPr>
        <w:t>(uveljavitev odloka)</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705051" w:rsidRPr="000A2BA4" w:rsidRDefault="003D379B" w:rsidP="00705051">
      <w:pPr>
        <w:pStyle w:val="Telobesedila"/>
        <w:tabs>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 xml:space="preserve">Ta odlok začne veljati </w:t>
      </w:r>
      <w:r w:rsidR="00525E6F">
        <w:rPr>
          <w:rFonts w:asciiTheme="minorHAnsi" w:hAnsiTheme="minorHAnsi" w:cstheme="minorHAnsi"/>
          <w:sz w:val="20"/>
        </w:rPr>
        <w:t>z dnem objave</w:t>
      </w:r>
      <w:r w:rsidR="00705051" w:rsidRPr="000A2BA4">
        <w:rPr>
          <w:rFonts w:asciiTheme="minorHAnsi" w:hAnsiTheme="minorHAnsi" w:cstheme="minorHAnsi"/>
          <w:sz w:val="20"/>
        </w:rPr>
        <w:t xml:space="preserve"> v Uradnem glasilu slovenskih občin. Splošni in posebni del proračuna ter načrt</w:t>
      </w:r>
      <w:r w:rsidR="00395C55" w:rsidRPr="000A2BA4">
        <w:rPr>
          <w:rFonts w:asciiTheme="minorHAnsi" w:hAnsiTheme="minorHAnsi" w:cstheme="minorHAnsi"/>
          <w:sz w:val="20"/>
        </w:rPr>
        <w:t xml:space="preserve"> razvojnih programov se objavijo</w:t>
      </w:r>
      <w:r w:rsidR="00705051" w:rsidRPr="000A2BA4">
        <w:rPr>
          <w:rFonts w:asciiTheme="minorHAnsi" w:hAnsiTheme="minorHAnsi" w:cstheme="minorHAnsi"/>
          <w:sz w:val="20"/>
        </w:rPr>
        <w:t xml:space="preserve"> na spletni strani občine.</w:t>
      </w:r>
    </w:p>
    <w:p w:rsidR="003500CF" w:rsidRPr="000A2BA4" w:rsidRDefault="003500CF">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840D95" w:rsidRPr="000A2BA4" w:rsidRDefault="00840D95">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440E9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Številka:</w:t>
      </w:r>
      <w:r w:rsidR="005F03C2" w:rsidRPr="000A2BA4">
        <w:rPr>
          <w:rFonts w:asciiTheme="minorHAnsi" w:hAnsiTheme="minorHAnsi" w:cstheme="minorHAnsi"/>
          <w:sz w:val="20"/>
        </w:rPr>
        <w:t xml:space="preserve"> </w:t>
      </w:r>
    </w:p>
    <w:p w:rsidR="003D379B" w:rsidRPr="000A2BA4" w:rsidRDefault="008138F6">
      <w:pPr>
        <w:pStyle w:val="Telobesedila"/>
        <w:tabs>
          <w:tab w:val="clear" w:pos="-1440"/>
          <w:tab w:val="left" w:pos="-1080"/>
          <w:tab w:val="left" w:pos="-720"/>
          <w:tab w:val="left" w:pos="0"/>
          <w:tab w:val="left" w:pos="810"/>
          <w:tab w:val="left" w:pos="1080"/>
        </w:tabs>
        <w:rPr>
          <w:rFonts w:asciiTheme="minorHAnsi" w:hAnsiTheme="minorHAnsi" w:cstheme="minorHAnsi"/>
          <w:sz w:val="20"/>
        </w:rPr>
      </w:pPr>
      <w:r w:rsidRPr="000A2BA4">
        <w:rPr>
          <w:rFonts w:asciiTheme="minorHAnsi" w:hAnsiTheme="minorHAnsi" w:cstheme="minorHAnsi"/>
          <w:sz w:val="20"/>
        </w:rPr>
        <w:t>Cerklje:</w:t>
      </w:r>
      <w:r w:rsidR="00D576BA" w:rsidRPr="000A2BA4">
        <w:rPr>
          <w:rFonts w:asciiTheme="minorHAnsi" w:hAnsiTheme="minorHAnsi" w:cstheme="minorHAnsi"/>
          <w:sz w:val="20"/>
        </w:rPr>
        <w:t xml:space="preserve"> </w:t>
      </w:r>
      <w:r w:rsidR="00440E94">
        <w:rPr>
          <w:rFonts w:asciiTheme="minorHAnsi" w:hAnsiTheme="minorHAnsi" w:cstheme="minorHAnsi"/>
          <w:sz w:val="20"/>
        </w:rPr>
        <w:t>29.12.2020</w:t>
      </w:r>
    </w:p>
    <w:p w:rsidR="0002700B" w:rsidRPr="000A2BA4" w:rsidRDefault="0002700B" w:rsidP="008138F6">
      <w:pPr>
        <w:pStyle w:val="Telobesedila"/>
        <w:tabs>
          <w:tab w:val="clear" w:pos="-1440"/>
          <w:tab w:val="left" w:pos="-1080"/>
          <w:tab w:val="left" w:pos="-720"/>
          <w:tab w:val="left" w:pos="0"/>
          <w:tab w:val="left" w:pos="810"/>
          <w:tab w:val="left" w:pos="1080"/>
        </w:tabs>
        <w:ind w:left="5760"/>
        <w:jc w:val="center"/>
        <w:rPr>
          <w:rFonts w:asciiTheme="minorHAnsi" w:hAnsiTheme="minorHAnsi" w:cstheme="minorHAnsi"/>
          <w:sz w:val="20"/>
        </w:rPr>
      </w:pPr>
    </w:p>
    <w:p w:rsidR="003D379B" w:rsidRPr="000A2BA4" w:rsidRDefault="003D379B" w:rsidP="008138F6">
      <w:pPr>
        <w:pStyle w:val="Telobesedila"/>
        <w:tabs>
          <w:tab w:val="clear" w:pos="-1440"/>
          <w:tab w:val="left" w:pos="-1080"/>
          <w:tab w:val="left" w:pos="-720"/>
          <w:tab w:val="left" w:pos="0"/>
          <w:tab w:val="left" w:pos="810"/>
          <w:tab w:val="left" w:pos="1080"/>
        </w:tabs>
        <w:ind w:left="5760"/>
        <w:jc w:val="center"/>
        <w:rPr>
          <w:rFonts w:asciiTheme="minorHAnsi" w:hAnsiTheme="minorHAnsi" w:cstheme="minorHAnsi"/>
          <w:sz w:val="20"/>
        </w:rPr>
      </w:pPr>
      <w:r w:rsidRPr="000A2BA4">
        <w:rPr>
          <w:rFonts w:asciiTheme="minorHAnsi" w:hAnsiTheme="minorHAnsi" w:cstheme="minorHAnsi"/>
          <w:sz w:val="20"/>
        </w:rPr>
        <w:t>OBČINA</w:t>
      </w:r>
      <w:r w:rsidR="00EE08FF" w:rsidRPr="000A2BA4">
        <w:rPr>
          <w:rFonts w:asciiTheme="minorHAnsi" w:hAnsiTheme="minorHAnsi" w:cstheme="minorHAnsi"/>
          <w:sz w:val="20"/>
        </w:rPr>
        <w:t xml:space="preserve"> </w:t>
      </w:r>
      <w:r w:rsidR="008138F6" w:rsidRPr="000A2BA4">
        <w:rPr>
          <w:rFonts w:asciiTheme="minorHAnsi" w:hAnsiTheme="minorHAnsi" w:cstheme="minorHAnsi"/>
          <w:sz w:val="20"/>
        </w:rPr>
        <w:t>CERKLJE NA GORENJSKEM</w:t>
      </w:r>
    </w:p>
    <w:p w:rsidR="008138F6" w:rsidRPr="000A2BA4" w:rsidRDefault="008138F6" w:rsidP="00792CD6">
      <w:pPr>
        <w:pStyle w:val="Telobesedila"/>
        <w:tabs>
          <w:tab w:val="clear" w:pos="-1440"/>
          <w:tab w:val="left" w:pos="-1080"/>
          <w:tab w:val="left" w:pos="-720"/>
          <w:tab w:val="left" w:pos="0"/>
          <w:tab w:val="left" w:pos="810"/>
          <w:tab w:val="left" w:pos="1080"/>
        </w:tabs>
        <w:ind w:left="5760"/>
        <w:jc w:val="center"/>
        <w:outlineLvl w:val="0"/>
        <w:rPr>
          <w:rFonts w:asciiTheme="minorHAnsi" w:hAnsiTheme="minorHAnsi" w:cstheme="minorHAnsi"/>
          <w:sz w:val="20"/>
        </w:rPr>
      </w:pPr>
      <w:r w:rsidRPr="000A2BA4">
        <w:rPr>
          <w:rFonts w:asciiTheme="minorHAnsi" w:hAnsiTheme="minorHAnsi" w:cstheme="minorHAnsi"/>
          <w:sz w:val="20"/>
        </w:rPr>
        <w:t>Ž</w:t>
      </w:r>
      <w:r w:rsidR="00A0032B" w:rsidRPr="000A2BA4">
        <w:rPr>
          <w:rFonts w:asciiTheme="minorHAnsi" w:hAnsiTheme="minorHAnsi" w:cstheme="minorHAnsi"/>
          <w:sz w:val="20"/>
        </w:rPr>
        <w:t>upan</w:t>
      </w:r>
    </w:p>
    <w:p w:rsidR="008138F6" w:rsidRPr="000A2BA4" w:rsidRDefault="008138F6" w:rsidP="008138F6">
      <w:pPr>
        <w:pStyle w:val="Telobesedila"/>
        <w:tabs>
          <w:tab w:val="clear" w:pos="-1440"/>
          <w:tab w:val="left" w:pos="-1080"/>
          <w:tab w:val="left" w:pos="-720"/>
          <w:tab w:val="left" w:pos="0"/>
          <w:tab w:val="left" w:pos="810"/>
          <w:tab w:val="left" w:pos="1080"/>
        </w:tabs>
        <w:ind w:left="5760"/>
        <w:jc w:val="center"/>
        <w:rPr>
          <w:rFonts w:asciiTheme="minorHAnsi" w:hAnsiTheme="minorHAnsi" w:cstheme="minorHAnsi"/>
          <w:sz w:val="20"/>
        </w:rPr>
      </w:pPr>
      <w:r w:rsidRPr="000A2BA4">
        <w:rPr>
          <w:rFonts w:asciiTheme="minorHAnsi" w:hAnsiTheme="minorHAnsi" w:cstheme="minorHAnsi"/>
          <w:sz w:val="20"/>
        </w:rPr>
        <w:t>F</w:t>
      </w:r>
      <w:r w:rsidR="00A0032B" w:rsidRPr="000A2BA4">
        <w:rPr>
          <w:rFonts w:asciiTheme="minorHAnsi" w:hAnsiTheme="minorHAnsi" w:cstheme="minorHAnsi"/>
          <w:sz w:val="20"/>
        </w:rPr>
        <w:t>ranc Čebulj</w:t>
      </w:r>
      <w:r w:rsidR="005142DD" w:rsidRPr="000A2BA4">
        <w:rPr>
          <w:rFonts w:asciiTheme="minorHAnsi" w:hAnsiTheme="minorHAnsi" w:cstheme="minorHAnsi"/>
          <w:sz w:val="20"/>
        </w:rPr>
        <w:t xml:space="preserve"> </w:t>
      </w:r>
      <w:r w:rsidR="00F81EAD">
        <w:rPr>
          <w:rFonts w:asciiTheme="minorHAnsi" w:hAnsiTheme="minorHAnsi" w:cstheme="minorHAnsi"/>
          <w:sz w:val="20"/>
        </w:rPr>
        <w:t>l. r.</w:t>
      </w: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3D379B" w:rsidRPr="000A2BA4" w:rsidRDefault="003D379B">
      <w:pPr>
        <w:pStyle w:val="Telobesedila"/>
        <w:tabs>
          <w:tab w:val="clear" w:pos="-1440"/>
          <w:tab w:val="left" w:pos="-1080"/>
          <w:tab w:val="left" w:pos="-720"/>
          <w:tab w:val="left" w:pos="0"/>
          <w:tab w:val="left" w:pos="810"/>
          <w:tab w:val="left" w:pos="1080"/>
        </w:tabs>
        <w:rPr>
          <w:rFonts w:asciiTheme="minorHAnsi" w:hAnsiTheme="minorHAnsi" w:cstheme="minorHAnsi"/>
          <w:sz w:val="20"/>
        </w:rPr>
      </w:pPr>
    </w:p>
    <w:p w:rsidR="00A63465" w:rsidRPr="000A2BA4" w:rsidRDefault="003D379B" w:rsidP="00792CD6">
      <w:pPr>
        <w:pStyle w:val="Telobesedila"/>
        <w:tabs>
          <w:tab w:val="clear" w:pos="-1440"/>
          <w:tab w:val="left" w:pos="-1080"/>
          <w:tab w:val="left" w:pos="-720"/>
          <w:tab w:val="left" w:pos="0"/>
          <w:tab w:val="left" w:pos="810"/>
          <w:tab w:val="left" w:pos="1080"/>
        </w:tabs>
        <w:outlineLvl w:val="0"/>
        <w:rPr>
          <w:rFonts w:asciiTheme="minorHAnsi" w:hAnsiTheme="minorHAnsi" w:cstheme="minorHAnsi"/>
          <w:sz w:val="20"/>
        </w:rPr>
      </w:pPr>
      <w:r w:rsidRPr="000A2BA4">
        <w:rPr>
          <w:rFonts w:asciiTheme="minorHAnsi" w:hAnsiTheme="minorHAnsi" w:cstheme="minorHAnsi"/>
          <w:sz w:val="20"/>
        </w:rPr>
        <w:t>PRILOG</w:t>
      </w:r>
      <w:r w:rsidR="00840841" w:rsidRPr="000A2BA4">
        <w:rPr>
          <w:rFonts w:asciiTheme="minorHAnsi" w:hAnsiTheme="minorHAnsi" w:cstheme="minorHAnsi"/>
          <w:sz w:val="20"/>
        </w:rPr>
        <w:t>I</w:t>
      </w:r>
      <w:r w:rsidRPr="000A2BA4">
        <w:rPr>
          <w:rFonts w:asciiTheme="minorHAnsi" w:hAnsiTheme="minorHAnsi" w:cstheme="minorHAnsi"/>
          <w:sz w:val="20"/>
        </w:rPr>
        <w:t xml:space="preserve">: </w:t>
      </w:r>
    </w:p>
    <w:p w:rsidR="00A63465" w:rsidRPr="000A2BA4" w:rsidRDefault="00A63465" w:rsidP="00A63465">
      <w:pPr>
        <w:pStyle w:val="Telobesedila"/>
        <w:numPr>
          <w:ilvl w:val="0"/>
          <w:numId w:val="10"/>
        </w:numPr>
        <w:tabs>
          <w:tab w:val="clear" w:pos="-1440"/>
          <w:tab w:val="left" w:pos="-1080"/>
          <w:tab w:val="left" w:pos="-720"/>
          <w:tab w:val="left" w:pos="0"/>
          <w:tab w:val="left" w:pos="810"/>
          <w:tab w:val="left" w:pos="1080"/>
        </w:tabs>
        <w:outlineLvl w:val="0"/>
        <w:rPr>
          <w:rFonts w:asciiTheme="minorHAnsi" w:hAnsiTheme="minorHAnsi" w:cstheme="minorHAnsi"/>
          <w:sz w:val="20"/>
        </w:rPr>
      </w:pPr>
      <w:r w:rsidRPr="000A2BA4">
        <w:rPr>
          <w:rFonts w:asciiTheme="minorHAnsi" w:hAnsiTheme="minorHAnsi" w:cstheme="minorHAnsi"/>
          <w:sz w:val="20"/>
        </w:rPr>
        <w:t xml:space="preserve">Posebni del proračuna </w:t>
      </w:r>
    </w:p>
    <w:p w:rsidR="003D379B" w:rsidRPr="000A2BA4" w:rsidRDefault="00A63465" w:rsidP="00A63465">
      <w:pPr>
        <w:pStyle w:val="Telobesedila"/>
        <w:numPr>
          <w:ilvl w:val="0"/>
          <w:numId w:val="10"/>
        </w:numPr>
        <w:tabs>
          <w:tab w:val="clear" w:pos="-1440"/>
          <w:tab w:val="left" w:pos="-1080"/>
          <w:tab w:val="left" w:pos="-720"/>
          <w:tab w:val="left" w:pos="0"/>
          <w:tab w:val="left" w:pos="810"/>
          <w:tab w:val="left" w:pos="1080"/>
        </w:tabs>
        <w:outlineLvl w:val="0"/>
        <w:rPr>
          <w:rFonts w:asciiTheme="minorHAnsi" w:hAnsiTheme="minorHAnsi" w:cstheme="minorHAnsi"/>
          <w:sz w:val="20"/>
        </w:rPr>
      </w:pPr>
      <w:r w:rsidRPr="000A2BA4">
        <w:rPr>
          <w:rFonts w:asciiTheme="minorHAnsi" w:hAnsiTheme="minorHAnsi" w:cstheme="minorHAnsi"/>
          <w:sz w:val="20"/>
        </w:rPr>
        <w:t>N</w:t>
      </w:r>
      <w:r w:rsidR="003D379B" w:rsidRPr="000A2BA4">
        <w:rPr>
          <w:rFonts w:asciiTheme="minorHAnsi" w:hAnsiTheme="minorHAnsi" w:cstheme="minorHAnsi"/>
          <w:sz w:val="20"/>
        </w:rPr>
        <w:t>ačrt razvojnih programov</w:t>
      </w:r>
    </w:p>
    <w:p w:rsidR="003D379B" w:rsidRPr="000A2BA4" w:rsidRDefault="003D379B">
      <w:pPr>
        <w:rPr>
          <w:rFonts w:asciiTheme="minorHAnsi" w:hAnsiTheme="minorHAnsi" w:cstheme="minorHAnsi"/>
          <w:sz w:val="20"/>
          <w:szCs w:val="20"/>
        </w:rPr>
      </w:pPr>
    </w:p>
    <w:p w:rsidR="00E66122" w:rsidRPr="000A2BA4" w:rsidRDefault="00E66122">
      <w:pPr>
        <w:rPr>
          <w:rFonts w:asciiTheme="minorHAnsi" w:hAnsiTheme="minorHAnsi" w:cstheme="minorHAnsi"/>
          <w:sz w:val="20"/>
          <w:szCs w:val="20"/>
        </w:rPr>
      </w:pPr>
    </w:p>
    <w:sectPr w:rsidR="00E66122" w:rsidRPr="000A2BA4">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FA" w:rsidRDefault="00FF47FA">
      <w:r>
        <w:separator/>
      </w:r>
    </w:p>
  </w:endnote>
  <w:endnote w:type="continuationSeparator" w:id="0">
    <w:p w:rsidR="00FF47FA" w:rsidRDefault="00FF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0E" w:rsidRDefault="008345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3450E" w:rsidRDefault="0083450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1C" w:rsidRDefault="0098781C">
    <w:pPr>
      <w:pStyle w:val="Noga"/>
      <w:jc w:val="center"/>
    </w:pPr>
    <w:r>
      <w:fldChar w:fldCharType="begin"/>
    </w:r>
    <w:r>
      <w:instrText>PAGE   \* MERGEFORMAT</w:instrText>
    </w:r>
    <w:r>
      <w:fldChar w:fldCharType="separate"/>
    </w:r>
    <w:r w:rsidR="00B71670">
      <w:rPr>
        <w:noProof/>
      </w:rPr>
      <w:t>3</w:t>
    </w:r>
    <w:r>
      <w:fldChar w:fldCharType="end"/>
    </w:r>
  </w:p>
  <w:p w:rsidR="00CC0322" w:rsidRPr="00683E6D" w:rsidRDefault="00CC0322">
    <w:pPr>
      <w:pStyle w:val="Nog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36" w:rsidRDefault="00716A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FA" w:rsidRDefault="00FF47FA">
      <w:r>
        <w:separator/>
      </w:r>
    </w:p>
  </w:footnote>
  <w:footnote w:type="continuationSeparator" w:id="0">
    <w:p w:rsidR="00FF47FA" w:rsidRDefault="00FF4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36" w:rsidRDefault="00716A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36" w:rsidRDefault="00716A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36" w:rsidRDefault="00716A3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B26"/>
    <w:multiLevelType w:val="hybridMultilevel"/>
    <w:tmpl w:val="B30EA8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F1CBE"/>
    <w:multiLevelType w:val="hybridMultilevel"/>
    <w:tmpl w:val="ABC06CC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8C31BF6"/>
    <w:multiLevelType w:val="hybridMultilevel"/>
    <w:tmpl w:val="C5BA23F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1B26589"/>
    <w:multiLevelType w:val="hybridMultilevel"/>
    <w:tmpl w:val="1EFC0E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2445C"/>
    <w:multiLevelType w:val="hybridMultilevel"/>
    <w:tmpl w:val="A3E89566"/>
    <w:lvl w:ilvl="0" w:tplc="DE68F2BC">
      <w:start w:val="2"/>
      <w:numFmt w:val="decimal"/>
      <w:lvlText w:val="%1."/>
      <w:lvlJc w:val="left"/>
      <w:pPr>
        <w:tabs>
          <w:tab w:val="num" w:pos="1170"/>
        </w:tabs>
        <w:ind w:left="1170" w:hanging="8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7D2144"/>
    <w:multiLevelType w:val="hybridMultilevel"/>
    <w:tmpl w:val="AEC8BE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A6AB5"/>
    <w:multiLevelType w:val="hybridMultilevel"/>
    <w:tmpl w:val="D20A7B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4380A27"/>
    <w:multiLevelType w:val="hybridMultilevel"/>
    <w:tmpl w:val="449213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C804A35"/>
    <w:multiLevelType w:val="hybridMultilevel"/>
    <w:tmpl w:val="1076C0D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606C5398"/>
    <w:multiLevelType w:val="hybridMultilevel"/>
    <w:tmpl w:val="0890B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DD0449"/>
    <w:multiLevelType w:val="hybridMultilevel"/>
    <w:tmpl w:val="3CAE33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CD95B8F"/>
    <w:multiLevelType w:val="hybridMultilevel"/>
    <w:tmpl w:val="94620654"/>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1"/>
  </w:num>
  <w:num w:numId="6">
    <w:abstractNumId w:val="6"/>
  </w:num>
  <w:num w:numId="7">
    <w:abstractNumId w:val="2"/>
  </w:num>
  <w:num w:numId="8">
    <w:abstractNumId w:val="3"/>
  </w:num>
  <w:num w:numId="9">
    <w:abstractNumId w:val="7"/>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47"/>
    <w:rsid w:val="000048E5"/>
    <w:rsid w:val="000122AB"/>
    <w:rsid w:val="0002700B"/>
    <w:rsid w:val="00036514"/>
    <w:rsid w:val="00044CF5"/>
    <w:rsid w:val="00045CFB"/>
    <w:rsid w:val="00052554"/>
    <w:rsid w:val="00054213"/>
    <w:rsid w:val="00060408"/>
    <w:rsid w:val="0006792C"/>
    <w:rsid w:val="00070C1F"/>
    <w:rsid w:val="00074FE9"/>
    <w:rsid w:val="000A2BA4"/>
    <w:rsid w:val="000B0E94"/>
    <w:rsid w:val="000B1F1C"/>
    <w:rsid w:val="000C249D"/>
    <w:rsid w:val="000C3A5B"/>
    <w:rsid w:val="000D23FA"/>
    <w:rsid w:val="000D7191"/>
    <w:rsid w:val="000F50C9"/>
    <w:rsid w:val="000F6784"/>
    <w:rsid w:val="0010129B"/>
    <w:rsid w:val="001079A1"/>
    <w:rsid w:val="001275C0"/>
    <w:rsid w:val="00131897"/>
    <w:rsid w:val="00140B5A"/>
    <w:rsid w:val="00142464"/>
    <w:rsid w:val="001431F5"/>
    <w:rsid w:val="0015012D"/>
    <w:rsid w:val="00150B50"/>
    <w:rsid w:val="0015417D"/>
    <w:rsid w:val="00155168"/>
    <w:rsid w:val="00174891"/>
    <w:rsid w:val="001A23D1"/>
    <w:rsid w:val="001B3D38"/>
    <w:rsid w:val="001C5ADF"/>
    <w:rsid w:val="001C5C70"/>
    <w:rsid w:val="001D258E"/>
    <w:rsid w:val="001D3FA4"/>
    <w:rsid w:val="001E1EA3"/>
    <w:rsid w:val="001E3154"/>
    <w:rsid w:val="001E622A"/>
    <w:rsid w:val="001F2B25"/>
    <w:rsid w:val="001F43FE"/>
    <w:rsid w:val="00201530"/>
    <w:rsid w:val="002054FB"/>
    <w:rsid w:val="00220208"/>
    <w:rsid w:val="00246690"/>
    <w:rsid w:val="00247CA3"/>
    <w:rsid w:val="002647B8"/>
    <w:rsid w:val="002673D0"/>
    <w:rsid w:val="00276B05"/>
    <w:rsid w:val="00281DE3"/>
    <w:rsid w:val="00286AE6"/>
    <w:rsid w:val="00295054"/>
    <w:rsid w:val="002A0D8B"/>
    <w:rsid w:val="002B071B"/>
    <w:rsid w:val="002B41C4"/>
    <w:rsid w:val="002C5056"/>
    <w:rsid w:val="002C6BC9"/>
    <w:rsid w:val="002D7681"/>
    <w:rsid w:val="002F7DB5"/>
    <w:rsid w:val="003013AC"/>
    <w:rsid w:val="00302047"/>
    <w:rsid w:val="00304458"/>
    <w:rsid w:val="00315EC4"/>
    <w:rsid w:val="00317B6D"/>
    <w:rsid w:val="003275ED"/>
    <w:rsid w:val="00333BD7"/>
    <w:rsid w:val="00341325"/>
    <w:rsid w:val="00347CFC"/>
    <w:rsid w:val="003500CF"/>
    <w:rsid w:val="00356EB8"/>
    <w:rsid w:val="00360FC9"/>
    <w:rsid w:val="00375993"/>
    <w:rsid w:val="00375C38"/>
    <w:rsid w:val="00376556"/>
    <w:rsid w:val="003832D4"/>
    <w:rsid w:val="0038526A"/>
    <w:rsid w:val="00395C55"/>
    <w:rsid w:val="00395D3F"/>
    <w:rsid w:val="003960D6"/>
    <w:rsid w:val="003B570D"/>
    <w:rsid w:val="003C5CF6"/>
    <w:rsid w:val="003D379B"/>
    <w:rsid w:val="003E6AFB"/>
    <w:rsid w:val="00401C14"/>
    <w:rsid w:val="00416A40"/>
    <w:rsid w:val="00425B51"/>
    <w:rsid w:val="004260EA"/>
    <w:rsid w:val="004270F5"/>
    <w:rsid w:val="004329A1"/>
    <w:rsid w:val="00440E94"/>
    <w:rsid w:val="004538EB"/>
    <w:rsid w:val="004624E5"/>
    <w:rsid w:val="00471A66"/>
    <w:rsid w:val="00482C97"/>
    <w:rsid w:val="00487490"/>
    <w:rsid w:val="00491C8D"/>
    <w:rsid w:val="004A1119"/>
    <w:rsid w:val="004A1D32"/>
    <w:rsid w:val="004A35D4"/>
    <w:rsid w:val="005142DD"/>
    <w:rsid w:val="00525E6F"/>
    <w:rsid w:val="00554072"/>
    <w:rsid w:val="005643CA"/>
    <w:rsid w:val="0056655C"/>
    <w:rsid w:val="00572CDE"/>
    <w:rsid w:val="005868A2"/>
    <w:rsid w:val="00587E8A"/>
    <w:rsid w:val="005905B5"/>
    <w:rsid w:val="005A1E0F"/>
    <w:rsid w:val="005B595B"/>
    <w:rsid w:val="005D43C0"/>
    <w:rsid w:val="005F03C2"/>
    <w:rsid w:val="005F58E1"/>
    <w:rsid w:val="005F5E57"/>
    <w:rsid w:val="0062215E"/>
    <w:rsid w:val="00631F47"/>
    <w:rsid w:val="006338E8"/>
    <w:rsid w:val="00633974"/>
    <w:rsid w:val="00633D63"/>
    <w:rsid w:val="00637078"/>
    <w:rsid w:val="006406F1"/>
    <w:rsid w:val="0064385B"/>
    <w:rsid w:val="00676B17"/>
    <w:rsid w:val="00683E6D"/>
    <w:rsid w:val="00690CA7"/>
    <w:rsid w:val="00693019"/>
    <w:rsid w:val="00693712"/>
    <w:rsid w:val="006A5238"/>
    <w:rsid w:val="006A54B1"/>
    <w:rsid w:val="006B67A7"/>
    <w:rsid w:val="006E2479"/>
    <w:rsid w:val="006E253E"/>
    <w:rsid w:val="006E322A"/>
    <w:rsid w:val="006E56E5"/>
    <w:rsid w:val="006E5F06"/>
    <w:rsid w:val="006F2C31"/>
    <w:rsid w:val="00703853"/>
    <w:rsid w:val="00705051"/>
    <w:rsid w:val="00712B9D"/>
    <w:rsid w:val="00714834"/>
    <w:rsid w:val="00714CC3"/>
    <w:rsid w:val="00716A36"/>
    <w:rsid w:val="007253BF"/>
    <w:rsid w:val="007321E5"/>
    <w:rsid w:val="00735A85"/>
    <w:rsid w:val="00735E24"/>
    <w:rsid w:val="0073773C"/>
    <w:rsid w:val="007433B6"/>
    <w:rsid w:val="00751290"/>
    <w:rsid w:val="007632ED"/>
    <w:rsid w:val="00787DE2"/>
    <w:rsid w:val="00792CD6"/>
    <w:rsid w:val="00795196"/>
    <w:rsid w:val="007A2564"/>
    <w:rsid w:val="007B445F"/>
    <w:rsid w:val="007B77C8"/>
    <w:rsid w:val="007D57D3"/>
    <w:rsid w:val="007F1772"/>
    <w:rsid w:val="007F187A"/>
    <w:rsid w:val="00804978"/>
    <w:rsid w:val="008138F6"/>
    <w:rsid w:val="00817C12"/>
    <w:rsid w:val="0082313A"/>
    <w:rsid w:val="00823916"/>
    <w:rsid w:val="00834275"/>
    <w:rsid w:val="0083450E"/>
    <w:rsid w:val="00840841"/>
    <w:rsid w:val="00840D95"/>
    <w:rsid w:val="0085432B"/>
    <w:rsid w:val="00867936"/>
    <w:rsid w:val="0087177A"/>
    <w:rsid w:val="0087712F"/>
    <w:rsid w:val="008A5BC0"/>
    <w:rsid w:val="008D1BD5"/>
    <w:rsid w:val="008D7138"/>
    <w:rsid w:val="008D71E2"/>
    <w:rsid w:val="008F1ED4"/>
    <w:rsid w:val="00901DBE"/>
    <w:rsid w:val="00912998"/>
    <w:rsid w:val="009219AB"/>
    <w:rsid w:val="0092310D"/>
    <w:rsid w:val="00930AA2"/>
    <w:rsid w:val="00933B2D"/>
    <w:rsid w:val="00937559"/>
    <w:rsid w:val="00942833"/>
    <w:rsid w:val="00943B44"/>
    <w:rsid w:val="0094628F"/>
    <w:rsid w:val="009470B3"/>
    <w:rsid w:val="009502D2"/>
    <w:rsid w:val="0098163E"/>
    <w:rsid w:val="00985555"/>
    <w:rsid w:val="0098781C"/>
    <w:rsid w:val="009A3059"/>
    <w:rsid w:val="009B34E7"/>
    <w:rsid w:val="009B5ECB"/>
    <w:rsid w:val="009E164E"/>
    <w:rsid w:val="009E1EA2"/>
    <w:rsid w:val="009F2B27"/>
    <w:rsid w:val="00A0032B"/>
    <w:rsid w:val="00A00DE9"/>
    <w:rsid w:val="00A06601"/>
    <w:rsid w:val="00A1071E"/>
    <w:rsid w:val="00A11B16"/>
    <w:rsid w:val="00A22BD5"/>
    <w:rsid w:val="00A2335A"/>
    <w:rsid w:val="00A247E0"/>
    <w:rsid w:val="00A31674"/>
    <w:rsid w:val="00A541B3"/>
    <w:rsid w:val="00A63465"/>
    <w:rsid w:val="00AA4567"/>
    <w:rsid w:val="00AD351F"/>
    <w:rsid w:val="00AD5AF6"/>
    <w:rsid w:val="00AD77A0"/>
    <w:rsid w:val="00AE3960"/>
    <w:rsid w:val="00AE77B4"/>
    <w:rsid w:val="00B02B4C"/>
    <w:rsid w:val="00B04D29"/>
    <w:rsid w:val="00B057E4"/>
    <w:rsid w:val="00B068B4"/>
    <w:rsid w:val="00B07374"/>
    <w:rsid w:val="00B21F62"/>
    <w:rsid w:val="00B3212E"/>
    <w:rsid w:val="00B323B1"/>
    <w:rsid w:val="00B32D14"/>
    <w:rsid w:val="00B37B26"/>
    <w:rsid w:val="00B41DA6"/>
    <w:rsid w:val="00B46FA4"/>
    <w:rsid w:val="00B51BF3"/>
    <w:rsid w:val="00B52CD3"/>
    <w:rsid w:val="00B71670"/>
    <w:rsid w:val="00B75F78"/>
    <w:rsid w:val="00B81979"/>
    <w:rsid w:val="00B820BE"/>
    <w:rsid w:val="00B83A7A"/>
    <w:rsid w:val="00B879B5"/>
    <w:rsid w:val="00B93326"/>
    <w:rsid w:val="00BA0C9C"/>
    <w:rsid w:val="00BA60C1"/>
    <w:rsid w:val="00BB0124"/>
    <w:rsid w:val="00BD441F"/>
    <w:rsid w:val="00BD498A"/>
    <w:rsid w:val="00BE3ECF"/>
    <w:rsid w:val="00BF0A04"/>
    <w:rsid w:val="00C10E25"/>
    <w:rsid w:val="00C30B33"/>
    <w:rsid w:val="00C31121"/>
    <w:rsid w:val="00C34AD5"/>
    <w:rsid w:val="00C37B82"/>
    <w:rsid w:val="00C442C1"/>
    <w:rsid w:val="00C45B35"/>
    <w:rsid w:val="00C6320D"/>
    <w:rsid w:val="00C75360"/>
    <w:rsid w:val="00C95DFA"/>
    <w:rsid w:val="00CA3D4A"/>
    <w:rsid w:val="00CB0633"/>
    <w:rsid w:val="00CC0322"/>
    <w:rsid w:val="00CC2A84"/>
    <w:rsid w:val="00CF0962"/>
    <w:rsid w:val="00CF2EC2"/>
    <w:rsid w:val="00D412CE"/>
    <w:rsid w:val="00D4206A"/>
    <w:rsid w:val="00D576BA"/>
    <w:rsid w:val="00D67EFB"/>
    <w:rsid w:val="00D73E37"/>
    <w:rsid w:val="00D8531E"/>
    <w:rsid w:val="00D8634D"/>
    <w:rsid w:val="00D91C7F"/>
    <w:rsid w:val="00DA2E1E"/>
    <w:rsid w:val="00DB305F"/>
    <w:rsid w:val="00DB7D89"/>
    <w:rsid w:val="00DD6605"/>
    <w:rsid w:val="00DD6DCD"/>
    <w:rsid w:val="00DE120D"/>
    <w:rsid w:val="00DE2A2B"/>
    <w:rsid w:val="00DE474D"/>
    <w:rsid w:val="00DE4BDB"/>
    <w:rsid w:val="00DE4F87"/>
    <w:rsid w:val="00DE5527"/>
    <w:rsid w:val="00DF0EBF"/>
    <w:rsid w:val="00DF2E82"/>
    <w:rsid w:val="00E07D68"/>
    <w:rsid w:val="00E170A7"/>
    <w:rsid w:val="00E20A1E"/>
    <w:rsid w:val="00E2532A"/>
    <w:rsid w:val="00E25B17"/>
    <w:rsid w:val="00E33406"/>
    <w:rsid w:val="00E33CF7"/>
    <w:rsid w:val="00E33DAA"/>
    <w:rsid w:val="00E35BD8"/>
    <w:rsid w:val="00E57378"/>
    <w:rsid w:val="00E6464F"/>
    <w:rsid w:val="00E66122"/>
    <w:rsid w:val="00E745D9"/>
    <w:rsid w:val="00E86F6E"/>
    <w:rsid w:val="00E87831"/>
    <w:rsid w:val="00EA06F5"/>
    <w:rsid w:val="00EA0977"/>
    <w:rsid w:val="00EB17D0"/>
    <w:rsid w:val="00EC1564"/>
    <w:rsid w:val="00ED683B"/>
    <w:rsid w:val="00EE08FF"/>
    <w:rsid w:val="00EE393F"/>
    <w:rsid w:val="00EF0438"/>
    <w:rsid w:val="00EF6497"/>
    <w:rsid w:val="00F063B3"/>
    <w:rsid w:val="00F10F7D"/>
    <w:rsid w:val="00F11792"/>
    <w:rsid w:val="00F133F3"/>
    <w:rsid w:val="00F226F8"/>
    <w:rsid w:val="00F2509F"/>
    <w:rsid w:val="00F25826"/>
    <w:rsid w:val="00F272EC"/>
    <w:rsid w:val="00F3301F"/>
    <w:rsid w:val="00F34F8A"/>
    <w:rsid w:val="00F37037"/>
    <w:rsid w:val="00F3704E"/>
    <w:rsid w:val="00F419F5"/>
    <w:rsid w:val="00F477D2"/>
    <w:rsid w:val="00F50EAA"/>
    <w:rsid w:val="00F518EF"/>
    <w:rsid w:val="00F604F1"/>
    <w:rsid w:val="00F7292A"/>
    <w:rsid w:val="00F77827"/>
    <w:rsid w:val="00F7797F"/>
    <w:rsid w:val="00F81EAD"/>
    <w:rsid w:val="00F85173"/>
    <w:rsid w:val="00F90FA9"/>
    <w:rsid w:val="00F95617"/>
    <w:rsid w:val="00FA30BE"/>
    <w:rsid w:val="00FA4EA6"/>
    <w:rsid w:val="00FB1284"/>
    <w:rsid w:val="00FB3610"/>
    <w:rsid w:val="00FB3F36"/>
    <w:rsid w:val="00FB638C"/>
    <w:rsid w:val="00FC3880"/>
    <w:rsid w:val="00FD0B52"/>
    <w:rsid w:val="00FD4A6B"/>
    <w:rsid w:val="00FF03E2"/>
    <w:rsid w:val="00FF4096"/>
    <w:rsid w:val="00FF47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E1A53E-FFB6-473B-94F5-D4E9B2B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rFonts w:ascii="Arial" w:hAnsi="Arial"/>
      <w:sz w:val="22"/>
      <w:szCs w:val="24"/>
      <w:lang w:eastAsia="en-US"/>
    </w:rPr>
  </w:style>
  <w:style w:type="paragraph" w:styleId="Naslov1">
    <w:name w:val="heading 1"/>
    <w:aliases w:val="PodP"/>
    <w:basedOn w:val="Navaden"/>
    <w:next w:val="Navaden"/>
    <w:qFormat/>
    <w:pPr>
      <w:keepNext/>
      <w:widowControl w:val="0"/>
      <w:tabs>
        <w:tab w:val="left" w:pos="-1080"/>
        <w:tab w:val="left" w:pos="-720"/>
        <w:tab w:val="left" w:pos="0"/>
        <w:tab w:val="left" w:pos="810"/>
        <w:tab w:val="left" w:pos="1080"/>
      </w:tabs>
      <w:outlineLvl w:val="0"/>
    </w:pPr>
    <w:rPr>
      <w:rFonts w:ascii="Times New Roman" w:hAnsi="Times New Roman"/>
      <w:b/>
      <w:snapToGrid w:val="0"/>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tabs>
        <w:tab w:val="left" w:pos="-1440"/>
      </w:tabs>
    </w:pPr>
    <w:rPr>
      <w:rFonts w:ascii="Times New Roman" w:hAnsi="Times New Roman"/>
      <w:sz w:val="24"/>
      <w:szCs w:val="20"/>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Besedilooblaka">
    <w:name w:val="Balloon Text"/>
    <w:basedOn w:val="Navaden"/>
    <w:semiHidden/>
    <w:rsid w:val="0002700B"/>
    <w:rPr>
      <w:rFonts w:ascii="Tahoma" w:hAnsi="Tahoma" w:cs="Tahoma"/>
      <w:sz w:val="16"/>
      <w:szCs w:val="16"/>
    </w:rPr>
  </w:style>
  <w:style w:type="paragraph" w:styleId="Glava">
    <w:name w:val="header"/>
    <w:basedOn w:val="Navaden"/>
    <w:link w:val="GlavaZnak"/>
    <w:rsid w:val="00F604F1"/>
    <w:pPr>
      <w:tabs>
        <w:tab w:val="center" w:pos="4536"/>
        <w:tab w:val="right" w:pos="9072"/>
      </w:tabs>
    </w:pPr>
  </w:style>
  <w:style w:type="character" w:customStyle="1" w:styleId="GlavaZnak">
    <w:name w:val="Glava Znak"/>
    <w:link w:val="Glava"/>
    <w:rsid w:val="00F604F1"/>
    <w:rPr>
      <w:rFonts w:ascii="Arial" w:hAnsi="Arial"/>
      <w:sz w:val="22"/>
      <w:szCs w:val="24"/>
      <w:lang w:eastAsia="en-US"/>
    </w:rPr>
  </w:style>
  <w:style w:type="character" w:customStyle="1" w:styleId="NogaZnak">
    <w:name w:val="Noga Znak"/>
    <w:link w:val="Noga"/>
    <w:uiPriority w:val="99"/>
    <w:rsid w:val="00F604F1"/>
    <w:rPr>
      <w:rFonts w:ascii="Arial" w:hAnsi="Arial"/>
      <w:sz w:val="22"/>
      <w:szCs w:val="24"/>
      <w:lang w:eastAsia="en-US"/>
    </w:rPr>
  </w:style>
  <w:style w:type="character" w:customStyle="1" w:styleId="mrppsc">
    <w:name w:val="mrppsc"/>
    <w:rsid w:val="005D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899">
      <w:bodyDiv w:val="1"/>
      <w:marLeft w:val="0"/>
      <w:marRight w:val="0"/>
      <w:marTop w:val="0"/>
      <w:marBottom w:val="0"/>
      <w:divBdr>
        <w:top w:val="none" w:sz="0" w:space="0" w:color="auto"/>
        <w:left w:val="none" w:sz="0" w:space="0" w:color="auto"/>
        <w:bottom w:val="none" w:sz="0" w:space="0" w:color="auto"/>
        <w:right w:val="none" w:sz="0" w:space="0" w:color="auto"/>
      </w:divBdr>
    </w:div>
    <w:div w:id="31269958">
      <w:bodyDiv w:val="1"/>
      <w:marLeft w:val="0"/>
      <w:marRight w:val="0"/>
      <w:marTop w:val="0"/>
      <w:marBottom w:val="0"/>
      <w:divBdr>
        <w:top w:val="none" w:sz="0" w:space="0" w:color="auto"/>
        <w:left w:val="none" w:sz="0" w:space="0" w:color="auto"/>
        <w:bottom w:val="none" w:sz="0" w:space="0" w:color="auto"/>
        <w:right w:val="none" w:sz="0" w:space="0" w:color="auto"/>
      </w:divBdr>
    </w:div>
    <w:div w:id="34625132">
      <w:bodyDiv w:val="1"/>
      <w:marLeft w:val="0"/>
      <w:marRight w:val="0"/>
      <w:marTop w:val="0"/>
      <w:marBottom w:val="0"/>
      <w:divBdr>
        <w:top w:val="none" w:sz="0" w:space="0" w:color="auto"/>
        <w:left w:val="none" w:sz="0" w:space="0" w:color="auto"/>
        <w:bottom w:val="none" w:sz="0" w:space="0" w:color="auto"/>
        <w:right w:val="none" w:sz="0" w:space="0" w:color="auto"/>
      </w:divBdr>
    </w:div>
    <w:div w:id="65035738">
      <w:bodyDiv w:val="1"/>
      <w:marLeft w:val="0"/>
      <w:marRight w:val="0"/>
      <w:marTop w:val="0"/>
      <w:marBottom w:val="0"/>
      <w:divBdr>
        <w:top w:val="none" w:sz="0" w:space="0" w:color="auto"/>
        <w:left w:val="none" w:sz="0" w:space="0" w:color="auto"/>
        <w:bottom w:val="none" w:sz="0" w:space="0" w:color="auto"/>
        <w:right w:val="none" w:sz="0" w:space="0" w:color="auto"/>
      </w:divBdr>
    </w:div>
    <w:div w:id="94716209">
      <w:bodyDiv w:val="1"/>
      <w:marLeft w:val="0"/>
      <w:marRight w:val="0"/>
      <w:marTop w:val="0"/>
      <w:marBottom w:val="0"/>
      <w:divBdr>
        <w:top w:val="none" w:sz="0" w:space="0" w:color="auto"/>
        <w:left w:val="none" w:sz="0" w:space="0" w:color="auto"/>
        <w:bottom w:val="none" w:sz="0" w:space="0" w:color="auto"/>
        <w:right w:val="none" w:sz="0" w:space="0" w:color="auto"/>
      </w:divBdr>
    </w:div>
    <w:div w:id="217715369">
      <w:bodyDiv w:val="1"/>
      <w:marLeft w:val="0"/>
      <w:marRight w:val="0"/>
      <w:marTop w:val="0"/>
      <w:marBottom w:val="0"/>
      <w:divBdr>
        <w:top w:val="none" w:sz="0" w:space="0" w:color="auto"/>
        <w:left w:val="none" w:sz="0" w:space="0" w:color="auto"/>
        <w:bottom w:val="none" w:sz="0" w:space="0" w:color="auto"/>
        <w:right w:val="none" w:sz="0" w:space="0" w:color="auto"/>
      </w:divBdr>
    </w:div>
    <w:div w:id="226379366">
      <w:bodyDiv w:val="1"/>
      <w:marLeft w:val="0"/>
      <w:marRight w:val="0"/>
      <w:marTop w:val="0"/>
      <w:marBottom w:val="0"/>
      <w:divBdr>
        <w:top w:val="none" w:sz="0" w:space="0" w:color="auto"/>
        <w:left w:val="none" w:sz="0" w:space="0" w:color="auto"/>
        <w:bottom w:val="none" w:sz="0" w:space="0" w:color="auto"/>
        <w:right w:val="none" w:sz="0" w:space="0" w:color="auto"/>
      </w:divBdr>
    </w:div>
    <w:div w:id="231620088">
      <w:bodyDiv w:val="1"/>
      <w:marLeft w:val="0"/>
      <w:marRight w:val="0"/>
      <w:marTop w:val="0"/>
      <w:marBottom w:val="0"/>
      <w:divBdr>
        <w:top w:val="none" w:sz="0" w:space="0" w:color="auto"/>
        <w:left w:val="none" w:sz="0" w:space="0" w:color="auto"/>
        <w:bottom w:val="none" w:sz="0" w:space="0" w:color="auto"/>
        <w:right w:val="none" w:sz="0" w:space="0" w:color="auto"/>
      </w:divBdr>
    </w:div>
    <w:div w:id="304552570">
      <w:bodyDiv w:val="1"/>
      <w:marLeft w:val="0"/>
      <w:marRight w:val="0"/>
      <w:marTop w:val="0"/>
      <w:marBottom w:val="0"/>
      <w:divBdr>
        <w:top w:val="none" w:sz="0" w:space="0" w:color="auto"/>
        <w:left w:val="none" w:sz="0" w:space="0" w:color="auto"/>
        <w:bottom w:val="none" w:sz="0" w:space="0" w:color="auto"/>
        <w:right w:val="none" w:sz="0" w:space="0" w:color="auto"/>
      </w:divBdr>
    </w:div>
    <w:div w:id="404450398">
      <w:bodyDiv w:val="1"/>
      <w:marLeft w:val="0"/>
      <w:marRight w:val="0"/>
      <w:marTop w:val="0"/>
      <w:marBottom w:val="0"/>
      <w:divBdr>
        <w:top w:val="none" w:sz="0" w:space="0" w:color="auto"/>
        <w:left w:val="none" w:sz="0" w:space="0" w:color="auto"/>
        <w:bottom w:val="none" w:sz="0" w:space="0" w:color="auto"/>
        <w:right w:val="none" w:sz="0" w:space="0" w:color="auto"/>
      </w:divBdr>
    </w:div>
    <w:div w:id="426922400">
      <w:bodyDiv w:val="1"/>
      <w:marLeft w:val="0"/>
      <w:marRight w:val="0"/>
      <w:marTop w:val="0"/>
      <w:marBottom w:val="0"/>
      <w:divBdr>
        <w:top w:val="none" w:sz="0" w:space="0" w:color="auto"/>
        <w:left w:val="none" w:sz="0" w:space="0" w:color="auto"/>
        <w:bottom w:val="none" w:sz="0" w:space="0" w:color="auto"/>
        <w:right w:val="none" w:sz="0" w:space="0" w:color="auto"/>
      </w:divBdr>
    </w:div>
    <w:div w:id="448092627">
      <w:bodyDiv w:val="1"/>
      <w:marLeft w:val="0"/>
      <w:marRight w:val="0"/>
      <w:marTop w:val="0"/>
      <w:marBottom w:val="0"/>
      <w:divBdr>
        <w:top w:val="none" w:sz="0" w:space="0" w:color="auto"/>
        <w:left w:val="none" w:sz="0" w:space="0" w:color="auto"/>
        <w:bottom w:val="none" w:sz="0" w:space="0" w:color="auto"/>
        <w:right w:val="none" w:sz="0" w:space="0" w:color="auto"/>
      </w:divBdr>
    </w:div>
    <w:div w:id="545487208">
      <w:bodyDiv w:val="1"/>
      <w:marLeft w:val="0"/>
      <w:marRight w:val="0"/>
      <w:marTop w:val="0"/>
      <w:marBottom w:val="0"/>
      <w:divBdr>
        <w:top w:val="none" w:sz="0" w:space="0" w:color="auto"/>
        <w:left w:val="none" w:sz="0" w:space="0" w:color="auto"/>
        <w:bottom w:val="none" w:sz="0" w:space="0" w:color="auto"/>
        <w:right w:val="none" w:sz="0" w:space="0" w:color="auto"/>
      </w:divBdr>
    </w:div>
    <w:div w:id="606695336">
      <w:bodyDiv w:val="1"/>
      <w:marLeft w:val="0"/>
      <w:marRight w:val="0"/>
      <w:marTop w:val="0"/>
      <w:marBottom w:val="0"/>
      <w:divBdr>
        <w:top w:val="none" w:sz="0" w:space="0" w:color="auto"/>
        <w:left w:val="none" w:sz="0" w:space="0" w:color="auto"/>
        <w:bottom w:val="none" w:sz="0" w:space="0" w:color="auto"/>
        <w:right w:val="none" w:sz="0" w:space="0" w:color="auto"/>
      </w:divBdr>
    </w:div>
    <w:div w:id="707296542">
      <w:bodyDiv w:val="1"/>
      <w:marLeft w:val="0"/>
      <w:marRight w:val="0"/>
      <w:marTop w:val="0"/>
      <w:marBottom w:val="0"/>
      <w:divBdr>
        <w:top w:val="none" w:sz="0" w:space="0" w:color="auto"/>
        <w:left w:val="none" w:sz="0" w:space="0" w:color="auto"/>
        <w:bottom w:val="none" w:sz="0" w:space="0" w:color="auto"/>
        <w:right w:val="none" w:sz="0" w:space="0" w:color="auto"/>
      </w:divBdr>
    </w:div>
    <w:div w:id="707728354">
      <w:bodyDiv w:val="1"/>
      <w:marLeft w:val="0"/>
      <w:marRight w:val="0"/>
      <w:marTop w:val="0"/>
      <w:marBottom w:val="0"/>
      <w:divBdr>
        <w:top w:val="none" w:sz="0" w:space="0" w:color="auto"/>
        <w:left w:val="none" w:sz="0" w:space="0" w:color="auto"/>
        <w:bottom w:val="none" w:sz="0" w:space="0" w:color="auto"/>
        <w:right w:val="none" w:sz="0" w:space="0" w:color="auto"/>
      </w:divBdr>
    </w:div>
    <w:div w:id="741802411">
      <w:bodyDiv w:val="1"/>
      <w:marLeft w:val="0"/>
      <w:marRight w:val="0"/>
      <w:marTop w:val="0"/>
      <w:marBottom w:val="0"/>
      <w:divBdr>
        <w:top w:val="none" w:sz="0" w:space="0" w:color="auto"/>
        <w:left w:val="none" w:sz="0" w:space="0" w:color="auto"/>
        <w:bottom w:val="none" w:sz="0" w:space="0" w:color="auto"/>
        <w:right w:val="none" w:sz="0" w:space="0" w:color="auto"/>
      </w:divBdr>
    </w:div>
    <w:div w:id="810440853">
      <w:bodyDiv w:val="1"/>
      <w:marLeft w:val="0"/>
      <w:marRight w:val="0"/>
      <w:marTop w:val="0"/>
      <w:marBottom w:val="0"/>
      <w:divBdr>
        <w:top w:val="none" w:sz="0" w:space="0" w:color="auto"/>
        <w:left w:val="none" w:sz="0" w:space="0" w:color="auto"/>
        <w:bottom w:val="none" w:sz="0" w:space="0" w:color="auto"/>
        <w:right w:val="none" w:sz="0" w:space="0" w:color="auto"/>
      </w:divBdr>
    </w:div>
    <w:div w:id="818305590">
      <w:bodyDiv w:val="1"/>
      <w:marLeft w:val="0"/>
      <w:marRight w:val="0"/>
      <w:marTop w:val="0"/>
      <w:marBottom w:val="0"/>
      <w:divBdr>
        <w:top w:val="none" w:sz="0" w:space="0" w:color="auto"/>
        <w:left w:val="none" w:sz="0" w:space="0" w:color="auto"/>
        <w:bottom w:val="none" w:sz="0" w:space="0" w:color="auto"/>
        <w:right w:val="none" w:sz="0" w:space="0" w:color="auto"/>
      </w:divBdr>
    </w:div>
    <w:div w:id="854613239">
      <w:bodyDiv w:val="1"/>
      <w:marLeft w:val="0"/>
      <w:marRight w:val="0"/>
      <w:marTop w:val="0"/>
      <w:marBottom w:val="0"/>
      <w:divBdr>
        <w:top w:val="none" w:sz="0" w:space="0" w:color="auto"/>
        <w:left w:val="none" w:sz="0" w:space="0" w:color="auto"/>
        <w:bottom w:val="none" w:sz="0" w:space="0" w:color="auto"/>
        <w:right w:val="none" w:sz="0" w:space="0" w:color="auto"/>
      </w:divBdr>
    </w:div>
    <w:div w:id="903611065">
      <w:bodyDiv w:val="1"/>
      <w:marLeft w:val="0"/>
      <w:marRight w:val="0"/>
      <w:marTop w:val="0"/>
      <w:marBottom w:val="0"/>
      <w:divBdr>
        <w:top w:val="none" w:sz="0" w:space="0" w:color="auto"/>
        <w:left w:val="none" w:sz="0" w:space="0" w:color="auto"/>
        <w:bottom w:val="none" w:sz="0" w:space="0" w:color="auto"/>
        <w:right w:val="none" w:sz="0" w:space="0" w:color="auto"/>
      </w:divBdr>
    </w:div>
    <w:div w:id="904948764">
      <w:bodyDiv w:val="1"/>
      <w:marLeft w:val="0"/>
      <w:marRight w:val="0"/>
      <w:marTop w:val="0"/>
      <w:marBottom w:val="0"/>
      <w:divBdr>
        <w:top w:val="none" w:sz="0" w:space="0" w:color="auto"/>
        <w:left w:val="none" w:sz="0" w:space="0" w:color="auto"/>
        <w:bottom w:val="none" w:sz="0" w:space="0" w:color="auto"/>
        <w:right w:val="none" w:sz="0" w:space="0" w:color="auto"/>
      </w:divBdr>
    </w:div>
    <w:div w:id="1211070418">
      <w:bodyDiv w:val="1"/>
      <w:marLeft w:val="0"/>
      <w:marRight w:val="0"/>
      <w:marTop w:val="0"/>
      <w:marBottom w:val="0"/>
      <w:divBdr>
        <w:top w:val="none" w:sz="0" w:space="0" w:color="auto"/>
        <w:left w:val="none" w:sz="0" w:space="0" w:color="auto"/>
        <w:bottom w:val="none" w:sz="0" w:space="0" w:color="auto"/>
        <w:right w:val="none" w:sz="0" w:space="0" w:color="auto"/>
      </w:divBdr>
    </w:div>
    <w:div w:id="1226255373">
      <w:bodyDiv w:val="1"/>
      <w:marLeft w:val="0"/>
      <w:marRight w:val="0"/>
      <w:marTop w:val="0"/>
      <w:marBottom w:val="0"/>
      <w:divBdr>
        <w:top w:val="none" w:sz="0" w:space="0" w:color="auto"/>
        <w:left w:val="none" w:sz="0" w:space="0" w:color="auto"/>
        <w:bottom w:val="none" w:sz="0" w:space="0" w:color="auto"/>
        <w:right w:val="none" w:sz="0" w:space="0" w:color="auto"/>
      </w:divBdr>
    </w:div>
    <w:div w:id="1321079348">
      <w:bodyDiv w:val="1"/>
      <w:marLeft w:val="0"/>
      <w:marRight w:val="0"/>
      <w:marTop w:val="0"/>
      <w:marBottom w:val="0"/>
      <w:divBdr>
        <w:top w:val="none" w:sz="0" w:space="0" w:color="auto"/>
        <w:left w:val="none" w:sz="0" w:space="0" w:color="auto"/>
        <w:bottom w:val="none" w:sz="0" w:space="0" w:color="auto"/>
        <w:right w:val="none" w:sz="0" w:space="0" w:color="auto"/>
      </w:divBdr>
    </w:div>
    <w:div w:id="1345395455">
      <w:bodyDiv w:val="1"/>
      <w:marLeft w:val="0"/>
      <w:marRight w:val="0"/>
      <w:marTop w:val="0"/>
      <w:marBottom w:val="0"/>
      <w:divBdr>
        <w:top w:val="none" w:sz="0" w:space="0" w:color="auto"/>
        <w:left w:val="none" w:sz="0" w:space="0" w:color="auto"/>
        <w:bottom w:val="none" w:sz="0" w:space="0" w:color="auto"/>
        <w:right w:val="none" w:sz="0" w:space="0" w:color="auto"/>
      </w:divBdr>
    </w:div>
    <w:div w:id="1365787392">
      <w:bodyDiv w:val="1"/>
      <w:marLeft w:val="0"/>
      <w:marRight w:val="0"/>
      <w:marTop w:val="0"/>
      <w:marBottom w:val="0"/>
      <w:divBdr>
        <w:top w:val="none" w:sz="0" w:space="0" w:color="auto"/>
        <w:left w:val="none" w:sz="0" w:space="0" w:color="auto"/>
        <w:bottom w:val="none" w:sz="0" w:space="0" w:color="auto"/>
        <w:right w:val="none" w:sz="0" w:space="0" w:color="auto"/>
      </w:divBdr>
    </w:div>
    <w:div w:id="1395279957">
      <w:bodyDiv w:val="1"/>
      <w:marLeft w:val="0"/>
      <w:marRight w:val="0"/>
      <w:marTop w:val="0"/>
      <w:marBottom w:val="0"/>
      <w:divBdr>
        <w:top w:val="none" w:sz="0" w:space="0" w:color="auto"/>
        <w:left w:val="none" w:sz="0" w:space="0" w:color="auto"/>
        <w:bottom w:val="none" w:sz="0" w:space="0" w:color="auto"/>
        <w:right w:val="none" w:sz="0" w:space="0" w:color="auto"/>
      </w:divBdr>
    </w:div>
    <w:div w:id="1445464850">
      <w:bodyDiv w:val="1"/>
      <w:marLeft w:val="0"/>
      <w:marRight w:val="0"/>
      <w:marTop w:val="0"/>
      <w:marBottom w:val="0"/>
      <w:divBdr>
        <w:top w:val="none" w:sz="0" w:space="0" w:color="auto"/>
        <w:left w:val="none" w:sz="0" w:space="0" w:color="auto"/>
        <w:bottom w:val="none" w:sz="0" w:space="0" w:color="auto"/>
        <w:right w:val="none" w:sz="0" w:space="0" w:color="auto"/>
      </w:divBdr>
    </w:div>
    <w:div w:id="1658999077">
      <w:bodyDiv w:val="1"/>
      <w:marLeft w:val="0"/>
      <w:marRight w:val="0"/>
      <w:marTop w:val="0"/>
      <w:marBottom w:val="0"/>
      <w:divBdr>
        <w:top w:val="none" w:sz="0" w:space="0" w:color="auto"/>
        <w:left w:val="none" w:sz="0" w:space="0" w:color="auto"/>
        <w:bottom w:val="none" w:sz="0" w:space="0" w:color="auto"/>
        <w:right w:val="none" w:sz="0" w:space="0" w:color="auto"/>
      </w:divBdr>
    </w:div>
    <w:div w:id="1738087529">
      <w:bodyDiv w:val="1"/>
      <w:marLeft w:val="0"/>
      <w:marRight w:val="0"/>
      <w:marTop w:val="0"/>
      <w:marBottom w:val="0"/>
      <w:divBdr>
        <w:top w:val="none" w:sz="0" w:space="0" w:color="auto"/>
        <w:left w:val="none" w:sz="0" w:space="0" w:color="auto"/>
        <w:bottom w:val="none" w:sz="0" w:space="0" w:color="auto"/>
        <w:right w:val="none" w:sz="0" w:space="0" w:color="auto"/>
      </w:divBdr>
    </w:div>
    <w:div w:id="1815099022">
      <w:bodyDiv w:val="1"/>
      <w:marLeft w:val="0"/>
      <w:marRight w:val="0"/>
      <w:marTop w:val="0"/>
      <w:marBottom w:val="0"/>
      <w:divBdr>
        <w:top w:val="none" w:sz="0" w:space="0" w:color="auto"/>
        <w:left w:val="none" w:sz="0" w:space="0" w:color="auto"/>
        <w:bottom w:val="none" w:sz="0" w:space="0" w:color="auto"/>
        <w:right w:val="none" w:sz="0" w:space="0" w:color="auto"/>
      </w:divBdr>
    </w:div>
    <w:div w:id="1833181064">
      <w:bodyDiv w:val="1"/>
      <w:marLeft w:val="0"/>
      <w:marRight w:val="0"/>
      <w:marTop w:val="0"/>
      <w:marBottom w:val="0"/>
      <w:divBdr>
        <w:top w:val="none" w:sz="0" w:space="0" w:color="auto"/>
        <w:left w:val="none" w:sz="0" w:space="0" w:color="auto"/>
        <w:bottom w:val="none" w:sz="0" w:space="0" w:color="auto"/>
        <w:right w:val="none" w:sz="0" w:space="0" w:color="auto"/>
      </w:divBdr>
    </w:div>
    <w:div w:id="1939019137">
      <w:bodyDiv w:val="1"/>
      <w:marLeft w:val="0"/>
      <w:marRight w:val="0"/>
      <w:marTop w:val="0"/>
      <w:marBottom w:val="0"/>
      <w:divBdr>
        <w:top w:val="none" w:sz="0" w:space="0" w:color="auto"/>
        <w:left w:val="none" w:sz="0" w:space="0" w:color="auto"/>
        <w:bottom w:val="none" w:sz="0" w:space="0" w:color="auto"/>
        <w:right w:val="none" w:sz="0" w:space="0" w:color="auto"/>
      </w:divBdr>
    </w:div>
    <w:div w:id="20990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3-21-0433"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radni-list.si/1/objava.jsp?sop=2006-01-2549" TargetMode="External"/><Relationship Id="rId7" Type="http://schemas.openxmlformats.org/officeDocument/2006/relationships/footnotes" Target="foot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11-01-044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15-01-227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6-01-1079" TargetMode="External"/><Relationship Id="rId28" Type="http://schemas.openxmlformats.org/officeDocument/2006/relationships/header" Target="header3.xm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3-01-367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0-01-304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1AB79-CB33-44FC-B461-AAF27346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1920</Words>
  <Characters>10950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Na podlagi 29</vt:lpstr>
    </vt:vector>
  </TitlesOfParts>
  <Company>MFRS</Company>
  <LinksUpToDate>false</LinksUpToDate>
  <CharactersWithSpaces>12845</CharactersWithSpaces>
  <SharedDoc>false</SharedDoc>
  <HLinks>
    <vt:vector size="90" baseType="variant">
      <vt:variant>
        <vt:i4>7340078</vt:i4>
      </vt:variant>
      <vt:variant>
        <vt:i4>42</vt:i4>
      </vt:variant>
      <vt:variant>
        <vt:i4>0</vt:i4>
      </vt:variant>
      <vt:variant>
        <vt:i4>5</vt:i4>
      </vt:variant>
      <vt:variant>
        <vt:lpwstr>http://www.uradni-list.si/1/objava.jsp?sop=2016-01-1079</vt:lpwstr>
      </vt:variant>
      <vt:variant>
        <vt:lpwstr/>
      </vt:variant>
      <vt:variant>
        <vt:i4>7405608</vt:i4>
      </vt:variant>
      <vt:variant>
        <vt:i4>39</vt:i4>
      </vt:variant>
      <vt:variant>
        <vt:i4>0</vt:i4>
      </vt:variant>
      <vt:variant>
        <vt:i4>5</vt:i4>
      </vt:variant>
      <vt:variant>
        <vt:lpwstr>http://www.uradni-list.si/1/objava.jsp?sop=2010-01-3041</vt:lpwstr>
      </vt:variant>
      <vt:variant>
        <vt:lpwstr/>
      </vt:variant>
      <vt:variant>
        <vt:i4>7405611</vt:i4>
      </vt:variant>
      <vt:variant>
        <vt:i4>36</vt:i4>
      </vt:variant>
      <vt:variant>
        <vt:i4>0</vt:i4>
      </vt:variant>
      <vt:variant>
        <vt:i4>5</vt:i4>
      </vt:variant>
      <vt:variant>
        <vt:lpwstr>http://www.uradni-list.si/1/objava.jsp?sop=2006-01-2549</vt:lpwstr>
      </vt:variant>
      <vt:variant>
        <vt:lpwstr/>
      </vt:variant>
      <vt:variant>
        <vt:i4>7536687</vt:i4>
      </vt:variant>
      <vt:variant>
        <vt:i4>33</vt:i4>
      </vt:variant>
      <vt:variant>
        <vt:i4>0</vt:i4>
      </vt:variant>
      <vt:variant>
        <vt:i4>5</vt:i4>
      </vt:variant>
      <vt:variant>
        <vt:lpwstr>http://www.uradni-list.si/1/objava.jsp?sop=2015-01-2277</vt:lpwstr>
      </vt:variant>
      <vt:variant>
        <vt:lpwstr/>
      </vt:variant>
      <vt:variant>
        <vt:i4>7471149</vt:i4>
      </vt:variant>
      <vt:variant>
        <vt:i4>30</vt:i4>
      </vt:variant>
      <vt:variant>
        <vt:i4>0</vt:i4>
      </vt:variant>
      <vt:variant>
        <vt:i4>5</vt:i4>
      </vt:variant>
      <vt:variant>
        <vt:lpwstr>http://www.uradni-list.si/1/objava.jsp?sop=2013-01-3677</vt:lpwstr>
      </vt:variant>
      <vt:variant>
        <vt:lpwstr/>
      </vt:variant>
      <vt:variant>
        <vt:i4>7667757</vt:i4>
      </vt:variant>
      <vt:variant>
        <vt:i4>27</vt:i4>
      </vt:variant>
      <vt:variant>
        <vt:i4>0</vt:i4>
      </vt:variant>
      <vt:variant>
        <vt:i4>5</vt:i4>
      </vt:variant>
      <vt:variant>
        <vt:lpwstr>http://www.uradni-list.si/1/objava.jsp?sop=2013-21-0433</vt:lpwstr>
      </vt:variant>
      <vt:variant>
        <vt:lpwstr/>
      </vt:variant>
      <vt:variant>
        <vt:i4>7471149</vt:i4>
      </vt:variant>
      <vt:variant>
        <vt:i4>24</vt:i4>
      </vt:variant>
      <vt:variant>
        <vt:i4>0</vt:i4>
      </vt:variant>
      <vt:variant>
        <vt:i4>5</vt:i4>
      </vt:variant>
      <vt:variant>
        <vt:lpwstr>http://www.uradni-list.si/1/objava.jsp?sop=2011-01-0449</vt:lpwstr>
      </vt:variant>
      <vt:variant>
        <vt:lpwstr/>
      </vt:variant>
      <vt:variant>
        <vt:i4>7471139</vt:i4>
      </vt:variant>
      <vt:variant>
        <vt:i4>21</vt:i4>
      </vt:variant>
      <vt:variant>
        <vt:i4>0</vt:i4>
      </vt:variant>
      <vt:variant>
        <vt:i4>5</vt:i4>
      </vt:variant>
      <vt:variant>
        <vt:lpwstr>http://www.uradni-list.si/1/objava.jsp?sop=2018-01-1356</vt:lpwstr>
      </vt:variant>
      <vt:variant>
        <vt:lpwstr/>
      </vt:variant>
      <vt:variant>
        <vt:i4>7536676</vt:i4>
      </vt:variant>
      <vt:variant>
        <vt:i4>18</vt:i4>
      </vt:variant>
      <vt:variant>
        <vt:i4>0</vt:i4>
      </vt:variant>
      <vt:variant>
        <vt:i4>5</vt:i4>
      </vt:variant>
      <vt:variant>
        <vt:lpwstr>http://www.uradni-list.si/1/objava.jsp?sop=2018-01-0457</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29</dc:title>
  <dc:subject/>
  <dc:creator>dragi</dc:creator>
  <cp:keywords/>
  <cp:lastModifiedBy>Marusa Zajc</cp:lastModifiedBy>
  <cp:revision>24</cp:revision>
  <cp:lastPrinted>2020-12-10T08:10:00Z</cp:lastPrinted>
  <dcterms:created xsi:type="dcterms:W3CDTF">2020-01-30T08:34:00Z</dcterms:created>
  <dcterms:modified xsi:type="dcterms:W3CDTF">2021-01-04T12:04:00Z</dcterms:modified>
</cp:coreProperties>
</file>