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57F" w:rsidRPr="0061257F" w:rsidRDefault="0061257F" w:rsidP="0061257F">
      <w:pPr>
        <w:overflowPunct w:val="0"/>
        <w:autoSpaceDE w:val="0"/>
        <w:autoSpaceDN w:val="0"/>
        <w:adjustRightInd w:val="0"/>
        <w:jc w:val="both"/>
        <w:textAlignment w:val="baseline"/>
        <w:rPr>
          <w:rFonts w:ascii="Arial Narrow" w:hAnsi="Arial Narrow"/>
          <w:b/>
          <w:i/>
          <w:sz w:val="28"/>
          <w:szCs w:val="28"/>
          <w:lang w:eastAsia="en-US"/>
        </w:rPr>
      </w:pPr>
      <w:r w:rsidRPr="0061257F">
        <w:rPr>
          <w:rFonts w:ascii="Arial Narrow" w:hAnsi="Arial Narrow"/>
          <w:b/>
          <w:i/>
          <w:sz w:val="28"/>
          <w:szCs w:val="28"/>
          <w:lang w:eastAsia="en-US"/>
        </w:rPr>
        <w:t>MESTNA OBČINA PTUJ</w:t>
      </w:r>
    </w:p>
    <w:p w:rsidR="0061257F" w:rsidRPr="0061257F" w:rsidRDefault="0061257F" w:rsidP="0061257F">
      <w:pPr>
        <w:overflowPunct w:val="0"/>
        <w:autoSpaceDE w:val="0"/>
        <w:autoSpaceDN w:val="0"/>
        <w:adjustRightInd w:val="0"/>
        <w:jc w:val="both"/>
        <w:textAlignment w:val="baseline"/>
        <w:rPr>
          <w:rFonts w:ascii="Arial Narrow" w:hAnsi="Arial Narrow"/>
          <w:b/>
          <w:i/>
          <w:sz w:val="28"/>
          <w:szCs w:val="28"/>
          <w:lang w:eastAsia="en-US"/>
        </w:rPr>
      </w:pPr>
      <w:r w:rsidRPr="0061257F">
        <w:rPr>
          <w:rFonts w:ascii="Arial Narrow" w:hAnsi="Arial Narrow"/>
          <w:b/>
          <w:i/>
          <w:sz w:val="28"/>
          <w:szCs w:val="28"/>
          <w:lang w:eastAsia="en-US"/>
        </w:rPr>
        <w:t>Mestni svet</w:t>
      </w:r>
    </w:p>
    <w:p w:rsidR="0061257F" w:rsidRPr="0061257F" w:rsidRDefault="0061257F" w:rsidP="0061257F">
      <w:pPr>
        <w:overflowPunct w:val="0"/>
        <w:autoSpaceDE w:val="0"/>
        <w:autoSpaceDN w:val="0"/>
        <w:adjustRightInd w:val="0"/>
        <w:jc w:val="both"/>
        <w:textAlignment w:val="baseline"/>
        <w:rPr>
          <w:rFonts w:ascii="Arial Narrow" w:hAnsi="Arial Narrow"/>
          <w:i/>
          <w:sz w:val="28"/>
          <w:szCs w:val="28"/>
          <w:lang w:eastAsia="en-US"/>
        </w:rPr>
      </w:pPr>
      <w:r w:rsidRPr="0061257F">
        <w:rPr>
          <w:rFonts w:ascii="Arial Narrow" w:hAnsi="Arial Narrow"/>
          <w:i/>
          <w:sz w:val="28"/>
          <w:szCs w:val="28"/>
          <w:lang w:eastAsia="en-US"/>
        </w:rPr>
        <w:t>Številka: 900-66/2011-1012</w:t>
      </w:r>
    </w:p>
    <w:p w:rsidR="0061257F" w:rsidRPr="0061257F" w:rsidRDefault="0061257F" w:rsidP="0061257F">
      <w:pPr>
        <w:tabs>
          <w:tab w:val="left" w:pos="3471"/>
        </w:tabs>
        <w:overflowPunct w:val="0"/>
        <w:autoSpaceDE w:val="0"/>
        <w:autoSpaceDN w:val="0"/>
        <w:adjustRightInd w:val="0"/>
        <w:jc w:val="both"/>
        <w:textAlignment w:val="baseline"/>
        <w:rPr>
          <w:rFonts w:ascii="Arial Narrow" w:hAnsi="Arial Narrow"/>
          <w:i/>
          <w:sz w:val="28"/>
          <w:szCs w:val="28"/>
          <w:lang w:eastAsia="en-US"/>
        </w:rPr>
      </w:pPr>
      <w:r w:rsidRPr="0061257F">
        <w:rPr>
          <w:rFonts w:ascii="Arial Narrow" w:hAnsi="Arial Narrow"/>
          <w:i/>
          <w:sz w:val="28"/>
          <w:szCs w:val="28"/>
          <w:lang w:eastAsia="en-US"/>
        </w:rPr>
        <w:t>Datum:   31.08.2011</w:t>
      </w:r>
    </w:p>
    <w:p w:rsidR="0061257F" w:rsidRPr="0061257F" w:rsidRDefault="0061257F" w:rsidP="0061257F">
      <w:pPr>
        <w:overflowPunct w:val="0"/>
        <w:autoSpaceDE w:val="0"/>
        <w:autoSpaceDN w:val="0"/>
        <w:adjustRightInd w:val="0"/>
        <w:jc w:val="center"/>
        <w:textAlignment w:val="baseline"/>
        <w:rPr>
          <w:rFonts w:ascii="Arial Narrow" w:hAnsi="Arial Narrow"/>
          <w:b/>
          <w:i/>
          <w:sz w:val="28"/>
          <w:szCs w:val="28"/>
          <w:lang w:eastAsia="en-US"/>
        </w:rPr>
      </w:pPr>
    </w:p>
    <w:p w:rsidR="0061257F" w:rsidRPr="0061257F" w:rsidRDefault="0061257F" w:rsidP="0061257F">
      <w:pPr>
        <w:overflowPunct w:val="0"/>
        <w:autoSpaceDE w:val="0"/>
        <w:autoSpaceDN w:val="0"/>
        <w:adjustRightInd w:val="0"/>
        <w:jc w:val="center"/>
        <w:textAlignment w:val="baseline"/>
        <w:rPr>
          <w:rFonts w:ascii="Arial Narrow" w:hAnsi="Arial Narrow"/>
          <w:b/>
          <w:i/>
          <w:sz w:val="28"/>
          <w:szCs w:val="28"/>
          <w:lang w:eastAsia="en-US"/>
        </w:rPr>
      </w:pPr>
      <w:r w:rsidRPr="0061257F">
        <w:rPr>
          <w:rFonts w:ascii="Arial Narrow" w:hAnsi="Arial Narrow"/>
          <w:b/>
          <w:i/>
          <w:sz w:val="28"/>
          <w:szCs w:val="28"/>
          <w:lang w:eastAsia="en-US"/>
        </w:rPr>
        <w:t>Z A P I S N I K</w:t>
      </w:r>
    </w:p>
    <w:p w:rsidR="0061257F" w:rsidRPr="0061257F" w:rsidRDefault="0061257F" w:rsidP="0061257F">
      <w:pPr>
        <w:overflowPunct w:val="0"/>
        <w:autoSpaceDE w:val="0"/>
        <w:autoSpaceDN w:val="0"/>
        <w:adjustRightInd w:val="0"/>
        <w:jc w:val="both"/>
        <w:textAlignment w:val="baseline"/>
        <w:rPr>
          <w:rFonts w:ascii="Arial Narrow" w:hAnsi="Arial Narrow"/>
          <w:b/>
          <w:i/>
          <w:sz w:val="28"/>
          <w:szCs w:val="28"/>
          <w:lang w:eastAsia="en-US"/>
        </w:rPr>
      </w:pPr>
    </w:p>
    <w:p w:rsidR="0061257F" w:rsidRPr="0061257F" w:rsidRDefault="0061257F" w:rsidP="0061257F">
      <w:pPr>
        <w:overflowPunct w:val="0"/>
        <w:autoSpaceDE w:val="0"/>
        <w:autoSpaceDN w:val="0"/>
        <w:adjustRightInd w:val="0"/>
        <w:jc w:val="both"/>
        <w:textAlignment w:val="baseline"/>
        <w:rPr>
          <w:rFonts w:ascii="Arial Narrow" w:hAnsi="Arial Narrow"/>
          <w:i/>
          <w:sz w:val="28"/>
          <w:szCs w:val="28"/>
          <w:lang w:eastAsia="en-US"/>
        </w:rPr>
      </w:pPr>
      <w:r w:rsidRPr="0061257F">
        <w:rPr>
          <w:rFonts w:ascii="Arial Narrow" w:hAnsi="Arial Narrow"/>
          <w:b/>
          <w:i/>
          <w:sz w:val="28"/>
          <w:szCs w:val="28"/>
          <w:lang w:eastAsia="en-US"/>
        </w:rPr>
        <w:t xml:space="preserve">1. dopisne seje </w:t>
      </w:r>
      <w:r w:rsidRPr="0061257F">
        <w:rPr>
          <w:rFonts w:ascii="Arial Narrow" w:hAnsi="Arial Narrow"/>
          <w:i/>
          <w:sz w:val="28"/>
          <w:szCs w:val="28"/>
          <w:lang w:eastAsia="en-US"/>
        </w:rPr>
        <w:t xml:space="preserve">Mestnega sveta Mestne občine Ptuj, ki je bila </w:t>
      </w:r>
      <w:r w:rsidRPr="0061257F">
        <w:rPr>
          <w:rFonts w:ascii="Arial Narrow" w:hAnsi="Arial Narrow"/>
          <w:b/>
          <w:i/>
          <w:sz w:val="28"/>
          <w:szCs w:val="28"/>
          <w:lang w:eastAsia="en-US"/>
        </w:rPr>
        <w:t>v torek  in v sredo, dne  30. in 31. avgusta 2011 do 8. ure zjutraj.</w:t>
      </w:r>
    </w:p>
    <w:p w:rsidR="0061257F" w:rsidRPr="0061257F" w:rsidRDefault="0061257F" w:rsidP="0061257F">
      <w:pPr>
        <w:overflowPunct w:val="0"/>
        <w:autoSpaceDE w:val="0"/>
        <w:autoSpaceDN w:val="0"/>
        <w:adjustRightInd w:val="0"/>
        <w:jc w:val="both"/>
        <w:textAlignment w:val="baseline"/>
        <w:rPr>
          <w:rFonts w:ascii="Arial Narrow" w:hAnsi="Arial Narrow"/>
          <w:i/>
          <w:sz w:val="28"/>
          <w:szCs w:val="28"/>
          <w:lang w:eastAsia="en-US"/>
        </w:rPr>
      </w:pPr>
      <w:r w:rsidRPr="0061257F">
        <w:rPr>
          <w:rFonts w:ascii="Arial Narrow" w:hAnsi="Arial Narrow"/>
          <w:i/>
          <w:sz w:val="28"/>
          <w:szCs w:val="28"/>
          <w:lang w:eastAsia="en-US"/>
        </w:rPr>
        <w:t>Dopisno sejo je na podlagi 23. člena  Statuta Mestne občine Ptuj (Uradni vestnik Mestne občine Ptuj, št. 9/07) in  24. člena Poslovnika Mestnega sveta Mestne občine Ptuj (Uradni vestnik Mestne občine Ptuj, št. 12/07 in 1/09) sklical dr. Štefan ČELAN, župan Mestne občine Ptuj.</w:t>
      </w:r>
    </w:p>
    <w:p w:rsidR="0061257F" w:rsidRPr="0061257F" w:rsidRDefault="0061257F" w:rsidP="0061257F">
      <w:pPr>
        <w:overflowPunct w:val="0"/>
        <w:autoSpaceDE w:val="0"/>
        <w:autoSpaceDN w:val="0"/>
        <w:adjustRightInd w:val="0"/>
        <w:jc w:val="both"/>
        <w:textAlignment w:val="baseline"/>
        <w:rPr>
          <w:rFonts w:ascii="Arial Narrow" w:hAnsi="Arial Narrow"/>
          <w:b/>
          <w:i/>
          <w:sz w:val="28"/>
          <w:szCs w:val="28"/>
          <w:lang w:eastAsia="en-US"/>
        </w:rPr>
      </w:pPr>
    </w:p>
    <w:p w:rsidR="0061257F" w:rsidRPr="0061257F" w:rsidRDefault="0061257F" w:rsidP="0061257F">
      <w:pPr>
        <w:overflowPunct w:val="0"/>
        <w:autoSpaceDE w:val="0"/>
        <w:autoSpaceDN w:val="0"/>
        <w:adjustRightInd w:val="0"/>
        <w:jc w:val="both"/>
        <w:textAlignment w:val="baseline"/>
        <w:rPr>
          <w:rFonts w:ascii="Arial Narrow" w:hAnsi="Arial Narrow"/>
          <w:b/>
          <w:i/>
          <w:sz w:val="28"/>
          <w:szCs w:val="28"/>
          <w:lang w:eastAsia="en-US"/>
        </w:rPr>
      </w:pPr>
      <w:r w:rsidRPr="0061257F">
        <w:rPr>
          <w:rFonts w:ascii="Arial Narrow" w:hAnsi="Arial Narrow"/>
          <w:b/>
          <w:i/>
          <w:sz w:val="28"/>
          <w:szCs w:val="28"/>
          <w:lang w:eastAsia="en-US"/>
        </w:rPr>
        <w:t>DNEVNI RED:</w:t>
      </w:r>
    </w:p>
    <w:p w:rsidR="0061257F" w:rsidRPr="0061257F" w:rsidRDefault="0061257F" w:rsidP="0061257F">
      <w:pPr>
        <w:overflowPunct w:val="0"/>
        <w:autoSpaceDE w:val="0"/>
        <w:autoSpaceDN w:val="0"/>
        <w:adjustRightInd w:val="0"/>
        <w:jc w:val="both"/>
        <w:textAlignment w:val="baseline"/>
        <w:rPr>
          <w:rFonts w:ascii="Arial Narrow" w:hAnsi="Arial Narrow"/>
          <w:i/>
          <w:sz w:val="28"/>
          <w:szCs w:val="28"/>
          <w:lang w:eastAsia="en-US"/>
        </w:rPr>
      </w:pPr>
      <w:r w:rsidRPr="0061257F">
        <w:rPr>
          <w:rFonts w:ascii="Arial Narrow" w:hAnsi="Arial Narrow"/>
          <w:i/>
          <w:sz w:val="28"/>
          <w:szCs w:val="28"/>
          <w:lang w:eastAsia="en-US"/>
        </w:rPr>
        <w:t>Za dnevni red  1. dopisne seje  sveta je župan določil  eno točko dnevnega reda, in sicer:</w:t>
      </w:r>
    </w:p>
    <w:p w:rsidR="0061257F" w:rsidRPr="0061257F" w:rsidRDefault="0061257F" w:rsidP="0061257F">
      <w:pPr>
        <w:numPr>
          <w:ilvl w:val="0"/>
          <w:numId w:val="19"/>
        </w:numPr>
        <w:tabs>
          <w:tab w:val="num" w:pos="360"/>
        </w:tabs>
        <w:overflowPunct w:val="0"/>
        <w:autoSpaceDE w:val="0"/>
        <w:autoSpaceDN w:val="0"/>
        <w:adjustRightInd w:val="0"/>
        <w:ind w:left="360"/>
        <w:jc w:val="both"/>
        <w:textAlignment w:val="baseline"/>
        <w:rPr>
          <w:rFonts w:ascii="Arial Narrow" w:hAnsi="Arial Narrow"/>
          <w:b/>
          <w:i/>
          <w:sz w:val="28"/>
          <w:szCs w:val="28"/>
          <w:lang w:eastAsia="en-US"/>
        </w:rPr>
      </w:pPr>
      <w:r w:rsidRPr="0061257F">
        <w:rPr>
          <w:rFonts w:ascii="Arial Narrow" w:hAnsi="Arial Narrow"/>
          <w:b/>
          <w:i/>
          <w:sz w:val="28"/>
          <w:szCs w:val="28"/>
          <w:lang w:eastAsia="en-US"/>
        </w:rPr>
        <w:t>Predlog Sklepa o potrditvi Investicijskega programa  za »Energetsko učinkovita prenova javne razsvetljave v Mestni občini Ptuj«.</w:t>
      </w:r>
    </w:p>
    <w:p w:rsidR="0061257F" w:rsidRPr="0061257F" w:rsidRDefault="0061257F" w:rsidP="0061257F">
      <w:pPr>
        <w:overflowPunct w:val="0"/>
        <w:autoSpaceDE w:val="0"/>
        <w:autoSpaceDN w:val="0"/>
        <w:adjustRightInd w:val="0"/>
        <w:jc w:val="center"/>
        <w:textAlignment w:val="baseline"/>
        <w:rPr>
          <w:rFonts w:ascii="Arial Narrow" w:hAnsi="Arial Narrow"/>
          <w:i/>
          <w:sz w:val="28"/>
          <w:szCs w:val="28"/>
          <w:lang w:eastAsia="en-US"/>
        </w:rPr>
      </w:pPr>
      <w:r w:rsidRPr="0061257F">
        <w:rPr>
          <w:rFonts w:ascii="Arial Narrow" w:hAnsi="Arial Narrow"/>
          <w:i/>
          <w:sz w:val="28"/>
          <w:szCs w:val="28"/>
          <w:lang w:eastAsia="en-US"/>
        </w:rPr>
        <w:t>*****</w:t>
      </w:r>
    </w:p>
    <w:p w:rsidR="0061257F" w:rsidRPr="0061257F" w:rsidRDefault="0061257F" w:rsidP="0061257F">
      <w:pPr>
        <w:overflowPunct w:val="0"/>
        <w:autoSpaceDE w:val="0"/>
        <w:autoSpaceDN w:val="0"/>
        <w:adjustRightInd w:val="0"/>
        <w:jc w:val="both"/>
        <w:textAlignment w:val="baseline"/>
        <w:rPr>
          <w:rFonts w:ascii="Arial Narrow" w:hAnsi="Arial Narrow"/>
          <w:i/>
          <w:sz w:val="28"/>
          <w:szCs w:val="28"/>
          <w:lang w:eastAsia="en-US"/>
        </w:rPr>
      </w:pPr>
      <w:r w:rsidRPr="0061257F">
        <w:rPr>
          <w:rFonts w:ascii="Arial Narrow" w:hAnsi="Arial Narrow"/>
          <w:i/>
          <w:sz w:val="28"/>
          <w:szCs w:val="28"/>
          <w:lang w:eastAsia="en-US"/>
        </w:rPr>
        <w:t>Gradivo za točko dnevnega reda je bilo  vsem  29. članom Mestnega sveta Mestne občine Ptuj poslano v torek, dne 30.8.2011, ob 14.55. uri na njihove elektronske naslove.</w:t>
      </w:r>
    </w:p>
    <w:p w:rsidR="0061257F" w:rsidRPr="0061257F" w:rsidRDefault="0061257F" w:rsidP="0061257F">
      <w:pPr>
        <w:jc w:val="both"/>
        <w:rPr>
          <w:rFonts w:ascii="Arial Narrow" w:hAnsi="Arial Narrow"/>
          <w:i/>
          <w:sz w:val="28"/>
          <w:szCs w:val="28"/>
        </w:rPr>
      </w:pPr>
      <w:r w:rsidRPr="0061257F">
        <w:rPr>
          <w:rFonts w:ascii="Arial Narrow" w:hAnsi="Arial Narrow"/>
          <w:i/>
          <w:sz w:val="28"/>
          <w:szCs w:val="28"/>
        </w:rPr>
        <w:t>Za točko dnevnega reda je priloženo naslednje pisno gradivo:</w:t>
      </w:r>
    </w:p>
    <w:p w:rsidR="0061257F" w:rsidRPr="0061257F" w:rsidRDefault="0061257F" w:rsidP="0061257F">
      <w:pPr>
        <w:numPr>
          <w:ilvl w:val="0"/>
          <w:numId w:val="20"/>
        </w:numPr>
        <w:ind w:left="567"/>
        <w:jc w:val="both"/>
        <w:rPr>
          <w:rFonts w:ascii="Arial Narrow" w:hAnsi="Arial Narrow"/>
          <w:i/>
          <w:sz w:val="28"/>
          <w:szCs w:val="28"/>
        </w:rPr>
      </w:pPr>
      <w:r w:rsidRPr="0061257F">
        <w:rPr>
          <w:rFonts w:ascii="Arial Narrow" w:hAnsi="Arial Narrow"/>
          <w:i/>
          <w:sz w:val="28"/>
          <w:szCs w:val="28"/>
        </w:rPr>
        <w:t>predlog Sklepa potrditvi Investicijskega programa za »Energetsko učinkovita prenova javne razsvetljave v Mestni občini Ptuj«</w:t>
      </w:r>
    </w:p>
    <w:p w:rsidR="0061257F" w:rsidRPr="0061257F" w:rsidRDefault="0061257F" w:rsidP="0061257F">
      <w:pPr>
        <w:numPr>
          <w:ilvl w:val="0"/>
          <w:numId w:val="20"/>
        </w:numPr>
        <w:ind w:left="567"/>
        <w:jc w:val="both"/>
        <w:rPr>
          <w:rFonts w:ascii="Arial Narrow" w:hAnsi="Arial Narrow"/>
          <w:i/>
          <w:sz w:val="28"/>
          <w:szCs w:val="28"/>
        </w:rPr>
      </w:pPr>
      <w:r w:rsidRPr="0061257F">
        <w:rPr>
          <w:rFonts w:ascii="Arial Narrow" w:hAnsi="Arial Narrow"/>
          <w:i/>
          <w:sz w:val="28"/>
          <w:szCs w:val="28"/>
        </w:rPr>
        <w:t>Investicijski program  za »Energetsko učinkovita prenova javne razsvetljave v Mestni občini Ptuj«</w:t>
      </w:r>
    </w:p>
    <w:p w:rsidR="0061257F" w:rsidRPr="0061257F" w:rsidRDefault="0061257F" w:rsidP="0061257F">
      <w:pPr>
        <w:numPr>
          <w:ilvl w:val="0"/>
          <w:numId w:val="20"/>
        </w:numPr>
        <w:ind w:left="567"/>
        <w:jc w:val="both"/>
        <w:rPr>
          <w:rFonts w:ascii="Arial Narrow" w:hAnsi="Arial Narrow"/>
          <w:i/>
          <w:sz w:val="28"/>
          <w:szCs w:val="28"/>
        </w:rPr>
      </w:pPr>
      <w:r w:rsidRPr="0061257F">
        <w:rPr>
          <w:rFonts w:ascii="Arial Narrow" w:hAnsi="Arial Narrow"/>
          <w:i/>
          <w:sz w:val="28"/>
          <w:szCs w:val="28"/>
        </w:rPr>
        <w:t>GLASOVNICA O GLASOVANJU.</w:t>
      </w:r>
    </w:p>
    <w:p w:rsidR="0061257F" w:rsidRPr="0061257F" w:rsidRDefault="0061257F" w:rsidP="0061257F">
      <w:pPr>
        <w:ind w:right="-110"/>
        <w:jc w:val="both"/>
        <w:rPr>
          <w:rFonts w:ascii="Arial Narrow" w:hAnsi="Arial Narrow"/>
          <w:i/>
          <w:sz w:val="28"/>
          <w:szCs w:val="28"/>
        </w:rPr>
      </w:pPr>
    </w:p>
    <w:p w:rsidR="0061257F" w:rsidRPr="0061257F" w:rsidRDefault="0061257F" w:rsidP="0061257F">
      <w:pPr>
        <w:ind w:right="-110"/>
        <w:jc w:val="both"/>
        <w:rPr>
          <w:rFonts w:ascii="Arial Narrow" w:hAnsi="Arial Narrow"/>
          <w:i/>
          <w:sz w:val="28"/>
          <w:szCs w:val="28"/>
        </w:rPr>
      </w:pPr>
      <w:r w:rsidRPr="0061257F">
        <w:rPr>
          <w:rFonts w:ascii="Arial Narrow" w:hAnsi="Arial Narrow"/>
          <w:i/>
          <w:sz w:val="28"/>
          <w:szCs w:val="28"/>
        </w:rPr>
        <w:t xml:space="preserve">Člani mestnega sveta so svojo odločitev (svoj glas) do predloga  Sklepa potrditvi Investicijskega programa za »Energetsko učinkovita prenova javne razsvetljave v Mestni občini Ptuj«  lahko sporočili   </w:t>
      </w:r>
      <w:r w:rsidRPr="0061257F">
        <w:rPr>
          <w:rFonts w:ascii="Arial Narrow" w:hAnsi="Arial Narrow"/>
          <w:b/>
          <w:i/>
          <w:sz w:val="28"/>
          <w:szCs w:val="28"/>
        </w:rPr>
        <w:t xml:space="preserve">najkasneje   v sredo,  dne 31. avgusta  2011,  do vključno 8. ure </w:t>
      </w:r>
      <w:r w:rsidRPr="0061257F">
        <w:rPr>
          <w:rFonts w:ascii="Arial Narrow" w:hAnsi="Arial Narrow"/>
          <w:i/>
          <w:sz w:val="28"/>
          <w:szCs w:val="28"/>
        </w:rPr>
        <w:t xml:space="preserve">zjutraj  strokovnemu sodelavcu Mestnega sveta MO Ptuj </w:t>
      </w:r>
      <w:r w:rsidRPr="0061257F">
        <w:rPr>
          <w:rFonts w:ascii="Arial Narrow" w:hAnsi="Arial Narrow"/>
          <w:b/>
          <w:i/>
          <w:sz w:val="28"/>
          <w:szCs w:val="28"/>
        </w:rPr>
        <w:t xml:space="preserve">na  E – naslov  </w:t>
      </w:r>
      <w:r w:rsidRPr="0061257F">
        <w:rPr>
          <w:rFonts w:ascii="Arial Narrow" w:hAnsi="Arial Narrow"/>
          <w:i/>
          <w:sz w:val="28"/>
          <w:szCs w:val="28"/>
        </w:rPr>
        <w:t xml:space="preserve">ali  na telefonsko številko  </w:t>
      </w:r>
      <w:r w:rsidRPr="0061257F">
        <w:rPr>
          <w:rFonts w:ascii="Arial Narrow" w:hAnsi="Arial Narrow"/>
          <w:b/>
          <w:i/>
          <w:sz w:val="28"/>
          <w:szCs w:val="28"/>
        </w:rPr>
        <w:t>02/748-2917 .</w:t>
      </w:r>
    </w:p>
    <w:p w:rsidR="0061257F" w:rsidRPr="0061257F" w:rsidRDefault="0061257F" w:rsidP="0061257F">
      <w:pPr>
        <w:ind w:right="-110"/>
        <w:jc w:val="center"/>
        <w:rPr>
          <w:rFonts w:ascii="Arial Narrow" w:hAnsi="Arial Narrow"/>
          <w:i/>
          <w:sz w:val="28"/>
          <w:szCs w:val="28"/>
        </w:rPr>
      </w:pPr>
      <w:r w:rsidRPr="0061257F">
        <w:rPr>
          <w:rFonts w:ascii="Arial Narrow" w:hAnsi="Arial Narrow"/>
          <w:i/>
          <w:sz w:val="28"/>
          <w:szCs w:val="28"/>
        </w:rPr>
        <w:t>*****</w:t>
      </w:r>
    </w:p>
    <w:p w:rsidR="0061257F" w:rsidRPr="0061257F" w:rsidRDefault="0061257F" w:rsidP="0061257F">
      <w:pPr>
        <w:jc w:val="both"/>
        <w:rPr>
          <w:rFonts w:ascii="Arial Narrow" w:hAnsi="Arial Narrow"/>
          <w:i/>
          <w:sz w:val="28"/>
          <w:szCs w:val="28"/>
        </w:rPr>
      </w:pPr>
      <w:r w:rsidRPr="0061257F">
        <w:rPr>
          <w:rFonts w:ascii="Arial Narrow" w:hAnsi="Arial Narrow"/>
          <w:i/>
          <w:sz w:val="28"/>
          <w:szCs w:val="28"/>
          <w:lang w:eastAsia="en-US"/>
        </w:rPr>
        <w:t xml:space="preserve">Predlog </w:t>
      </w:r>
      <w:r w:rsidRPr="0061257F">
        <w:rPr>
          <w:rFonts w:ascii="Arial Narrow" w:hAnsi="Arial Narrow"/>
          <w:i/>
          <w:sz w:val="28"/>
          <w:szCs w:val="28"/>
        </w:rPr>
        <w:t xml:space="preserve">Sklepa potrditvi Investicijskega programa za »Energetsko učinkovita prenova javne razsvetljave v Mestni občini Ptuj«  z obrazložitvijo, o katerem je na dopisni seji teklo glasovanje je bil posredovan v naslednjem besedilu: </w:t>
      </w:r>
    </w:p>
    <w:p w:rsidR="0061257F" w:rsidRPr="0061257F" w:rsidRDefault="0061257F" w:rsidP="0061257F">
      <w:pPr>
        <w:overflowPunct w:val="0"/>
        <w:autoSpaceDE w:val="0"/>
        <w:autoSpaceDN w:val="0"/>
        <w:adjustRightInd w:val="0"/>
        <w:jc w:val="both"/>
        <w:textAlignment w:val="baseline"/>
        <w:rPr>
          <w:rFonts w:ascii="Arial Narrow" w:hAnsi="Arial Narrow"/>
          <w:i/>
          <w:sz w:val="28"/>
          <w:szCs w:val="28"/>
          <w:lang w:eastAsia="en-US"/>
        </w:rPr>
      </w:pPr>
    </w:p>
    <w:p w:rsidR="0061257F" w:rsidRPr="0061257F" w:rsidRDefault="0061257F" w:rsidP="0061257F">
      <w:pPr>
        <w:jc w:val="right"/>
        <w:rPr>
          <w:rFonts w:ascii="Arial Narrow" w:hAnsi="Arial Narrow"/>
          <w:i/>
          <w:szCs w:val="24"/>
        </w:rPr>
      </w:pPr>
      <w:r w:rsidRPr="0061257F">
        <w:rPr>
          <w:rFonts w:ascii="Arial Narrow" w:hAnsi="Arial Narrow"/>
          <w:i/>
          <w:szCs w:val="24"/>
        </w:rPr>
        <w:t>»PREDLOG</w:t>
      </w:r>
    </w:p>
    <w:p w:rsidR="0061257F" w:rsidRPr="0061257F" w:rsidRDefault="0061257F" w:rsidP="0061257F">
      <w:pPr>
        <w:jc w:val="right"/>
        <w:rPr>
          <w:rFonts w:ascii="Arial Narrow" w:hAnsi="Arial Narrow"/>
          <w:i/>
          <w:szCs w:val="24"/>
        </w:rPr>
      </w:pPr>
      <w:r w:rsidRPr="0061257F">
        <w:rPr>
          <w:rFonts w:ascii="Arial Narrow" w:hAnsi="Arial Narrow"/>
          <w:i/>
          <w:szCs w:val="24"/>
        </w:rPr>
        <w:t>AVGUST 2011</w:t>
      </w:r>
    </w:p>
    <w:p w:rsidR="0061257F" w:rsidRPr="0061257F" w:rsidRDefault="0061257F" w:rsidP="0061257F">
      <w:pPr>
        <w:rPr>
          <w:rFonts w:ascii="Arial Narrow" w:hAnsi="Arial Narrow"/>
          <w:i/>
          <w:szCs w:val="24"/>
        </w:rPr>
      </w:pPr>
    </w:p>
    <w:p w:rsidR="0061257F" w:rsidRPr="0061257F" w:rsidRDefault="0061257F" w:rsidP="0061257F">
      <w:pPr>
        <w:jc w:val="both"/>
        <w:rPr>
          <w:rFonts w:ascii="Arial Narrow" w:hAnsi="Arial Narrow"/>
          <w:i/>
          <w:szCs w:val="24"/>
        </w:rPr>
      </w:pPr>
      <w:r w:rsidRPr="0061257F">
        <w:rPr>
          <w:rFonts w:ascii="Arial Narrow" w:hAnsi="Arial Narrow"/>
          <w:i/>
          <w:szCs w:val="24"/>
        </w:rPr>
        <w:t>Na podlagi 20. člena Uredbe o enotni metodologiji za pripravo in obravnavo investicijske dokumentacije na področju javnih financ (Uradni list RS, št. 60/06 in 54/10) in 12. člena Statuta Mestne občine Ptuj (Uradni vestnik Mestne občine Ptuj, št. 9/07) je Mestni svet Mestne občine Ptuj na ___ seji, dne ___________, sprejel naslednji</w:t>
      </w:r>
    </w:p>
    <w:p w:rsidR="0061257F" w:rsidRPr="0061257F" w:rsidRDefault="0061257F" w:rsidP="0061257F">
      <w:pPr>
        <w:jc w:val="both"/>
        <w:rPr>
          <w:rFonts w:ascii="Arial Narrow" w:hAnsi="Arial Narrow"/>
          <w:i/>
          <w:szCs w:val="24"/>
        </w:rPr>
      </w:pPr>
    </w:p>
    <w:p w:rsidR="0061257F" w:rsidRPr="0061257F" w:rsidRDefault="0061257F" w:rsidP="0061257F">
      <w:pPr>
        <w:jc w:val="center"/>
        <w:rPr>
          <w:rFonts w:ascii="Arial Narrow" w:hAnsi="Arial Narrow"/>
          <w:b/>
          <w:i/>
          <w:caps/>
          <w:szCs w:val="24"/>
        </w:rPr>
      </w:pPr>
      <w:r w:rsidRPr="0061257F">
        <w:rPr>
          <w:rFonts w:ascii="Arial Narrow" w:hAnsi="Arial Narrow"/>
          <w:b/>
          <w:i/>
          <w:caps/>
          <w:szCs w:val="24"/>
        </w:rPr>
        <w:lastRenderedPageBreak/>
        <w:t>Sklep</w:t>
      </w:r>
    </w:p>
    <w:p w:rsidR="0061257F" w:rsidRPr="0061257F" w:rsidRDefault="0061257F" w:rsidP="0061257F">
      <w:pPr>
        <w:jc w:val="center"/>
        <w:rPr>
          <w:rFonts w:ascii="Arial Narrow" w:hAnsi="Arial Narrow"/>
          <w:b/>
          <w:i/>
          <w:caps/>
          <w:szCs w:val="24"/>
        </w:rPr>
      </w:pPr>
      <w:r w:rsidRPr="0061257F">
        <w:rPr>
          <w:rFonts w:ascii="Arial Narrow" w:hAnsi="Arial Narrow"/>
          <w:b/>
          <w:i/>
          <w:caps/>
          <w:szCs w:val="24"/>
        </w:rPr>
        <w:t xml:space="preserve">o POTRDITVI INVESTICIJSKEGA PROGRAMA za </w:t>
      </w:r>
      <w:r w:rsidRPr="0061257F">
        <w:rPr>
          <w:rFonts w:ascii="Arial Narrow" w:hAnsi="Arial Narrow"/>
          <w:b/>
          <w:i/>
          <w:szCs w:val="24"/>
        </w:rPr>
        <w:t>»ENERGETSKO UČINKOVITA PRENOVA JAVNE RAZSVETLJAVE V MESTNI OBČINI PTUJ«</w:t>
      </w:r>
    </w:p>
    <w:p w:rsidR="0061257F" w:rsidRPr="0061257F" w:rsidRDefault="0061257F" w:rsidP="0061257F">
      <w:pPr>
        <w:jc w:val="center"/>
        <w:rPr>
          <w:rFonts w:ascii="Arial Narrow" w:hAnsi="Arial Narrow"/>
          <w:b/>
          <w:i/>
          <w:szCs w:val="24"/>
        </w:rPr>
      </w:pPr>
    </w:p>
    <w:p w:rsidR="0061257F" w:rsidRPr="0061257F" w:rsidRDefault="0061257F" w:rsidP="0061257F">
      <w:pPr>
        <w:jc w:val="center"/>
        <w:rPr>
          <w:rFonts w:ascii="Arial Narrow" w:hAnsi="Arial Narrow"/>
          <w:b/>
          <w:i/>
          <w:szCs w:val="24"/>
        </w:rPr>
      </w:pPr>
    </w:p>
    <w:p w:rsidR="0061257F" w:rsidRPr="0061257F" w:rsidRDefault="0061257F" w:rsidP="0061257F">
      <w:pPr>
        <w:jc w:val="center"/>
        <w:rPr>
          <w:rFonts w:ascii="Arial Narrow" w:hAnsi="Arial Narrow"/>
          <w:b/>
          <w:i/>
          <w:szCs w:val="24"/>
        </w:rPr>
      </w:pPr>
      <w:r w:rsidRPr="0061257F">
        <w:rPr>
          <w:rFonts w:ascii="Arial Narrow" w:hAnsi="Arial Narrow"/>
          <w:b/>
          <w:i/>
          <w:szCs w:val="24"/>
        </w:rPr>
        <w:t>1.</w:t>
      </w:r>
    </w:p>
    <w:p w:rsidR="0061257F" w:rsidRPr="0061257F" w:rsidRDefault="0061257F" w:rsidP="0061257F">
      <w:pPr>
        <w:jc w:val="both"/>
        <w:rPr>
          <w:rFonts w:ascii="Arial Narrow" w:hAnsi="Arial Narrow"/>
          <w:i/>
          <w:szCs w:val="24"/>
        </w:rPr>
      </w:pPr>
      <w:r w:rsidRPr="0061257F">
        <w:rPr>
          <w:rFonts w:ascii="Arial Narrow" w:hAnsi="Arial Narrow"/>
          <w:i/>
          <w:szCs w:val="24"/>
        </w:rPr>
        <w:t>Mestna občina Ptuj potrjuje Investicijski program za »Energetsko učinkovita prenova javne razsvetljave v Mestni občini Ptuj«.</w:t>
      </w:r>
    </w:p>
    <w:p w:rsidR="0061257F" w:rsidRPr="0061257F" w:rsidRDefault="0061257F" w:rsidP="0061257F">
      <w:pPr>
        <w:jc w:val="center"/>
        <w:rPr>
          <w:rFonts w:ascii="Arial Narrow" w:hAnsi="Arial Narrow"/>
          <w:b/>
          <w:i/>
          <w:szCs w:val="24"/>
        </w:rPr>
      </w:pPr>
      <w:r w:rsidRPr="0061257F">
        <w:rPr>
          <w:rFonts w:ascii="Arial Narrow" w:hAnsi="Arial Narrow"/>
          <w:b/>
          <w:i/>
          <w:szCs w:val="24"/>
        </w:rPr>
        <w:t>2.</w:t>
      </w:r>
    </w:p>
    <w:p w:rsidR="0061257F" w:rsidRPr="0061257F" w:rsidRDefault="0061257F" w:rsidP="0061257F">
      <w:pPr>
        <w:jc w:val="both"/>
        <w:rPr>
          <w:rFonts w:ascii="Arial Narrow" w:hAnsi="Arial Narrow"/>
          <w:i/>
          <w:szCs w:val="24"/>
        </w:rPr>
      </w:pPr>
      <w:r w:rsidRPr="0061257F">
        <w:rPr>
          <w:rFonts w:ascii="Arial Narrow" w:hAnsi="Arial Narrow"/>
          <w:i/>
          <w:szCs w:val="24"/>
        </w:rPr>
        <w:t>Investicijski projekt se bo izvajal s sredstvi proračuna Mestne občine Ptuj in Ministrstva za gospodarstvo.</w:t>
      </w:r>
    </w:p>
    <w:p w:rsidR="0061257F" w:rsidRPr="0061257F" w:rsidRDefault="0061257F" w:rsidP="0061257F">
      <w:pPr>
        <w:jc w:val="center"/>
        <w:rPr>
          <w:rFonts w:ascii="Arial Narrow" w:hAnsi="Arial Narrow"/>
          <w:b/>
          <w:i/>
          <w:szCs w:val="24"/>
        </w:rPr>
      </w:pPr>
      <w:r w:rsidRPr="0061257F">
        <w:rPr>
          <w:rFonts w:ascii="Arial Narrow" w:hAnsi="Arial Narrow"/>
          <w:b/>
          <w:i/>
          <w:szCs w:val="24"/>
        </w:rPr>
        <w:t>3.</w:t>
      </w:r>
    </w:p>
    <w:p w:rsidR="0061257F" w:rsidRPr="0061257F" w:rsidRDefault="0061257F" w:rsidP="0061257F">
      <w:pPr>
        <w:rPr>
          <w:rFonts w:ascii="Arial Narrow" w:hAnsi="Arial Narrow"/>
          <w:i/>
          <w:szCs w:val="24"/>
        </w:rPr>
      </w:pPr>
      <w:r w:rsidRPr="0061257F">
        <w:rPr>
          <w:rFonts w:ascii="Arial Narrow" w:hAnsi="Arial Narrow"/>
          <w:i/>
          <w:szCs w:val="24"/>
        </w:rPr>
        <w:t>Ta sklep začne veljati takoj.</w:t>
      </w:r>
    </w:p>
    <w:p w:rsidR="0061257F" w:rsidRPr="0061257F" w:rsidRDefault="0061257F" w:rsidP="0061257F">
      <w:pPr>
        <w:jc w:val="both"/>
        <w:rPr>
          <w:rFonts w:ascii="Arial Narrow" w:hAnsi="Arial Narrow"/>
          <w:i/>
          <w:szCs w:val="24"/>
        </w:rPr>
      </w:pPr>
    </w:p>
    <w:p w:rsidR="0061257F" w:rsidRPr="0061257F" w:rsidRDefault="0061257F" w:rsidP="0061257F">
      <w:pPr>
        <w:rPr>
          <w:rFonts w:ascii="Arial Narrow" w:hAnsi="Arial Narrow"/>
          <w:i/>
          <w:szCs w:val="24"/>
        </w:rPr>
      </w:pPr>
      <w:r w:rsidRPr="0061257F">
        <w:rPr>
          <w:rFonts w:ascii="Arial Narrow" w:hAnsi="Arial Narrow"/>
          <w:i/>
          <w:szCs w:val="24"/>
        </w:rPr>
        <w:t>Številka: 430-22/2011</w:t>
      </w:r>
    </w:p>
    <w:p w:rsidR="0061257F" w:rsidRPr="0061257F" w:rsidRDefault="0061257F" w:rsidP="0061257F">
      <w:pPr>
        <w:rPr>
          <w:rFonts w:ascii="Arial Narrow" w:hAnsi="Arial Narrow"/>
          <w:i/>
          <w:szCs w:val="24"/>
        </w:rPr>
      </w:pPr>
      <w:r w:rsidRPr="0061257F">
        <w:rPr>
          <w:rFonts w:ascii="Arial Narrow" w:hAnsi="Arial Narrow"/>
          <w:i/>
          <w:szCs w:val="24"/>
        </w:rPr>
        <w:t xml:space="preserve">Datum: </w:t>
      </w:r>
    </w:p>
    <w:p w:rsidR="0061257F" w:rsidRPr="0061257F" w:rsidRDefault="0061257F" w:rsidP="0061257F">
      <w:pPr>
        <w:pBdr>
          <w:bottom w:val="single" w:sz="4" w:space="1" w:color="auto"/>
        </w:pBdr>
        <w:rPr>
          <w:rFonts w:ascii="Arial Narrow" w:hAnsi="Arial Narrow"/>
          <w:i/>
          <w:szCs w:val="24"/>
        </w:rPr>
      </w:pPr>
    </w:p>
    <w:p w:rsidR="0061257F" w:rsidRPr="0061257F" w:rsidRDefault="0061257F" w:rsidP="0061257F">
      <w:pPr>
        <w:rPr>
          <w:rFonts w:ascii="Arial Narrow" w:hAnsi="Arial Narrow"/>
          <w:i/>
          <w:szCs w:val="24"/>
        </w:rPr>
      </w:pPr>
    </w:p>
    <w:p w:rsidR="0061257F" w:rsidRPr="0061257F" w:rsidRDefault="0061257F" w:rsidP="0061257F">
      <w:pPr>
        <w:rPr>
          <w:rFonts w:ascii="Arial Narrow" w:hAnsi="Arial Narrow"/>
          <w:b/>
          <w:i/>
          <w:szCs w:val="24"/>
        </w:rPr>
      </w:pPr>
      <w:r w:rsidRPr="0061257F">
        <w:rPr>
          <w:rFonts w:ascii="Arial Narrow" w:hAnsi="Arial Narrow"/>
          <w:b/>
          <w:i/>
          <w:szCs w:val="24"/>
        </w:rPr>
        <w:t>Obrazložitev:</w:t>
      </w:r>
    </w:p>
    <w:p w:rsidR="0061257F" w:rsidRPr="0061257F" w:rsidRDefault="0061257F" w:rsidP="0061257F">
      <w:pPr>
        <w:jc w:val="both"/>
        <w:rPr>
          <w:rFonts w:ascii="Arial Narrow" w:hAnsi="Arial Narrow"/>
          <w:i/>
          <w:szCs w:val="24"/>
        </w:rPr>
      </w:pPr>
      <w:r w:rsidRPr="0061257F">
        <w:rPr>
          <w:rFonts w:ascii="Arial Narrow" w:hAnsi="Arial Narrow"/>
          <w:i/>
          <w:szCs w:val="24"/>
        </w:rPr>
        <w:t>Zakon o lokalni samoupravi v 21. členu določa, da občina samostojno opravlja lokalne zadeve javnega pomena. Med nalogami, ki jih opravlja za zadovoljevanje potreb svojih prebivalcev je tudi zagotavljanje javne razsvetljave na svojem območju in vzdrževanje le-te.</w:t>
      </w:r>
    </w:p>
    <w:p w:rsidR="0061257F" w:rsidRPr="0061257F" w:rsidRDefault="0061257F" w:rsidP="0061257F">
      <w:pPr>
        <w:jc w:val="both"/>
        <w:rPr>
          <w:rFonts w:ascii="Arial Narrow" w:hAnsi="Arial Narrow"/>
          <w:i/>
          <w:szCs w:val="24"/>
        </w:rPr>
      </w:pPr>
      <w:r w:rsidRPr="0061257F">
        <w:rPr>
          <w:rFonts w:ascii="Arial Narrow" w:hAnsi="Arial Narrow"/>
          <w:i/>
          <w:szCs w:val="24"/>
        </w:rPr>
        <w:t>V Načrtu razvojnih programov Mestne občine Ptuj, ki je sestavni del občinskega proračuna, je med drugim opredeljeno, da je zagotavljanje javne razsvetljave in vzdrževanje le-te ena izmed prioritetnih nalog zagotavljanja javne infrastrukture in varnosti v občini.</w:t>
      </w:r>
    </w:p>
    <w:p w:rsidR="0061257F" w:rsidRPr="0061257F" w:rsidRDefault="0061257F" w:rsidP="0061257F">
      <w:pPr>
        <w:spacing w:line="276" w:lineRule="auto"/>
        <w:jc w:val="both"/>
        <w:rPr>
          <w:rFonts w:ascii="Arial Narrow" w:hAnsi="Arial Narrow"/>
          <w:i/>
          <w:szCs w:val="24"/>
        </w:rPr>
      </w:pPr>
      <w:r w:rsidRPr="0061257F">
        <w:rPr>
          <w:rFonts w:ascii="Arial Narrow" w:hAnsi="Arial Narrow"/>
          <w:i/>
          <w:szCs w:val="24"/>
        </w:rPr>
        <w:t>Projekt »Energetsko učinkovita prenova javne razsvetljave v Mestni občini Ptuj«, je v fazi izdelave investicijske dokumentacije v skladu z Uredbo o enotni metodologiji za pripravo in obravnavo investicijske dokumentacije na področju javnih financ (Uradni list RS, št. 60/06 in 54/10). Za investicijske projekte, do vrednosti 500.000,00 EUR je potrebno izdelati dokument identifikacije investicijskega projekta. Za investicijske projekte, vrednosti nad 500.000,00 EUR, je potrebno izdelati tudi investicijski program.</w:t>
      </w:r>
    </w:p>
    <w:p w:rsidR="0061257F" w:rsidRPr="0061257F" w:rsidRDefault="0061257F" w:rsidP="0061257F">
      <w:pPr>
        <w:tabs>
          <w:tab w:val="left" w:pos="0"/>
          <w:tab w:val="left" w:pos="180"/>
        </w:tabs>
        <w:ind w:right="-119"/>
        <w:jc w:val="both"/>
        <w:rPr>
          <w:rFonts w:ascii="Arial Narrow" w:hAnsi="Arial Narrow"/>
          <w:i/>
          <w:szCs w:val="24"/>
        </w:rPr>
      </w:pPr>
      <w:r w:rsidRPr="0061257F">
        <w:rPr>
          <w:rFonts w:ascii="Arial Narrow" w:hAnsi="Arial Narrow"/>
          <w:i/>
          <w:szCs w:val="24"/>
        </w:rPr>
        <w:t>Dokument identifikacije investicijskega projekta »Energetsko učinkovita prenova javne razsvetljave v Mestni občini Ptuj« je bil potrjen na 3. izredni seji mestnega sveta dne 29.8.2011.</w:t>
      </w:r>
    </w:p>
    <w:p w:rsidR="0061257F" w:rsidRPr="0061257F" w:rsidRDefault="0061257F" w:rsidP="0061257F">
      <w:pPr>
        <w:jc w:val="both"/>
        <w:rPr>
          <w:rFonts w:ascii="Arial Narrow" w:hAnsi="Arial Narrow"/>
          <w:i/>
          <w:szCs w:val="24"/>
        </w:rPr>
      </w:pPr>
      <w:r w:rsidRPr="0061257F">
        <w:rPr>
          <w:rFonts w:ascii="Arial Narrow" w:hAnsi="Arial Narrow"/>
          <w:i/>
          <w:szCs w:val="24"/>
        </w:rPr>
        <w:t>Predmet projekta »Energetsko učinkovita prenova javne razsvetljave v Mestni občini Ptuj« je prenova javne razsvetljave na območju celotne Mestne občine Ptuj.</w:t>
      </w:r>
    </w:p>
    <w:p w:rsidR="0061257F" w:rsidRPr="0061257F" w:rsidRDefault="0061257F" w:rsidP="0061257F">
      <w:pPr>
        <w:jc w:val="both"/>
        <w:rPr>
          <w:rFonts w:ascii="Arial Narrow" w:hAnsi="Arial Narrow"/>
          <w:i/>
          <w:szCs w:val="24"/>
        </w:rPr>
      </w:pPr>
      <w:r w:rsidRPr="0061257F">
        <w:rPr>
          <w:rFonts w:ascii="Arial Narrow" w:hAnsi="Arial Narrow"/>
          <w:i/>
          <w:szCs w:val="24"/>
        </w:rPr>
        <w:t>Investicija bo zajemala sledeče elemente:</w:t>
      </w:r>
    </w:p>
    <w:p w:rsidR="0061257F" w:rsidRPr="0061257F" w:rsidRDefault="0061257F" w:rsidP="0061257F">
      <w:pPr>
        <w:numPr>
          <w:ilvl w:val="0"/>
          <w:numId w:val="21"/>
        </w:numPr>
        <w:contextualSpacing/>
        <w:jc w:val="both"/>
        <w:rPr>
          <w:rFonts w:ascii="Arial Narrow" w:hAnsi="Arial Narrow"/>
          <w:i/>
          <w:szCs w:val="24"/>
        </w:rPr>
      </w:pPr>
      <w:r w:rsidRPr="0061257F">
        <w:rPr>
          <w:rFonts w:ascii="Arial Narrow" w:hAnsi="Arial Narrow"/>
          <w:i/>
          <w:szCs w:val="24"/>
        </w:rPr>
        <w:t>demontažo svetilk z odvozom,</w:t>
      </w:r>
    </w:p>
    <w:p w:rsidR="0061257F" w:rsidRPr="0061257F" w:rsidRDefault="0061257F" w:rsidP="0061257F">
      <w:pPr>
        <w:numPr>
          <w:ilvl w:val="0"/>
          <w:numId w:val="21"/>
        </w:numPr>
        <w:contextualSpacing/>
        <w:jc w:val="both"/>
        <w:rPr>
          <w:rFonts w:ascii="Arial Narrow" w:hAnsi="Arial Narrow"/>
          <w:i/>
          <w:szCs w:val="24"/>
        </w:rPr>
      </w:pPr>
      <w:r w:rsidRPr="0061257F">
        <w:rPr>
          <w:rFonts w:ascii="Arial Narrow" w:hAnsi="Arial Narrow"/>
          <w:i/>
          <w:szCs w:val="24"/>
        </w:rPr>
        <w:t>namestitev varčnih in okolju prijaznih svetilk (vključno z oporišči),</w:t>
      </w:r>
    </w:p>
    <w:p w:rsidR="0061257F" w:rsidRPr="0061257F" w:rsidRDefault="0061257F" w:rsidP="0061257F">
      <w:pPr>
        <w:numPr>
          <w:ilvl w:val="0"/>
          <w:numId w:val="21"/>
        </w:numPr>
        <w:contextualSpacing/>
        <w:jc w:val="both"/>
        <w:rPr>
          <w:rFonts w:ascii="Arial Narrow" w:hAnsi="Arial Narrow"/>
          <w:i/>
          <w:szCs w:val="24"/>
        </w:rPr>
      </w:pPr>
      <w:r w:rsidRPr="0061257F">
        <w:rPr>
          <w:rFonts w:ascii="Arial Narrow" w:hAnsi="Arial Narrow"/>
          <w:i/>
          <w:szCs w:val="24"/>
        </w:rPr>
        <w:t>posodobitev in obnovo električnih omaric,</w:t>
      </w:r>
    </w:p>
    <w:p w:rsidR="0061257F" w:rsidRPr="0061257F" w:rsidRDefault="0061257F" w:rsidP="0061257F">
      <w:pPr>
        <w:numPr>
          <w:ilvl w:val="0"/>
          <w:numId w:val="21"/>
        </w:numPr>
        <w:contextualSpacing/>
        <w:jc w:val="both"/>
        <w:rPr>
          <w:rFonts w:ascii="Arial Narrow" w:hAnsi="Arial Narrow"/>
          <w:i/>
          <w:szCs w:val="24"/>
        </w:rPr>
      </w:pPr>
      <w:r w:rsidRPr="0061257F">
        <w:rPr>
          <w:rFonts w:ascii="Arial Narrow" w:hAnsi="Arial Narrow"/>
          <w:i/>
          <w:szCs w:val="24"/>
        </w:rPr>
        <w:t>zamenjavo kablov ter</w:t>
      </w:r>
    </w:p>
    <w:p w:rsidR="0061257F" w:rsidRPr="0061257F" w:rsidRDefault="0061257F" w:rsidP="0061257F">
      <w:pPr>
        <w:numPr>
          <w:ilvl w:val="0"/>
          <w:numId w:val="21"/>
        </w:numPr>
        <w:contextualSpacing/>
        <w:rPr>
          <w:rFonts w:ascii="Arial Narrow" w:hAnsi="Arial Narrow"/>
          <w:i/>
          <w:szCs w:val="24"/>
        </w:rPr>
      </w:pPr>
      <w:r w:rsidRPr="0061257F">
        <w:rPr>
          <w:rFonts w:ascii="Arial Narrow" w:hAnsi="Arial Narrow"/>
          <w:i/>
          <w:szCs w:val="24"/>
        </w:rPr>
        <w:t>nabavo in vgradnjo sistema za regulacijo.</w:t>
      </w:r>
    </w:p>
    <w:p w:rsidR="0061257F" w:rsidRPr="0061257F" w:rsidRDefault="0061257F" w:rsidP="0061257F">
      <w:pPr>
        <w:jc w:val="both"/>
        <w:rPr>
          <w:rFonts w:ascii="Arial Narrow" w:hAnsi="Arial Narrow"/>
          <w:i/>
          <w:szCs w:val="24"/>
        </w:rPr>
      </w:pPr>
      <w:r w:rsidRPr="0061257F">
        <w:rPr>
          <w:rFonts w:ascii="Arial Narrow" w:hAnsi="Arial Narrow"/>
          <w:i/>
          <w:szCs w:val="24"/>
        </w:rPr>
        <w:t>Vsi ti elementi predstavljajo upravičene stroške za sofinanciranje projekta na osnovi razpisa.</w:t>
      </w:r>
    </w:p>
    <w:p w:rsidR="0061257F" w:rsidRPr="0061257F" w:rsidRDefault="0061257F" w:rsidP="0061257F">
      <w:pPr>
        <w:spacing w:line="276" w:lineRule="auto"/>
        <w:jc w:val="both"/>
        <w:rPr>
          <w:rFonts w:ascii="Arial Narrow" w:hAnsi="Arial Narrow"/>
          <w:i/>
          <w:szCs w:val="24"/>
        </w:rPr>
      </w:pPr>
      <w:r w:rsidRPr="0061257F">
        <w:rPr>
          <w:rFonts w:ascii="Arial Narrow" w:hAnsi="Arial Narrow"/>
          <w:i/>
          <w:szCs w:val="24"/>
        </w:rPr>
        <w:t xml:space="preserve">Priprava projektne in investicijske dokumentacije poteka v letu 2011. Investicija se bo predvidoma pričela v letu 2012 in končala v letu 2013. Ocena upravičenih stroškov investicije je pripravljena za potrebe prijave investicije na javni razpis za sofinanciranje operacij za energetsko učinkovito prenovo javne razsvetljave za obdobje 2011 – 2013 – </w:t>
      </w:r>
      <w:proofErr w:type="spellStart"/>
      <w:r w:rsidRPr="0061257F">
        <w:rPr>
          <w:rFonts w:ascii="Arial Narrow" w:hAnsi="Arial Narrow"/>
          <w:i/>
          <w:szCs w:val="24"/>
        </w:rPr>
        <w:t>UJR1</w:t>
      </w:r>
      <w:proofErr w:type="spellEnd"/>
      <w:r w:rsidRPr="0061257F">
        <w:rPr>
          <w:rFonts w:ascii="Arial Narrow" w:hAnsi="Arial Narrow"/>
          <w:i/>
          <w:szCs w:val="24"/>
        </w:rPr>
        <w:t xml:space="preserve"> v okviru Operativnega programa razvoja okoljske in prometne infrastrukture za obdobje 2007 – 2013, razvojne prioritete Trajnostna raba energije, prednostne usmeritve Učinkovita raba električne energije.</w:t>
      </w:r>
    </w:p>
    <w:p w:rsidR="0061257F" w:rsidRPr="0061257F" w:rsidRDefault="0061257F" w:rsidP="0061257F">
      <w:pPr>
        <w:jc w:val="both"/>
        <w:rPr>
          <w:rFonts w:ascii="Arial Narrow" w:hAnsi="Arial Narrow"/>
          <w:i/>
          <w:color w:val="000000"/>
          <w:szCs w:val="24"/>
        </w:rPr>
      </w:pPr>
      <w:r w:rsidRPr="0061257F">
        <w:rPr>
          <w:rFonts w:ascii="Arial Narrow" w:hAnsi="Arial Narrow"/>
          <w:i/>
          <w:color w:val="000000"/>
          <w:szCs w:val="24"/>
        </w:rPr>
        <w:t xml:space="preserve">Podatki in izhodišča v IP so identični </w:t>
      </w:r>
      <w:proofErr w:type="spellStart"/>
      <w:r w:rsidRPr="0061257F">
        <w:rPr>
          <w:rFonts w:ascii="Arial Narrow" w:hAnsi="Arial Narrow"/>
          <w:i/>
          <w:color w:val="000000"/>
          <w:szCs w:val="24"/>
        </w:rPr>
        <w:t>DIIP</w:t>
      </w:r>
      <w:proofErr w:type="spellEnd"/>
      <w:r w:rsidRPr="0061257F">
        <w:rPr>
          <w:rFonts w:ascii="Arial Narrow" w:hAnsi="Arial Narrow"/>
          <w:i/>
          <w:color w:val="000000"/>
          <w:szCs w:val="24"/>
        </w:rPr>
        <w:t xml:space="preserve">, le v planu financiranja (sofinanciranja) se razlikujejo, saj v času priprave </w:t>
      </w:r>
      <w:proofErr w:type="spellStart"/>
      <w:r w:rsidRPr="0061257F">
        <w:rPr>
          <w:rFonts w:ascii="Arial Narrow" w:hAnsi="Arial Narrow"/>
          <w:i/>
          <w:color w:val="000000"/>
          <w:szCs w:val="24"/>
        </w:rPr>
        <w:t>DIIP</w:t>
      </w:r>
      <w:proofErr w:type="spellEnd"/>
      <w:r w:rsidRPr="0061257F">
        <w:rPr>
          <w:rFonts w:ascii="Arial Narrow" w:hAnsi="Arial Narrow"/>
          <w:i/>
          <w:color w:val="000000"/>
          <w:szCs w:val="24"/>
        </w:rPr>
        <w:t xml:space="preserve"> še nismo razpolagali z natančnimi prihranki električne energije, ki je izhodišče za izračun sofinanciranja, temveč smo upoštevali maksimalni znesek sofinanciranja, ki bi ga lahko prejeli. </w:t>
      </w:r>
    </w:p>
    <w:p w:rsidR="0061257F" w:rsidRPr="0061257F" w:rsidRDefault="0061257F" w:rsidP="0061257F">
      <w:pPr>
        <w:jc w:val="both"/>
        <w:rPr>
          <w:rFonts w:ascii="Arial Narrow" w:hAnsi="Arial Narrow"/>
          <w:i/>
          <w:color w:val="000000"/>
          <w:szCs w:val="24"/>
        </w:rPr>
      </w:pPr>
      <w:r w:rsidRPr="0061257F">
        <w:rPr>
          <w:rFonts w:ascii="Arial Narrow" w:hAnsi="Arial Narrow"/>
          <w:i/>
          <w:color w:val="000000"/>
          <w:szCs w:val="24"/>
        </w:rPr>
        <w:lastRenderedPageBreak/>
        <w:t xml:space="preserve">Tako je sprememba v sofinanciranju s strani Ministrstva za gospodarstvo, ki je sedaj 320.000,0 €, ne pa v </w:t>
      </w:r>
      <w:proofErr w:type="spellStart"/>
      <w:r w:rsidRPr="0061257F">
        <w:rPr>
          <w:rFonts w:ascii="Arial Narrow" w:hAnsi="Arial Narrow"/>
          <w:i/>
          <w:color w:val="000000"/>
          <w:szCs w:val="24"/>
        </w:rPr>
        <w:t>DIIP</w:t>
      </w:r>
      <w:proofErr w:type="spellEnd"/>
      <w:r w:rsidRPr="0061257F">
        <w:rPr>
          <w:rFonts w:ascii="Arial Narrow" w:hAnsi="Arial Narrow"/>
          <w:i/>
          <w:color w:val="000000"/>
          <w:szCs w:val="24"/>
        </w:rPr>
        <w:t xml:space="preserve"> predvidenih 664.331,65 €.</w:t>
      </w:r>
    </w:p>
    <w:p w:rsidR="0061257F" w:rsidRPr="0061257F" w:rsidRDefault="0061257F" w:rsidP="0061257F">
      <w:pPr>
        <w:jc w:val="both"/>
        <w:rPr>
          <w:rFonts w:ascii="Arial Narrow" w:hAnsi="Arial Narrow"/>
          <w:i/>
          <w:szCs w:val="24"/>
        </w:rPr>
      </w:pPr>
      <w:r w:rsidRPr="0061257F">
        <w:rPr>
          <w:rFonts w:ascii="Arial Narrow" w:hAnsi="Arial Narrow"/>
          <w:i/>
          <w:szCs w:val="24"/>
        </w:rPr>
        <w:t>Ob upoštevanju razpisnih pogojev in strukture stroškov bodo viri in dinamika financiranja po tekočih cenah (z DDV) sledeči:</w:t>
      </w:r>
    </w:p>
    <w:p w:rsidR="0061257F" w:rsidRPr="0061257F" w:rsidRDefault="0061257F" w:rsidP="0061257F">
      <w:pPr>
        <w:ind w:left="7080"/>
        <w:jc w:val="both"/>
        <w:rPr>
          <w:rFonts w:ascii="Arial Narrow" w:hAnsi="Arial Narrow"/>
          <w:i/>
          <w:szCs w:val="24"/>
        </w:rPr>
      </w:pPr>
      <w:r w:rsidRPr="0061257F">
        <w:rPr>
          <w:rFonts w:ascii="Arial Narrow" w:hAnsi="Arial Narrow"/>
          <w:i/>
          <w:szCs w:val="24"/>
        </w:rPr>
        <w:t xml:space="preserve">                v €</w:t>
      </w:r>
      <w:r w:rsidRPr="0061257F">
        <w:rPr>
          <w:rFonts w:ascii="Arial Narrow" w:hAnsi="Arial Narrow"/>
          <w:i/>
          <w:szCs w:val="24"/>
        </w:rPr>
        <w:tab/>
        <w:t xml:space="preserve">      v %</w:t>
      </w:r>
    </w:p>
    <w:tbl>
      <w:tblPr>
        <w:tblW w:w="9508" w:type="dxa"/>
        <w:tblInd w:w="60" w:type="dxa"/>
        <w:tblCellMar>
          <w:left w:w="70" w:type="dxa"/>
          <w:right w:w="70" w:type="dxa"/>
        </w:tblCellMar>
        <w:tblLook w:val="04A0"/>
      </w:tblPr>
      <w:tblGrid>
        <w:gridCol w:w="2609"/>
        <w:gridCol w:w="1292"/>
        <w:gridCol w:w="1606"/>
        <w:gridCol w:w="1419"/>
        <w:gridCol w:w="1606"/>
        <w:gridCol w:w="976"/>
      </w:tblGrid>
      <w:tr w:rsidR="0061257F" w:rsidRPr="0061257F" w:rsidTr="00C13D3E">
        <w:trPr>
          <w:trHeight w:val="285"/>
        </w:trPr>
        <w:tc>
          <w:tcPr>
            <w:tcW w:w="2609" w:type="dxa"/>
            <w:vMerge w:val="restart"/>
            <w:tcBorders>
              <w:top w:val="single" w:sz="8" w:space="0" w:color="auto"/>
              <w:left w:val="single" w:sz="8" w:space="0" w:color="auto"/>
              <w:bottom w:val="single" w:sz="8" w:space="0" w:color="000000"/>
              <w:right w:val="single" w:sz="4"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VIRI FINANCIRANJA</w:t>
            </w:r>
          </w:p>
        </w:tc>
        <w:tc>
          <w:tcPr>
            <w:tcW w:w="5923" w:type="dxa"/>
            <w:gridSpan w:val="4"/>
            <w:tcBorders>
              <w:top w:val="single" w:sz="8" w:space="0" w:color="auto"/>
              <w:left w:val="nil"/>
              <w:bottom w:val="single" w:sz="4" w:space="0" w:color="auto"/>
              <w:right w:val="single" w:sz="4"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DINAMIKA FINANCIRANJA</w:t>
            </w:r>
          </w:p>
        </w:tc>
        <w:tc>
          <w:tcPr>
            <w:tcW w:w="976" w:type="dxa"/>
            <w:tcBorders>
              <w:top w:val="single" w:sz="8" w:space="0" w:color="auto"/>
              <w:left w:val="nil"/>
              <w:bottom w:val="single" w:sz="4" w:space="0" w:color="auto"/>
              <w:right w:val="single" w:sz="8"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DELEŽ</w:t>
            </w:r>
          </w:p>
        </w:tc>
      </w:tr>
      <w:tr w:rsidR="0061257F" w:rsidRPr="0061257F" w:rsidTr="00C13D3E">
        <w:trPr>
          <w:trHeight w:val="285"/>
        </w:trPr>
        <w:tc>
          <w:tcPr>
            <w:tcW w:w="2609" w:type="dxa"/>
            <w:vMerge/>
            <w:tcBorders>
              <w:top w:val="single" w:sz="8" w:space="0" w:color="auto"/>
              <w:left w:val="single" w:sz="8" w:space="0" w:color="auto"/>
              <w:bottom w:val="single" w:sz="8" w:space="0" w:color="000000"/>
              <w:right w:val="single" w:sz="4" w:space="0" w:color="auto"/>
            </w:tcBorders>
            <w:shd w:val="clear" w:color="auto" w:fill="D9D9D9"/>
            <w:vAlign w:val="center"/>
          </w:tcPr>
          <w:p w:rsidR="0061257F" w:rsidRPr="0061257F" w:rsidRDefault="0061257F" w:rsidP="0061257F">
            <w:pPr>
              <w:rPr>
                <w:rFonts w:ascii="Arial Narrow" w:hAnsi="Arial Narrow"/>
                <w:bCs/>
                <w:i/>
                <w:szCs w:val="24"/>
              </w:rPr>
            </w:pPr>
          </w:p>
        </w:tc>
        <w:tc>
          <w:tcPr>
            <w:tcW w:w="1292"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2011</w:t>
            </w:r>
          </w:p>
        </w:tc>
        <w:tc>
          <w:tcPr>
            <w:tcW w:w="1606"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2012</w:t>
            </w:r>
          </w:p>
        </w:tc>
        <w:tc>
          <w:tcPr>
            <w:tcW w:w="1419"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2013</w:t>
            </w:r>
          </w:p>
        </w:tc>
        <w:tc>
          <w:tcPr>
            <w:tcW w:w="1606"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SKUPAJ</w:t>
            </w:r>
          </w:p>
        </w:tc>
        <w:tc>
          <w:tcPr>
            <w:tcW w:w="976" w:type="dxa"/>
            <w:tcBorders>
              <w:top w:val="nil"/>
              <w:left w:val="nil"/>
              <w:bottom w:val="single" w:sz="8" w:space="0" w:color="auto"/>
              <w:right w:val="single" w:sz="8" w:space="0" w:color="auto"/>
            </w:tcBorders>
            <w:shd w:val="clear" w:color="auto" w:fill="D9D9D9"/>
            <w:noWrap/>
            <w:vAlign w:val="center"/>
          </w:tcPr>
          <w:p w:rsidR="0061257F" w:rsidRPr="0061257F" w:rsidRDefault="0061257F" w:rsidP="0061257F">
            <w:pPr>
              <w:jc w:val="center"/>
              <w:rPr>
                <w:rFonts w:ascii="Arial Narrow" w:hAnsi="Arial Narrow"/>
                <w:bCs/>
                <w:i/>
                <w:szCs w:val="24"/>
              </w:rPr>
            </w:pPr>
            <w:r w:rsidRPr="0061257F">
              <w:rPr>
                <w:rFonts w:ascii="Arial Narrow" w:hAnsi="Arial Narrow"/>
                <w:bCs/>
                <w:i/>
                <w:szCs w:val="24"/>
              </w:rPr>
              <w:t>SKUPAJ</w:t>
            </w:r>
          </w:p>
        </w:tc>
      </w:tr>
      <w:tr w:rsidR="0061257F" w:rsidRPr="0061257F" w:rsidTr="00C13D3E">
        <w:trPr>
          <w:trHeight w:val="285"/>
        </w:trPr>
        <w:tc>
          <w:tcPr>
            <w:tcW w:w="2609" w:type="dxa"/>
            <w:tcBorders>
              <w:top w:val="nil"/>
              <w:left w:val="single" w:sz="8" w:space="0" w:color="auto"/>
              <w:bottom w:val="single" w:sz="4" w:space="0" w:color="auto"/>
              <w:right w:val="single" w:sz="4" w:space="0" w:color="auto"/>
            </w:tcBorders>
            <w:shd w:val="clear" w:color="auto" w:fill="D9D9D9"/>
            <w:noWrap/>
            <w:vAlign w:val="bottom"/>
          </w:tcPr>
          <w:p w:rsidR="0061257F" w:rsidRPr="0061257F" w:rsidRDefault="0061257F" w:rsidP="0061257F">
            <w:pPr>
              <w:rPr>
                <w:rFonts w:ascii="Arial Narrow" w:hAnsi="Arial Narrow"/>
                <w:bCs/>
                <w:i/>
                <w:szCs w:val="24"/>
              </w:rPr>
            </w:pPr>
            <w:r w:rsidRPr="0061257F">
              <w:rPr>
                <w:rFonts w:ascii="Arial Narrow" w:hAnsi="Arial Narrow"/>
                <w:bCs/>
                <w:i/>
                <w:szCs w:val="24"/>
              </w:rPr>
              <w:t>Mestna občina Ptuj</w:t>
            </w:r>
          </w:p>
        </w:tc>
        <w:tc>
          <w:tcPr>
            <w:tcW w:w="1292" w:type="dxa"/>
            <w:tcBorders>
              <w:top w:val="nil"/>
              <w:left w:val="nil"/>
              <w:bottom w:val="single" w:sz="4" w:space="0" w:color="auto"/>
              <w:right w:val="single" w:sz="4" w:space="0" w:color="auto"/>
            </w:tcBorders>
            <w:shd w:val="clear" w:color="auto" w:fill="auto"/>
            <w:noWrap/>
            <w:vAlign w:val="center"/>
          </w:tcPr>
          <w:p w:rsidR="0061257F" w:rsidRPr="0061257F" w:rsidRDefault="0061257F" w:rsidP="0061257F">
            <w:pPr>
              <w:ind w:right="147"/>
              <w:jc w:val="right"/>
              <w:rPr>
                <w:rFonts w:ascii="Arial Narrow" w:hAnsi="Arial Narrow"/>
                <w:bCs/>
                <w:i/>
                <w:szCs w:val="24"/>
              </w:rPr>
            </w:pPr>
            <w:r w:rsidRPr="0061257F">
              <w:rPr>
                <w:rFonts w:ascii="Arial Narrow" w:hAnsi="Arial Narrow"/>
                <w:bCs/>
                <w:i/>
                <w:szCs w:val="24"/>
              </w:rPr>
              <w:t>19.800,00</w:t>
            </w:r>
          </w:p>
        </w:tc>
        <w:tc>
          <w:tcPr>
            <w:tcW w:w="1606" w:type="dxa"/>
            <w:tcBorders>
              <w:top w:val="nil"/>
              <w:left w:val="nil"/>
              <w:bottom w:val="single" w:sz="4" w:space="0" w:color="auto"/>
              <w:right w:val="single" w:sz="4" w:space="0" w:color="auto"/>
            </w:tcBorders>
            <w:shd w:val="clear" w:color="auto" w:fill="auto"/>
            <w:noWrap/>
            <w:vAlign w:val="center"/>
          </w:tcPr>
          <w:p w:rsidR="0061257F" w:rsidRPr="0061257F" w:rsidRDefault="0061257F" w:rsidP="0061257F">
            <w:pPr>
              <w:ind w:right="147"/>
              <w:jc w:val="right"/>
              <w:rPr>
                <w:rFonts w:ascii="Arial Narrow" w:hAnsi="Arial Narrow"/>
                <w:bCs/>
                <w:i/>
                <w:szCs w:val="24"/>
              </w:rPr>
            </w:pPr>
            <w:r w:rsidRPr="0061257F">
              <w:rPr>
                <w:rFonts w:ascii="Arial Narrow" w:hAnsi="Arial Narrow"/>
                <w:bCs/>
                <w:i/>
                <w:szCs w:val="24"/>
              </w:rPr>
              <w:t>1.060.410,70</w:t>
            </w:r>
          </w:p>
        </w:tc>
        <w:tc>
          <w:tcPr>
            <w:tcW w:w="1419" w:type="dxa"/>
            <w:tcBorders>
              <w:top w:val="nil"/>
              <w:left w:val="nil"/>
              <w:bottom w:val="single" w:sz="4" w:space="0" w:color="auto"/>
              <w:right w:val="single" w:sz="4" w:space="0" w:color="auto"/>
            </w:tcBorders>
            <w:shd w:val="clear" w:color="auto" w:fill="auto"/>
            <w:noWrap/>
            <w:vAlign w:val="center"/>
          </w:tcPr>
          <w:p w:rsidR="0061257F" w:rsidRPr="0061257F" w:rsidRDefault="0061257F" w:rsidP="0061257F">
            <w:pPr>
              <w:rPr>
                <w:rFonts w:ascii="Arial Narrow" w:hAnsi="Arial Narrow"/>
                <w:bCs/>
                <w:i/>
                <w:szCs w:val="24"/>
              </w:rPr>
            </w:pPr>
            <w:r w:rsidRPr="0061257F">
              <w:rPr>
                <w:rFonts w:ascii="Arial Narrow" w:hAnsi="Arial Narrow"/>
                <w:bCs/>
                <w:i/>
                <w:szCs w:val="24"/>
              </w:rPr>
              <w:t xml:space="preserve">194.185,24 </w:t>
            </w:r>
          </w:p>
        </w:tc>
        <w:tc>
          <w:tcPr>
            <w:tcW w:w="1606" w:type="dxa"/>
            <w:tcBorders>
              <w:top w:val="nil"/>
              <w:left w:val="nil"/>
              <w:bottom w:val="single" w:sz="4" w:space="0" w:color="auto"/>
              <w:right w:val="single" w:sz="4" w:space="0" w:color="auto"/>
            </w:tcBorders>
            <w:shd w:val="clear" w:color="auto" w:fill="D9D9D9"/>
            <w:noWrap/>
            <w:vAlign w:val="center"/>
          </w:tcPr>
          <w:p w:rsidR="0061257F" w:rsidRPr="0061257F" w:rsidRDefault="0061257F" w:rsidP="0061257F">
            <w:pPr>
              <w:jc w:val="right"/>
              <w:rPr>
                <w:rFonts w:ascii="Arial Narrow" w:hAnsi="Arial Narrow"/>
                <w:bCs/>
                <w:i/>
                <w:szCs w:val="24"/>
              </w:rPr>
            </w:pPr>
            <w:r w:rsidRPr="0061257F">
              <w:rPr>
                <w:rFonts w:ascii="Arial Narrow" w:hAnsi="Arial Narrow"/>
                <w:bCs/>
                <w:i/>
                <w:szCs w:val="24"/>
              </w:rPr>
              <w:t>1.274.395,94</w:t>
            </w:r>
          </w:p>
        </w:tc>
        <w:tc>
          <w:tcPr>
            <w:tcW w:w="976" w:type="dxa"/>
            <w:tcBorders>
              <w:top w:val="nil"/>
              <w:left w:val="nil"/>
              <w:bottom w:val="single" w:sz="4" w:space="0" w:color="auto"/>
              <w:right w:val="single" w:sz="8" w:space="0" w:color="auto"/>
            </w:tcBorders>
            <w:shd w:val="clear" w:color="auto" w:fill="D9D9D9"/>
            <w:noWrap/>
            <w:vAlign w:val="center"/>
          </w:tcPr>
          <w:p w:rsidR="0061257F" w:rsidRPr="0061257F" w:rsidRDefault="0061257F" w:rsidP="0061257F">
            <w:pPr>
              <w:ind w:right="147"/>
              <w:jc w:val="right"/>
              <w:rPr>
                <w:rFonts w:ascii="Arial Narrow" w:hAnsi="Arial Narrow"/>
                <w:bCs/>
                <w:i/>
                <w:szCs w:val="24"/>
              </w:rPr>
            </w:pPr>
            <w:r w:rsidRPr="0061257F">
              <w:rPr>
                <w:rFonts w:ascii="Arial Narrow" w:hAnsi="Arial Narrow"/>
                <w:bCs/>
                <w:i/>
                <w:szCs w:val="24"/>
              </w:rPr>
              <w:t>79,93</w:t>
            </w:r>
          </w:p>
        </w:tc>
      </w:tr>
      <w:tr w:rsidR="0061257F" w:rsidRPr="0061257F" w:rsidTr="00C13D3E">
        <w:trPr>
          <w:trHeight w:val="300"/>
        </w:trPr>
        <w:tc>
          <w:tcPr>
            <w:tcW w:w="2609" w:type="dxa"/>
            <w:tcBorders>
              <w:top w:val="nil"/>
              <w:left w:val="single" w:sz="8" w:space="0" w:color="auto"/>
              <w:bottom w:val="single" w:sz="8" w:space="0" w:color="auto"/>
              <w:right w:val="single" w:sz="4" w:space="0" w:color="auto"/>
            </w:tcBorders>
            <w:shd w:val="clear" w:color="auto" w:fill="D9D9D9"/>
            <w:noWrap/>
            <w:vAlign w:val="bottom"/>
          </w:tcPr>
          <w:p w:rsidR="0061257F" w:rsidRPr="0061257F" w:rsidRDefault="0061257F" w:rsidP="0061257F">
            <w:pPr>
              <w:rPr>
                <w:rFonts w:ascii="Arial Narrow" w:hAnsi="Arial Narrow"/>
                <w:bCs/>
                <w:i/>
                <w:szCs w:val="24"/>
              </w:rPr>
            </w:pPr>
            <w:r w:rsidRPr="0061257F">
              <w:rPr>
                <w:rFonts w:ascii="Arial Narrow" w:hAnsi="Arial Narrow"/>
                <w:bCs/>
                <w:i/>
                <w:szCs w:val="24"/>
              </w:rPr>
              <w:t>Ministrstvo za gospodarstvo</w:t>
            </w:r>
          </w:p>
        </w:tc>
        <w:tc>
          <w:tcPr>
            <w:tcW w:w="1292" w:type="dxa"/>
            <w:tcBorders>
              <w:top w:val="nil"/>
              <w:left w:val="nil"/>
              <w:bottom w:val="single" w:sz="8" w:space="0" w:color="auto"/>
              <w:right w:val="single" w:sz="4" w:space="0" w:color="auto"/>
            </w:tcBorders>
            <w:shd w:val="clear" w:color="auto" w:fill="auto"/>
            <w:noWrap/>
            <w:vAlign w:val="center"/>
          </w:tcPr>
          <w:p w:rsidR="0061257F" w:rsidRPr="0061257F" w:rsidRDefault="0061257F" w:rsidP="0061257F">
            <w:pPr>
              <w:ind w:right="147"/>
              <w:jc w:val="right"/>
              <w:rPr>
                <w:rFonts w:ascii="Arial Narrow" w:hAnsi="Arial Narrow"/>
                <w:bCs/>
                <w:i/>
                <w:szCs w:val="24"/>
              </w:rPr>
            </w:pPr>
            <w:r w:rsidRPr="0061257F">
              <w:rPr>
                <w:rFonts w:ascii="Arial Narrow" w:hAnsi="Arial Narrow"/>
                <w:bCs/>
                <w:i/>
                <w:szCs w:val="24"/>
              </w:rPr>
              <w:t>0,00</w:t>
            </w:r>
          </w:p>
        </w:tc>
        <w:tc>
          <w:tcPr>
            <w:tcW w:w="1606" w:type="dxa"/>
            <w:tcBorders>
              <w:top w:val="nil"/>
              <w:left w:val="nil"/>
              <w:bottom w:val="single" w:sz="8" w:space="0" w:color="auto"/>
              <w:right w:val="single" w:sz="4" w:space="0" w:color="auto"/>
            </w:tcBorders>
            <w:shd w:val="clear" w:color="auto" w:fill="auto"/>
            <w:noWrap/>
            <w:vAlign w:val="center"/>
          </w:tcPr>
          <w:p w:rsidR="0061257F" w:rsidRPr="0061257F" w:rsidRDefault="0061257F" w:rsidP="0061257F">
            <w:pPr>
              <w:ind w:right="147"/>
              <w:jc w:val="right"/>
              <w:rPr>
                <w:rFonts w:ascii="Arial Narrow" w:hAnsi="Arial Narrow"/>
                <w:bCs/>
                <w:i/>
                <w:szCs w:val="24"/>
              </w:rPr>
            </w:pPr>
            <w:r w:rsidRPr="0061257F">
              <w:rPr>
                <w:rFonts w:ascii="Arial Narrow" w:hAnsi="Arial Narrow"/>
                <w:bCs/>
                <w:i/>
                <w:szCs w:val="24"/>
              </w:rPr>
              <w:t>272.000,00</w:t>
            </w:r>
          </w:p>
        </w:tc>
        <w:tc>
          <w:tcPr>
            <w:tcW w:w="1419" w:type="dxa"/>
            <w:tcBorders>
              <w:top w:val="nil"/>
              <w:left w:val="nil"/>
              <w:bottom w:val="single" w:sz="8" w:space="0" w:color="auto"/>
              <w:right w:val="single" w:sz="4" w:space="0" w:color="auto"/>
            </w:tcBorders>
            <w:shd w:val="clear" w:color="auto" w:fill="auto"/>
            <w:noWrap/>
            <w:vAlign w:val="center"/>
          </w:tcPr>
          <w:p w:rsidR="0061257F" w:rsidRPr="0061257F" w:rsidRDefault="0061257F" w:rsidP="0061257F">
            <w:pPr>
              <w:jc w:val="right"/>
              <w:rPr>
                <w:rFonts w:ascii="Arial Narrow" w:hAnsi="Arial Narrow"/>
                <w:bCs/>
                <w:i/>
                <w:szCs w:val="24"/>
              </w:rPr>
            </w:pPr>
            <w:r w:rsidRPr="0061257F">
              <w:rPr>
                <w:rFonts w:ascii="Arial Narrow" w:hAnsi="Arial Narrow"/>
                <w:bCs/>
                <w:i/>
                <w:szCs w:val="24"/>
              </w:rPr>
              <w:t>48.000,00</w:t>
            </w:r>
          </w:p>
        </w:tc>
        <w:tc>
          <w:tcPr>
            <w:tcW w:w="1606"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jc w:val="right"/>
              <w:rPr>
                <w:rFonts w:ascii="Arial Narrow" w:hAnsi="Arial Narrow"/>
                <w:bCs/>
                <w:i/>
                <w:szCs w:val="24"/>
              </w:rPr>
            </w:pPr>
            <w:r w:rsidRPr="0061257F">
              <w:rPr>
                <w:rFonts w:ascii="Arial Narrow" w:hAnsi="Arial Narrow"/>
                <w:bCs/>
                <w:i/>
                <w:szCs w:val="24"/>
              </w:rPr>
              <w:t xml:space="preserve">320.000,00 </w:t>
            </w:r>
          </w:p>
        </w:tc>
        <w:tc>
          <w:tcPr>
            <w:tcW w:w="976" w:type="dxa"/>
            <w:tcBorders>
              <w:top w:val="nil"/>
              <w:left w:val="nil"/>
              <w:bottom w:val="single" w:sz="8" w:space="0" w:color="auto"/>
              <w:right w:val="single" w:sz="8" w:space="0" w:color="auto"/>
            </w:tcBorders>
            <w:shd w:val="clear" w:color="auto" w:fill="D9D9D9"/>
            <w:noWrap/>
            <w:vAlign w:val="center"/>
          </w:tcPr>
          <w:p w:rsidR="0061257F" w:rsidRPr="0061257F" w:rsidRDefault="0061257F" w:rsidP="0061257F">
            <w:pPr>
              <w:ind w:right="147"/>
              <w:jc w:val="right"/>
              <w:rPr>
                <w:rFonts w:ascii="Arial Narrow" w:hAnsi="Arial Narrow"/>
                <w:bCs/>
                <w:i/>
                <w:szCs w:val="24"/>
              </w:rPr>
            </w:pPr>
            <w:r w:rsidRPr="0061257F">
              <w:rPr>
                <w:rFonts w:ascii="Arial Narrow" w:hAnsi="Arial Narrow"/>
                <w:bCs/>
                <w:i/>
                <w:szCs w:val="24"/>
              </w:rPr>
              <w:t>20,07</w:t>
            </w:r>
          </w:p>
        </w:tc>
      </w:tr>
      <w:tr w:rsidR="0061257F" w:rsidRPr="0061257F" w:rsidTr="00C13D3E">
        <w:trPr>
          <w:trHeight w:val="300"/>
        </w:trPr>
        <w:tc>
          <w:tcPr>
            <w:tcW w:w="2609" w:type="dxa"/>
            <w:tcBorders>
              <w:top w:val="nil"/>
              <w:left w:val="single" w:sz="8" w:space="0" w:color="auto"/>
              <w:bottom w:val="single" w:sz="8" w:space="0" w:color="auto"/>
              <w:right w:val="single" w:sz="4" w:space="0" w:color="auto"/>
            </w:tcBorders>
            <w:shd w:val="clear" w:color="auto" w:fill="D9D9D9"/>
            <w:noWrap/>
            <w:vAlign w:val="bottom"/>
          </w:tcPr>
          <w:p w:rsidR="0061257F" w:rsidRPr="0061257F" w:rsidRDefault="0061257F" w:rsidP="0061257F">
            <w:pPr>
              <w:rPr>
                <w:rFonts w:ascii="Arial Narrow" w:hAnsi="Arial Narrow"/>
                <w:bCs/>
                <w:i/>
                <w:szCs w:val="24"/>
              </w:rPr>
            </w:pPr>
            <w:r w:rsidRPr="0061257F">
              <w:rPr>
                <w:rFonts w:ascii="Arial Narrow" w:hAnsi="Arial Narrow"/>
                <w:bCs/>
                <w:i/>
                <w:szCs w:val="24"/>
              </w:rPr>
              <w:t>SKUPAJ</w:t>
            </w:r>
          </w:p>
        </w:tc>
        <w:tc>
          <w:tcPr>
            <w:tcW w:w="1292"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ind w:right="147"/>
              <w:jc w:val="center"/>
              <w:rPr>
                <w:rFonts w:ascii="Arial Narrow" w:hAnsi="Arial Narrow"/>
                <w:bCs/>
                <w:i/>
                <w:szCs w:val="24"/>
              </w:rPr>
            </w:pPr>
            <w:r w:rsidRPr="0061257F">
              <w:rPr>
                <w:rFonts w:ascii="Arial Narrow" w:hAnsi="Arial Narrow"/>
                <w:bCs/>
                <w:i/>
                <w:szCs w:val="24"/>
              </w:rPr>
              <w:t>19.800,00</w:t>
            </w:r>
          </w:p>
        </w:tc>
        <w:tc>
          <w:tcPr>
            <w:tcW w:w="1606"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ind w:right="147"/>
              <w:jc w:val="center"/>
              <w:rPr>
                <w:rFonts w:ascii="Arial Narrow" w:hAnsi="Arial Narrow"/>
                <w:bCs/>
                <w:i/>
                <w:szCs w:val="24"/>
              </w:rPr>
            </w:pPr>
            <w:r w:rsidRPr="0061257F">
              <w:rPr>
                <w:rFonts w:ascii="Arial Narrow" w:hAnsi="Arial Narrow"/>
                <w:bCs/>
                <w:i/>
                <w:szCs w:val="24"/>
              </w:rPr>
              <w:t>1.332.410,70</w:t>
            </w:r>
          </w:p>
        </w:tc>
        <w:tc>
          <w:tcPr>
            <w:tcW w:w="1419"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jc w:val="right"/>
              <w:rPr>
                <w:rFonts w:ascii="Arial Narrow" w:hAnsi="Arial Narrow"/>
                <w:bCs/>
                <w:i/>
                <w:szCs w:val="24"/>
              </w:rPr>
            </w:pPr>
            <w:r w:rsidRPr="0061257F">
              <w:rPr>
                <w:rFonts w:ascii="Arial Narrow" w:hAnsi="Arial Narrow"/>
                <w:bCs/>
                <w:i/>
                <w:szCs w:val="24"/>
              </w:rPr>
              <w:t>242.185,24</w:t>
            </w:r>
          </w:p>
        </w:tc>
        <w:tc>
          <w:tcPr>
            <w:tcW w:w="1606" w:type="dxa"/>
            <w:tcBorders>
              <w:top w:val="nil"/>
              <w:left w:val="nil"/>
              <w:bottom w:val="single" w:sz="8" w:space="0" w:color="auto"/>
              <w:right w:val="single" w:sz="4" w:space="0" w:color="auto"/>
            </w:tcBorders>
            <w:shd w:val="clear" w:color="auto" w:fill="D9D9D9"/>
            <w:noWrap/>
            <w:vAlign w:val="center"/>
          </w:tcPr>
          <w:p w:rsidR="0061257F" w:rsidRPr="0061257F" w:rsidRDefault="0061257F" w:rsidP="0061257F">
            <w:pPr>
              <w:jc w:val="right"/>
              <w:rPr>
                <w:rFonts w:ascii="Arial Narrow" w:hAnsi="Arial Narrow"/>
                <w:bCs/>
                <w:i/>
                <w:szCs w:val="24"/>
              </w:rPr>
            </w:pPr>
            <w:r w:rsidRPr="0061257F">
              <w:rPr>
                <w:rFonts w:ascii="Arial Narrow" w:hAnsi="Arial Narrow"/>
                <w:bCs/>
                <w:i/>
                <w:szCs w:val="24"/>
              </w:rPr>
              <w:t>1.594.395,94</w:t>
            </w:r>
          </w:p>
        </w:tc>
        <w:tc>
          <w:tcPr>
            <w:tcW w:w="976" w:type="dxa"/>
            <w:tcBorders>
              <w:top w:val="nil"/>
              <w:left w:val="nil"/>
              <w:bottom w:val="single" w:sz="8" w:space="0" w:color="auto"/>
              <w:right w:val="single" w:sz="8" w:space="0" w:color="auto"/>
            </w:tcBorders>
            <w:shd w:val="clear" w:color="auto" w:fill="D9D9D9"/>
            <w:noWrap/>
            <w:vAlign w:val="center"/>
          </w:tcPr>
          <w:p w:rsidR="0061257F" w:rsidRPr="0061257F" w:rsidRDefault="0061257F" w:rsidP="0061257F">
            <w:pPr>
              <w:ind w:right="147"/>
              <w:jc w:val="right"/>
              <w:rPr>
                <w:rFonts w:ascii="Arial Narrow" w:hAnsi="Arial Narrow"/>
                <w:bCs/>
                <w:i/>
                <w:szCs w:val="24"/>
              </w:rPr>
            </w:pPr>
            <w:r w:rsidRPr="0061257F">
              <w:rPr>
                <w:rFonts w:ascii="Arial Narrow" w:hAnsi="Arial Narrow"/>
                <w:bCs/>
                <w:i/>
                <w:szCs w:val="24"/>
              </w:rPr>
              <w:t>100,00</w:t>
            </w:r>
          </w:p>
        </w:tc>
      </w:tr>
    </w:tbl>
    <w:p w:rsidR="0061257F" w:rsidRPr="0061257F" w:rsidRDefault="0061257F" w:rsidP="0061257F">
      <w:pPr>
        <w:jc w:val="both"/>
        <w:rPr>
          <w:rFonts w:ascii="Arial Narrow" w:hAnsi="Arial Narrow"/>
          <w:i/>
          <w:szCs w:val="24"/>
        </w:rPr>
      </w:pPr>
    </w:p>
    <w:p w:rsidR="0061257F" w:rsidRPr="0061257F" w:rsidRDefault="0061257F" w:rsidP="0061257F">
      <w:pPr>
        <w:jc w:val="both"/>
        <w:rPr>
          <w:rFonts w:ascii="Arial Narrow" w:hAnsi="Arial Narrow"/>
          <w:i/>
          <w:szCs w:val="24"/>
        </w:rPr>
      </w:pPr>
      <w:r w:rsidRPr="0061257F">
        <w:rPr>
          <w:rFonts w:ascii="Arial Narrow" w:hAnsi="Arial Narrow"/>
          <w:i/>
          <w:szCs w:val="24"/>
        </w:rPr>
        <w:t>Pričakovani znesek sofinanciranja investicije s strani Ministrstva za gospodarstvo znaša 320.000,00 €. Mestna občina Ptuj je in bo v letih 2011 do 2013  zagotovila sredstva za investicijo v vrednosti 1.274.395,94 €.</w:t>
      </w:r>
    </w:p>
    <w:p w:rsidR="0061257F" w:rsidRPr="0061257F" w:rsidRDefault="0061257F" w:rsidP="0061257F">
      <w:pPr>
        <w:jc w:val="both"/>
        <w:rPr>
          <w:rFonts w:ascii="Arial Narrow" w:hAnsi="Arial Narrow"/>
          <w:i/>
          <w:color w:val="000000"/>
          <w:szCs w:val="24"/>
        </w:rPr>
      </w:pPr>
      <w:r w:rsidRPr="0061257F">
        <w:rPr>
          <w:rFonts w:ascii="Arial Narrow" w:hAnsi="Arial Narrow"/>
          <w:i/>
          <w:color w:val="000000"/>
          <w:szCs w:val="24"/>
        </w:rPr>
        <w:t>Realizacija izvedbe projekta je pogojena s pridobitvijo predvidenih nepovratnih finančnih sredstev Ministrstva za gospodarstvo.</w:t>
      </w:r>
    </w:p>
    <w:p w:rsidR="0061257F" w:rsidRPr="0061257F" w:rsidRDefault="0061257F" w:rsidP="0061257F">
      <w:pPr>
        <w:jc w:val="both"/>
        <w:rPr>
          <w:rFonts w:ascii="Arial Narrow" w:hAnsi="Arial Narrow"/>
          <w:i/>
          <w:szCs w:val="24"/>
        </w:rPr>
      </w:pPr>
      <w:r w:rsidRPr="0061257F">
        <w:rPr>
          <w:rFonts w:ascii="Arial Narrow" w:hAnsi="Arial Narrow"/>
          <w:i/>
          <w:szCs w:val="24"/>
        </w:rPr>
        <w:t>Mestnemu svetu Mestne občine Ptuj predlagam, da predloženi dokument obravnava in sprejme predlagani sklep.«</w:t>
      </w:r>
      <w:r w:rsidRPr="0061257F">
        <w:rPr>
          <w:rFonts w:ascii="Arial Narrow" w:hAnsi="Arial Narrow"/>
          <w:b/>
          <w:i/>
          <w:sz w:val="28"/>
          <w:szCs w:val="28"/>
          <w:lang w:eastAsia="en-US"/>
        </w:rPr>
        <w:t xml:space="preserve">   </w:t>
      </w:r>
    </w:p>
    <w:p w:rsidR="0061257F" w:rsidRPr="0061257F" w:rsidRDefault="0061257F" w:rsidP="0061257F">
      <w:pPr>
        <w:overflowPunct w:val="0"/>
        <w:autoSpaceDE w:val="0"/>
        <w:autoSpaceDN w:val="0"/>
        <w:adjustRightInd w:val="0"/>
        <w:jc w:val="center"/>
        <w:textAlignment w:val="baseline"/>
        <w:rPr>
          <w:rFonts w:ascii="Arial Narrow" w:hAnsi="Arial Narrow"/>
          <w:b/>
          <w:i/>
          <w:sz w:val="28"/>
          <w:szCs w:val="28"/>
          <w:lang w:eastAsia="en-US"/>
        </w:rPr>
      </w:pPr>
      <w:r w:rsidRPr="0061257F">
        <w:rPr>
          <w:rFonts w:ascii="Arial Narrow" w:hAnsi="Arial Narrow"/>
          <w:b/>
          <w:i/>
          <w:sz w:val="28"/>
          <w:szCs w:val="28"/>
          <w:lang w:eastAsia="en-US"/>
        </w:rPr>
        <w:t>*****</w:t>
      </w:r>
    </w:p>
    <w:p w:rsidR="0061257F" w:rsidRPr="0061257F" w:rsidRDefault="0061257F" w:rsidP="0061257F">
      <w:pPr>
        <w:overflowPunct w:val="0"/>
        <w:autoSpaceDE w:val="0"/>
        <w:autoSpaceDN w:val="0"/>
        <w:adjustRightInd w:val="0"/>
        <w:jc w:val="both"/>
        <w:textAlignment w:val="baseline"/>
        <w:rPr>
          <w:rFonts w:ascii="Arial Narrow" w:hAnsi="Arial Narrow"/>
          <w:i/>
          <w:sz w:val="28"/>
          <w:szCs w:val="28"/>
          <w:u w:val="single"/>
          <w:lang w:eastAsia="en-US"/>
        </w:rPr>
      </w:pPr>
      <w:r w:rsidRPr="0061257F">
        <w:rPr>
          <w:rFonts w:ascii="Arial Narrow" w:hAnsi="Arial Narrow"/>
          <w:b/>
          <w:i/>
          <w:sz w:val="28"/>
          <w:szCs w:val="28"/>
          <w:u w:val="single"/>
          <w:lang w:eastAsia="en-US"/>
        </w:rPr>
        <w:t>IZID GLASOVANJA</w:t>
      </w:r>
      <w:r w:rsidRPr="0061257F">
        <w:rPr>
          <w:rFonts w:ascii="Arial Narrow" w:hAnsi="Arial Narrow"/>
          <w:i/>
          <w:sz w:val="28"/>
          <w:szCs w:val="28"/>
          <w:u w:val="single"/>
          <w:lang w:eastAsia="en-US"/>
        </w:rPr>
        <w:t xml:space="preserve">: </w:t>
      </w:r>
    </w:p>
    <w:p w:rsidR="0061257F" w:rsidRPr="0061257F" w:rsidRDefault="0061257F" w:rsidP="0061257F">
      <w:pPr>
        <w:jc w:val="both"/>
        <w:rPr>
          <w:rFonts w:ascii="Arial Narrow" w:hAnsi="Arial Narrow"/>
          <w:b/>
          <w:i/>
          <w:sz w:val="28"/>
          <w:szCs w:val="28"/>
          <w:lang w:eastAsia="en-US"/>
        </w:rPr>
      </w:pPr>
      <w:r w:rsidRPr="0061257F">
        <w:rPr>
          <w:rFonts w:ascii="Arial Narrow" w:hAnsi="Arial Narrow"/>
          <w:i/>
          <w:sz w:val="28"/>
          <w:szCs w:val="28"/>
          <w:lang w:eastAsia="en-US"/>
        </w:rPr>
        <w:t xml:space="preserve">Znotraj odprtega roka za glasovanje, je najkasneje v sredo, dne 31. avgusta 2011 do 8.00 zjutraj,  svoj glas do predloga sklepa  na E-naslov strokovnega sodelavca mestnega sveta posredovalo  17 svetnic, oz. svetnikov,  od katerih je vseh 17 glasovalo ZA  predlog sklepa </w:t>
      </w:r>
      <w:r w:rsidRPr="0061257F">
        <w:rPr>
          <w:rFonts w:ascii="Arial Narrow" w:hAnsi="Arial Narrow"/>
          <w:b/>
          <w:i/>
          <w:sz w:val="28"/>
          <w:szCs w:val="28"/>
          <w:lang w:eastAsia="en-US"/>
        </w:rPr>
        <w:t>(ZA-17, PROTI-0)</w:t>
      </w:r>
      <w:r w:rsidRPr="0061257F">
        <w:rPr>
          <w:rFonts w:ascii="Arial Narrow" w:hAnsi="Arial Narrow"/>
          <w:i/>
          <w:sz w:val="28"/>
          <w:szCs w:val="28"/>
          <w:lang w:eastAsia="en-US"/>
        </w:rPr>
        <w:t>.</w:t>
      </w:r>
      <w:r w:rsidRPr="0061257F">
        <w:rPr>
          <w:rFonts w:ascii="Arial Narrow" w:hAnsi="Arial Narrow"/>
          <w:b/>
          <w:i/>
          <w:sz w:val="28"/>
          <w:szCs w:val="28"/>
          <w:lang w:eastAsia="en-US"/>
        </w:rPr>
        <w:t xml:space="preserve"> </w:t>
      </w:r>
    </w:p>
    <w:p w:rsidR="0061257F" w:rsidRPr="0061257F" w:rsidRDefault="0061257F" w:rsidP="0061257F">
      <w:pPr>
        <w:jc w:val="both"/>
        <w:rPr>
          <w:rFonts w:ascii="Arial Narrow" w:hAnsi="Arial Narrow"/>
          <w:i/>
          <w:sz w:val="28"/>
          <w:szCs w:val="28"/>
          <w:lang w:eastAsia="en-US"/>
        </w:rPr>
      </w:pPr>
      <w:r w:rsidRPr="0061257F">
        <w:rPr>
          <w:rFonts w:ascii="Arial Narrow" w:hAnsi="Arial Narrow"/>
          <w:b/>
          <w:i/>
          <w:sz w:val="28"/>
          <w:szCs w:val="28"/>
          <w:lang w:eastAsia="en-US"/>
        </w:rPr>
        <w:t xml:space="preserve">Glede   na izid glasovanja  je Mestni svet MO Ptuj  sprejel  predlog </w:t>
      </w:r>
      <w:r w:rsidRPr="0061257F">
        <w:rPr>
          <w:rFonts w:ascii="Arial Narrow" w:hAnsi="Arial Narrow"/>
          <w:b/>
          <w:i/>
          <w:sz w:val="28"/>
          <w:szCs w:val="28"/>
        </w:rPr>
        <w:t xml:space="preserve">Sklepa potrditvi Investicijskega programa za »Energetsko učinkovita prenova javne razsvetljave v Mestni občini Ptuj« </w:t>
      </w:r>
      <w:r w:rsidRPr="0061257F">
        <w:rPr>
          <w:rFonts w:ascii="Arial Narrow" w:hAnsi="Arial Narrow"/>
          <w:b/>
          <w:i/>
          <w:sz w:val="28"/>
          <w:szCs w:val="28"/>
          <w:lang w:eastAsia="en-US"/>
        </w:rPr>
        <w:t xml:space="preserve">v predloženem besedilu </w:t>
      </w:r>
      <w:r w:rsidRPr="0061257F">
        <w:rPr>
          <w:rFonts w:ascii="Arial Narrow" w:hAnsi="Arial Narrow"/>
          <w:i/>
          <w:sz w:val="28"/>
          <w:szCs w:val="28"/>
          <w:lang w:eastAsia="en-US"/>
        </w:rPr>
        <w:t>(na podlagi 2. odstavka 24. člena Poslovnika sveta je od 29 članov sveta svoj glas  ZA predlog sklepa oddalo večina vseh članov sveta  in po 3. odstavku 24. člena Poslovnika sveta  je vseh 17 svetnikov, ki so pravočasno glasovali,   glasovalo ZA predlog sklepa)</w:t>
      </w:r>
      <w:r w:rsidRPr="0061257F">
        <w:rPr>
          <w:rFonts w:ascii="Arial Narrow" w:hAnsi="Arial Narrow"/>
          <w:b/>
          <w:i/>
          <w:sz w:val="28"/>
          <w:szCs w:val="28"/>
          <w:lang w:eastAsia="en-US"/>
        </w:rPr>
        <w:t>.</w:t>
      </w:r>
    </w:p>
    <w:p w:rsidR="0061257F" w:rsidRPr="0061257F" w:rsidRDefault="0061257F" w:rsidP="0061257F">
      <w:pPr>
        <w:jc w:val="both"/>
        <w:rPr>
          <w:rFonts w:ascii="Arial Narrow" w:hAnsi="Arial Narrow"/>
          <w:b/>
          <w:i/>
          <w:sz w:val="28"/>
          <w:szCs w:val="28"/>
          <w:lang w:eastAsia="en-US"/>
        </w:rPr>
      </w:pPr>
      <w:r w:rsidRPr="0061257F">
        <w:rPr>
          <w:rFonts w:ascii="Arial Narrow" w:hAnsi="Arial Narrow"/>
          <w:i/>
          <w:sz w:val="28"/>
          <w:szCs w:val="28"/>
          <w:lang w:eastAsia="en-US"/>
        </w:rPr>
        <w:t xml:space="preserve"> </w:t>
      </w:r>
    </w:p>
    <w:p w:rsidR="0061257F" w:rsidRPr="0061257F" w:rsidRDefault="0061257F" w:rsidP="0061257F">
      <w:pPr>
        <w:overflowPunct w:val="0"/>
        <w:autoSpaceDE w:val="0"/>
        <w:autoSpaceDN w:val="0"/>
        <w:adjustRightInd w:val="0"/>
        <w:ind w:right="-110"/>
        <w:jc w:val="both"/>
        <w:textAlignment w:val="baseline"/>
        <w:rPr>
          <w:rFonts w:ascii="Arial Narrow" w:hAnsi="Arial Narrow"/>
          <w:i/>
          <w:sz w:val="28"/>
          <w:szCs w:val="28"/>
          <w:lang w:eastAsia="en-US"/>
        </w:rPr>
      </w:pPr>
    </w:p>
    <w:p w:rsidR="0061257F" w:rsidRPr="0061257F" w:rsidRDefault="0061257F" w:rsidP="0061257F">
      <w:pPr>
        <w:overflowPunct w:val="0"/>
        <w:autoSpaceDE w:val="0"/>
        <w:autoSpaceDN w:val="0"/>
        <w:adjustRightInd w:val="0"/>
        <w:ind w:right="-110"/>
        <w:jc w:val="both"/>
        <w:textAlignment w:val="baseline"/>
        <w:rPr>
          <w:rFonts w:ascii="Arial Narrow" w:hAnsi="Arial Narrow"/>
          <w:i/>
          <w:sz w:val="28"/>
          <w:szCs w:val="28"/>
          <w:lang w:eastAsia="en-US"/>
        </w:rPr>
      </w:pPr>
      <w:r w:rsidRPr="0061257F">
        <w:rPr>
          <w:rFonts w:ascii="Arial Narrow" w:hAnsi="Arial Narrow"/>
          <w:i/>
          <w:sz w:val="28"/>
          <w:szCs w:val="28"/>
          <w:lang w:eastAsia="en-US"/>
        </w:rPr>
        <w:t xml:space="preserve">                 Zapisal</w:t>
      </w:r>
    </w:p>
    <w:p w:rsidR="0061257F" w:rsidRPr="0061257F" w:rsidRDefault="0061257F" w:rsidP="0061257F">
      <w:pPr>
        <w:overflowPunct w:val="0"/>
        <w:autoSpaceDE w:val="0"/>
        <w:autoSpaceDN w:val="0"/>
        <w:adjustRightInd w:val="0"/>
        <w:ind w:right="-110"/>
        <w:jc w:val="both"/>
        <w:textAlignment w:val="baseline"/>
        <w:rPr>
          <w:rFonts w:ascii="Arial Narrow" w:hAnsi="Arial Narrow"/>
          <w:i/>
          <w:sz w:val="28"/>
          <w:szCs w:val="28"/>
          <w:lang w:eastAsia="en-US"/>
        </w:rPr>
      </w:pPr>
      <w:r w:rsidRPr="0061257F">
        <w:rPr>
          <w:rFonts w:ascii="Arial Narrow" w:hAnsi="Arial Narrow"/>
          <w:i/>
          <w:sz w:val="28"/>
          <w:szCs w:val="28"/>
          <w:lang w:eastAsia="en-US"/>
        </w:rPr>
        <w:t xml:space="preserve"> Strokovni sodelavec za MS</w:t>
      </w:r>
      <w:r w:rsidRPr="0061257F">
        <w:rPr>
          <w:rFonts w:ascii="Arial Narrow" w:hAnsi="Arial Narrow"/>
          <w:b/>
          <w:i/>
          <w:sz w:val="28"/>
          <w:szCs w:val="28"/>
          <w:lang w:eastAsia="en-US"/>
        </w:rPr>
        <w:t xml:space="preserve">                                      </w:t>
      </w:r>
    </w:p>
    <w:p w:rsidR="0061257F" w:rsidRPr="0061257F" w:rsidRDefault="0061257F" w:rsidP="0061257F">
      <w:pPr>
        <w:overflowPunct w:val="0"/>
        <w:autoSpaceDE w:val="0"/>
        <w:autoSpaceDN w:val="0"/>
        <w:adjustRightInd w:val="0"/>
        <w:ind w:right="-110"/>
        <w:jc w:val="both"/>
        <w:textAlignment w:val="baseline"/>
        <w:rPr>
          <w:rFonts w:ascii="Arial Narrow" w:hAnsi="Arial Narrow"/>
          <w:i/>
          <w:sz w:val="28"/>
          <w:szCs w:val="28"/>
          <w:lang w:eastAsia="en-US"/>
        </w:rPr>
      </w:pPr>
      <w:r w:rsidRPr="0061257F">
        <w:rPr>
          <w:rFonts w:ascii="Arial Narrow" w:hAnsi="Arial Narrow"/>
          <w:i/>
          <w:sz w:val="28"/>
          <w:szCs w:val="28"/>
          <w:lang w:eastAsia="en-US"/>
        </w:rPr>
        <w:t xml:space="preserve">          Milan KORŽE</w:t>
      </w:r>
      <w:r w:rsidRPr="0061257F">
        <w:rPr>
          <w:rFonts w:ascii="Arial Narrow" w:hAnsi="Arial Narrow"/>
          <w:i/>
          <w:sz w:val="28"/>
          <w:szCs w:val="28"/>
          <w:lang w:eastAsia="en-US"/>
        </w:rPr>
        <w:tab/>
      </w:r>
      <w:r w:rsidRPr="0061257F">
        <w:rPr>
          <w:rFonts w:ascii="Arial Narrow" w:hAnsi="Arial Narrow"/>
          <w:i/>
          <w:sz w:val="28"/>
          <w:szCs w:val="28"/>
          <w:lang w:eastAsia="en-US"/>
        </w:rPr>
        <w:tab/>
      </w:r>
      <w:r w:rsidRPr="0061257F">
        <w:rPr>
          <w:rFonts w:ascii="Arial Narrow" w:hAnsi="Arial Narrow"/>
          <w:i/>
          <w:sz w:val="28"/>
          <w:szCs w:val="28"/>
          <w:lang w:eastAsia="en-US"/>
        </w:rPr>
        <w:tab/>
      </w:r>
      <w:r w:rsidRPr="0061257F">
        <w:rPr>
          <w:rFonts w:ascii="Arial Narrow" w:hAnsi="Arial Narrow"/>
          <w:i/>
          <w:sz w:val="28"/>
          <w:szCs w:val="28"/>
          <w:lang w:eastAsia="en-US"/>
        </w:rPr>
        <w:tab/>
        <w:t xml:space="preserve">                                 Dr. Štefan ČELAN,</w:t>
      </w:r>
    </w:p>
    <w:p w:rsidR="0061257F" w:rsidRPr="0061257F" w:rsidRDefault="0061257F" w:rsidP="0061257F">
      <w:pPr>
        <w:overflowPunct w:val="0"/>
        <w:autoSpaceDE w:val="0"/>
        <w:autoSpaceDN w:val="0"/>
        <w:adjustRightInd w:val="0"/>
        <w:ind w:right="-110"/>
        <w:jc w:val="both"/>
        <w:textAlignment w:val="baseline"/>
        <w:rPr>
          <w:rFonts w:ascii="Arial Narrow" w:hAnsi="Arial Narrow"/>
          <w:i/>
          <w:sz w:val="28"/>
          <w:szCs w:val="28"/>
          <w:lang w:eastAsia="en-US"/>
        </w:rPr>
      </w:pPr>
      <w:r w:rsidRPr="0061257F">
        <w:rPr>
          <w:rFonts w:ascii="Arial Narrow" w:hAnsi="Arial Narrow"/>
          <w:i/>
          <w:sz w:val="28"/>
          <w:szCs w:val="28"/>
          <w:lang w:eastAsia="en-US"/>
        </w:rPr>
        <w:tab/>
      </w:r>
      <w:r w:rsidRPr="0061257F">
        <w:rPr>
          <w:rFonts w:ascii="Arial Narrow" w:hAnsi="Arial Narrow"/>
          <w:i/>
          <w:sz w:val="28"/>
          <w:szCs w:val="28"/>
          <w:lang w:eastAsia="en-US"/>
        </w:rPr>
        <w:tab/>
      </w:r>
      <w:r w:rsidRPr="0061257F">
        <w:rPr>
          <w:rFonts w:ascii="Arial Narrow" w:hAnsi="Arial Narrow"/>
          <w:i/>
          <w:sz w:val="28"/>
          <w:szCs w:val="28"/>
          <w:lang w:eastAsia="en-US"/>
        </w:rPr>
        <w:tab/>
      </w:r>
      <w:r w:rsidRPr="0061257F">
        <w:rPr>
          <w:rFonts w:ascii="Arial Narrow" w:hAnsi="Arial Narrow"/>
          <w:i/>
          <w:sz w:val="28"/>
          <w:szCs w:val="28"/>
          <w:lang w:eastAsia="en-US"/>
        </w:rPr>
        <w:tab/>
      </w:r>
      <w:r w:rsidRPr="0061257F">
        <w:rPr>
          <w:rFonts w:ascii="Arial Narrow" w:hAnsi="Arial Narrow"/>
          <w:i/>
          <w:sz w:val="28"/>
          <w:szCs w:val="28"/>
          <w:lang w:eastAsia="en-US"/>
        </w:rPr>
        <w:tab/>
      </w:r>
      <w:r w:rsidRPr="0061257F">
        <w:rPr>
          <w:rFonts w:ascii="Arial Narrow" w:hAnsi="Arial Narrow"/>
          <w:i/>
          <w:sz w:val="28"/>
          <w:szCs w:val="28"/>
          <w:lang w:eastAsia="en-US"/>
        </w:rPr>
        <w:tab/>
      </w:r>
      <w:r w:rsidRPr="0061257F">
        <w:rPr>
          <w:rFonts w:ascii="Arial Narrow" w:hAnsi="Arial Narrow"/>
          <w:i/>
          <w:sz w:val="28"/>
          <w:szCs w:val="28"/>
          <w:lang w:eastAsia="en-US"/>
        </w:rPr>
        <w:tab/>
        <w:t xml:space="preserve">                 župan Mestne občine Ptuj</w:t>
      </w:r>
      <w:r w:rsidRPr="0061257F">
        <w:rPr>
          <w:rFonts w:ascii="Arial Narrow" w:hAnsi="Arial Narrow"/>
          <w:i/>
          <w:sz w:val="28"/>
          <w:szCs w:val="28"/>
          <w:lang w:eastAsia="en-US"/>
        </w:rPr>
        <w:tab/>
      </w:r>
    </w:p>
    <w:p w:rsidR="0061257F" w:rsidRPr="0061257F" w:rsidRDefault="0061257F" w:rsidP="0061257F">
      <w:pPr>
        <w:rPr>
          <w:rFonts w:ascii="Arial Narrow" w:hAnsi="Arial Narrow"/>
          <w:sz w:val="28"/>
          <w:szCs w:val="28"/>
        </w:rPr>
      </w:pPr>
    </w:p>
    <w:p w:rsidR="00A46E10" w:rsidRDefault="00A46E10"/>
    <w:sectPr w:rsidR="00A46E10" w:rsidSect="00221AE0">
      <w:footerReference w:type="even" r:id="rId5"/>
      <w:footerReference w:type="default" r:id="rId6"/>
      <w:pgSz w:w="11906" w:h="16838"/>
      <w:pgMar w:top="1418" w:right="1134"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BA" w:rsidRDefault="0061257F" w:rsidP="00AC76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rsidR="000061BA" w:rsidRDefault="0061257F" w:rsidP="00945040">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1BA" w:rsidRDefault="0061257F" w:rsidP="00AC76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0061BA" w:rsidRDefault="0061257F" w:rsidP="00945040">
    <w:pPr>
      <w:pStyle w:val="Noga"/>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38DD"/>
    <w:multiLevelType w:val="hybridMultilevel"/>
    <w:tmpl w:val="77E89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40F81F7D"/>
    <w:multiLevelType w:val="multilevel"/>
    <w:tmpl w:val="80B2A76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nsid w:val="67DF310A"/>
    <w:multiLevelType w:val="hybridMultilevel"/>
    <w:tmpl w:val="6FCE90E6"/>
    <w:lvl w:ilvl="0" w:tplc="11C2ADF0">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320"/>
        </w:tabs>
        <w:ind w:left="1320" w:hanging="360"/>
      </w:pPr>
    </w:lvl>
    <w:lvl w:ilvl="2" w:tplc="0424001B" w:tentative="1">
      <w:start w:val="1"/>
      <w:numFmt w:val="lowerRoman"/>
      <w:lvlText w:val="%3."/>
      <w:lvlJc w:val="right"/>
      <w:pPr>
        <w:tabs>
          <w:tab w:val="num" w:pos="2040"/>
        </w:tabs>
        <w:ind w:left="2040" w:hanging="180"/>
      </w:pPr>
    </w:lvl>
    <w:lvl w:ilvl="3" w:tplc="0424000F" w:tentative="1">
      <w:start w:val="1"/>
      <w:numFmt w:val="decimal"/>
      <w:lvlText w:val="%4."/>
      <w:lvlJc w:val="left"/>
      <w:pPr>
        <w:tabs>
          <w:tab w:val="num" w:pos="2760"/>
        </w:tabs>
        <w:ind w:left="2760" w:hanging="360"/>
      </w:pPr>
    </w:lvl>
    <w:lvl w:ilvl="4" w:tplc="04240019" w:tentative="1">
      <w:start w:val="1"/>
      <w:numFmt w:val="lowerLetter"/>
      <w:lvlText w:val="%5."/>
      <w:lvlJc w:val="left"/>
      <w:pPr>
        <w:tabs>
          <w:tab w:val="num" w:pos="3480"/>
        </w:tabs>
        <w:ind w:left="3480" w:hanging="360"/>
      </w:pPr>
    </w:lvl>
    <w:lvl w:ilvl="5" w:tplc="0424001B" w:tentative="1">
      <w:start w:val="1"/>
      <w:numFmt w:val="lowerRoman"/>
      <w:lvlText w:val="%6."/>
      <w:lvlJc w:val="right"/>
      <w:pPr>
        <w:tabs>
          <w:tab w:val="num" w:pos="4200"/>
        </w:tabs>
        <w:ind w:left="4200" w:hanging="180"/>
      </w:pPr>
    </w:lvl>
    <w:lvl w:ilvl="6" w:tplc="0424000F" w:tentative="1">
      <w:start w:val="1"/>
      <w:numFmt w:val="decimal"/>
      <w:lvlText w:val="%7."/>
      <w:lvlJc w:val="left"/>
      <w:pPr>
        <w:tabs>
          <w:tab w:val="num" w:pos="4920"/>
        </w:tabs>
        <w:ind w:left="4920" w:hanging="360"/>
      </w:pPr>
    </w:lvl>
    <w:lvl w:ilvl="7" w:tplc="04240019" w:tentative="1">
      <w:start w:val="1"/>
      <w:numFmt w:val="lowerLetter"/>
      <w:lvlText w:val="%8."/>
      <w:lvlJc w:val="left"/>
      <w:pPr>
        <w:tabs>
          <w:tab w:val="num" w:pos="5640"/>
        </w:tabs>
        <w:ind w:left="5640" w:hanging="360"/>
      </w:pPr>
    </w:lvl>
    <w:lvl w:ilvl="8" w:tplc="0424001B" w:tentative="1">
      <w:start w:val="1"/>
      <w:numFmt w:val="lowerRoman"/>
      <w:lvlText w:val="%9."/>
      <w:lvlJc w:val="right"/>
      <w:pPr>
        <w:tabs>
          <w:tab w:val="num" w:pos="6360"/>
        </w:tabs>
        <w:ind w:left="6360" w:hanging="180"/>
      </w:pPr>
    </w:lvl>
  </w:abstractNum>
  <w:abstractNum w:abstractNumId="3">
    <w:nsid w:val="6DAA6210"/>
    <w:multiLevelType w:val="hybridMultilevel"/>
    <w:tmpl w:val="9FD8BE1A"/>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2"/>
  </w:num>
  <w:num w:numId="20">
    <w:abstractNumId w:val="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257F"/>
    <w:rsid w:val="0061257F"/>
    <w:rsid w:val="007742AF"/>
    <w:rsid w:val="0088333E"/>
    <w:rsid w:val="00A46E10"/>
    <w:rsid w:val="00B51045"/>
    <w:rsid w:val="00C66314"/>
    <w:rsid w:val="00E1155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locked="1" w:semiHidden="0" w:uiPriority="10" w:unhideWhenUsed="0" w:qFormat="1"/>
    <w:lsdException w:name="Default Paragraph Font" w:uiPriority="1"/>
    <w:lsdException w:name="Subtitle" w:locked="1" w:semiHidden="0" w:uiPriority="11" w:unhideWhenUsed="0" w:qFormat="1"/>
    <w:lsdException w:name="Strong" w:semiHidden="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51045"/>
    <w:rPr>
      <w:sz w:val="24"/>
      <w:szCs w:val="20"/>
    </w:rPr>
  </w:style>
  <w:style w:type="paragraph" w:styleId="Naslov1">
    <w:name w:val="heading 1"/>
    <w:basedOn w:val="Navaden"/>
    <w:next w:val="Navaden"/>
    <w:link w:val="Naslov1Znak"/>
    <w:uiPriority w:val="99"/>
    <w:qFormat/>
    <w:rsid w:val="00B51045"/>
    <w:pPr>
      <w:keepNext/>
      <w:numPr>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before="120" w:after="120"/>
      <w:jc w:val="both"/>
      <w:outlineLvl w:val="0"/>
    </w:pPr>
    <w:rPr>
      <w:rFonts w:ascii="Century Gothic" w:hAnsi="Century Gothic"/>
      <w:noProof/>
      <w:spacing w:val="-3"/>
      <w:sz w:val="28"/>
    </w:rPr>
  </w:style>
  <w:style w:type="paragraph" w:styleId="Naslov2">
    <w:name w:val="heading 2"/>
    <w:basedOn w:val="Navaden"/>
    <w:next w:val="Navaden"/>
    <w:link w:val="Naslov2Znak"/>
    <w:uiPriority w:val="99"/>
    <w:qFormat/>
    <w:rsid w:val="00B51045"/>
    <w:pPr>
      <w:keepNext/>
      <w:numPr>
        <w:ilvl w:val="1"/>
        <w:numId w:val="18"/>
      </w:numPr>
      <w:spacing w:before="240" w:after="60"/>
      <w:outlineLvl w:val="1"/>
    </w:pPr>
    <w:rPr>
      <w:rFonts w:ascii="Arial" w:hAnsi="Arial" w:cs="Arial"/>
      <w:b/>
      <w:bCs/>
      <w:i/>
      <w:iCs/>
      <w:szCs w:val="28"/>
    </w:rPr>
  </w:style>
  <w:style w:type="paragraph" w:styleId="Naslov3">
    <w:name w:val="heading 3"/>
    <w:basedOn w:val="Navaden"/>
    <w:next w:val="Navaden"/>
    <w:link w:val="Naslov3Znak"/>
    <w:uiPriority w:val="99"/>
    <w:qFormat/>
    <w:rsid w:val="00B51045"/>
    <w:pPr>
      <w:keepNext/>
      <w:numPr>
        <w:ilvl w:val="2"/>
        <w:numId w:val="18"/>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noProof/>
    </w:rPr>
  </w:style>
  <w:style w:type="paragraph" w:styleId="Naslov4">
    <w:name w:val="heading 4"/>
    <w:basedOn w:val="Navaden"/>
    <w:next w:val="Navaden"/>
    <w:link w:val="Naslov4Znak"/>
    <w:uiPriority w:val="99"/>
    <w:qFormat/>
    <w:rsid w:val="00B51045"/>
    <w:pPr>
      <w:keepNext/>
      <w:numPr>
        <w:ilvl w:val="3"/>
        <w:numId w:val="18"/>
      </w:numPr>
      <w:jc w:val="both"/>
      <w:outlineLvl w:val="3"/>
    </w:pPr>
    <w:rPr>
      <w:b/>
    </w:rPr>
  </w:style>
  <w:style w:type="paragraph" w:styleId="Naslov5">
    <w:name w:val="heading 5"/>
    <w:basedOn w:val="Navaden"/>
    <w:next w:val="Navaden"/>
    <w:link w:val="Naslov5Znak"/>
    <w:uiPriority w:val="99"/>
    <w:qFormat/>
    <w:rsid w:val="00B51045"/>
    <w:pPr>
      <w:numPr>
        <w:ilvl w:val="4"/>
        <w:numId w:val="18"/>
      </w:numPr>
      <w:spacing w:before="240" w:after="60"/>
      <w:outlineLvl w:val="4"/>
    </w:pPr>
    <w:rPr>
      <w:b/>
      <w:bCs/>
      <w:i/>
      <w:iCs/>
      <w:sz w:val="26"/>
      <w:szCs w:val="26"/>
    </w:rPr>
  </w:style>
  <w:style w:type="paragraph" w:styleId="Naslov6">
    <w:name w:val="heading 6"/>
    <w:basedOn w:val="Navaden"/>
    <w:next w:val="Navaden"/>
    <w:link w:val="Naslov6Znak"/>
    <w:uiPriority w:val="99"/>
    <w:qFormat/>
    <w:rsid w:val="00B51045"/>
    <w:pPr>
      <w:numPr>
        <w:ilvl w:val="5"/>
        <w:numId w:val="18"/>
      </w:numPr>
      <w:spacing w:before="240" w:after="60"/>
      <w:outlineLvl w:val="5"/>
    </w:pPr>
    <w:rPr>
      <w:b/>
      <w:bCs/>
      <w:sz w:val="22"/>
      <w:szCs w:val="22"/>
    </w:rPr>
  </w:style>
  <w:style w:type="paragraph" w:styleId="Naslov7">
    <w:name w:val="heading 7"/>
    <w:basedOn w:val="Navaden"/>
    <w:next w:val="Navaden"/>
    <w:link w:val="Naslov7Znak"/>
    <w:uiPriority w:val="99"/>
    <w:qFormat/>
    <w:rsid w:val="00B51045"/>
    <w:pPr>
      <w:numPr>
        <w:ilvl w:val="6"/>
        <w:numId w:val="18"/>
      </w:numPr>
      <w:spacing w:before="240" w:after="60"/>
      <w:outlineLvl w:val="6"/>
    </w:pPr>
    <w:rPr>
      <w:szCs w:val="24"/>
    </w:rPr>
  </w:style>
  <w:style w:type="paragraph" w:styleId="Naslov8">
    <w:name w:val="heading 8"/>
    <w:basedOn w:val="Navaden"/>
    <w:next w:val="Navaden"/>
    <w:link w:val="Naslov8Znak"/>
    <w:uiPriority w:val="99"/>
    <w:qFormat/>
    <w:rsid w:val="00B51045"/>
    <w:pPr>
      <w:numPr>
        <w:ilvl w:val="7"/>
        <w:numId w:val="18"/>
      </w:numPr>
      <w:spacing w:before="240" w:after="60"/>
      <w:outlineLvl w:val="7"/>
    </w:pPr>
    <w:rPr>
      <w:i/>
      <w:iCs/>
      <w:szCs w:val="24"/>
    </w:rPr>
  </w:style>
  <w:style w:type="paragraph" w:styleId="Naslov9">
    <w:name w:val="heading 9"/>
    <w:basedOn w:val="Navaden"/>
    <w:next w:val="Navaden"/>
    <w:link w:val="Naslov9Znak"/>
    <w:uiPriority w:val="99"/>
    <w:qFormat/>
    <w:rsid w:val="00B51045"/>
    <w:pPr>
      <w:numPr>
        <w:ilvl w:val="8"/>
        <w:numId w:val="1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B51045"/>
    <w:rPr>
      <w:rFonts w:ascii="Century Gothic" w:hAnsi="Century Gothic"/>
      <w:noProof/>
      <w:spacing w:val="-3"/>
      <w:sz w:val="28"/>
      <w:szCs w:val="20"/>
    </w:rPr>
  </w:style>
  <w:style w:type="character" w:customStyle="1" w:styleId="Naslov2Znak">
    <w:name w:val="Naslov 2 Znak"/>
    <w:basedOn w:val="Privzetapisavaodstavka"/>
    <w:link w:val="Naslov2"/>
    <w:uiPriority w:val="99"/>
    <w:rsid w:val="00B51045"/>
    <w:rPr>
      <w:rFonts w:ascii="Arial" w:hAnsi="Arial" w:cs="Arial"/>
      <w:b/>
      <w:bCs/>
      <w:i/>
      <w:iCs/>
      <w:sz w:val="24"/>
      <w:szCs w:val="28"/>
    </w:rPr>
  </w:style>
  <w:style w:type="character" w:customStyle="1" w:styleId="Naslov3Znak">
    <w:name w:val="Naslov 3 Znak"/>
    <w:basedOn w:val="Privzetapisavaodstavka"/>
    <w:link w:val="Naslov3"/>
    <w:uiPriority w:val="99"/>
    <w:rsid w:val="00B51045"/>
    <w:rPr>
      <w:noProof/>
      <w:sz w:val="24"/>
      <w:szCs w:val="20"/>
    </w:rPr>
  </w:style>
  <w:style w:type="character" w:customStyle="1" w:styleId="Naslov4Znak">
    <w:name w:val="Naslov 4 Znak"/>
    <w:basedOn w:val="Privzetapisavaodstavka"/>
    <w:link w:val="Naslov4"/>
    <w:uiPriority w:val="99"/>
    <w:rsid w:val="00B51045"/>
    <w:rPr>
      <w:b/>
      <w:sz w:val="24"/>
      <w:szCs w:val="20"/>
    </w:rPr>
  </w:style>
  <w:style w:type="character" w:customStyle="1" w:styleId="Naslov5Znak">
    <w:name w:val="Naslov 5 Znak"/>
    <w:basedOn w:val="Privzetapisavaodstavka"/>
    <w:link w:val="Naslov5"/>
    <w:uiPriority w:val="99"/>
    <w:rsid w:val="00B51045"/>
    <w:rPr>
      <w:b/>
      <w:bCs/>
      <w:i/>
      <w:iCs/>
      <w:sz w:val="26"/>
      <w:szCs w:val="26"/>
    </w:rPr>
  </w:style>
  <w:style w:type="character" w:customStyle="1" w:styleId="Naslov6Znak">
    <w:name w:val="Naslov 6 Znak"/>
    <w:basedOn w:val="Privzetapisavaodstavka"/>
    <w:link w:val="Naslov6"/>
    <w:uiPriority w:val="99"/>
    <w:rsid w:val="00B51045"/>
    <w:rPr>
      <w:b/>
      <w:bCs/>
    </w:rPr>
  </w:style>
  <w:style w:type="character" w:customStyle="1" w:styleId="Naslov7Znak">
    <w:name w:val="Naslov 7 Znak"/>
    <w:basedOn w:val="Privzetapisavaodstavka"/>
    <w:link w:val="Naslov7"/>
    <w:uiPriority w:val="99"/>
    <w:rsid w:val="00B51045"/>
    <w:rPr>
      <w:sz w:val="24"/>
      <w:szCs w:val="24"/>
    </w:rPr>
  </w:style>
  <w:style w:type="character" w:customStyle="1" w:styleId="Naslov8Znak">
    <w:name w:val="Naslov 8 Znak"/>
    <w:basedOn w:val="Privzetapisavaodstavka"/>
    <w:link w:val="Naslov8"/>
    <w:uiPriority w:val="99"/>
    <w:rsid w:val="00B51045"/>
    <w:rPr>
      <w:i/>
      <w:iCs/>
      <w:sz w:val="24"/>
      <w:szCs w:val="24"/>
    </w:rPr>
  </w:style>
  <w:style w:type="character" w:customStyle="1" w:styleId="Naslov9Znak">
    <w:name w:val="Naslov 9 Znak"/>
    <w:basedOn w:val="Privzetapisavaodstavka"/>
    <w:link w:val="Naslov9"/>
    <w:uiPriority w:val="99"/>
    <w:rsid w:val="00B51045"/>
    <w:rPr>
      <w:rFonts w:ascii="Arial" w:hAnsi="Arial" w:cs="Arial"/>
    </w:rPr>
  </w:style>
  <w:style w:type="paragraph" w:styleId="Napis">
    <w:name w:val="caption"/>
    <w:basedOn w:val="Navaden"/>
    <w:next w:val="Navaden"/>
    <w:uiPriority w:val="99"/>
    <w:qFormat/>
    <w:rsid w:val="00B51045"/>
    <w:rPr>
      <w:b/>
      <w:bCs/>
      <w:sz w:val="20"/>
    </w:rPr>
  </w:style>
  <w:style w:type="character" w:styleId="Krepko">
    <w:name w:val="Strong"/>
    <w:basedOn w:val="Privzetapisavaodstavka"/>
    <w:uiPriority w:val="99"/>
    <w:qFormat/>
    <w:rsid w:val="00B51045"/>
    <w:rPr>
      <w:rFonts w:cs="Times New Roman"/>
      <w:b/>
      <w:bCs/>
    </w:rPr>
  </w:style>
  <w:style w:type="paragraph" w:styleId="Odstavekseznama">
    <w:name w:val="List Paragraph"/>
    <w:basedOn w:val="Navaden"/>
    <w:uiPriority w:val="99"/>
    <w:qFormat/>
    <w:rsid w:val="00B51045"/>
    <w:pPr>
      <w:ind w:left="720"/>
      <w:contextualSpacing/>
    </w:pPr>
  </w:style>
  <w:style w:type="paragraph" w:styleId="Noga">
    <w:name w:val="footer"/>
    <w:basedOn w:val="Navaden"/>
    <w:link w:val="NogaZnak"/>
    <w:uiPriority w:val="99"/>
    <w:semiHidden/>
    <w:unhideWhenUsed/>
    <w:rsid w:val="0061257F"/>
    <w:pPr>
      <w:tabs>
        <w:tab w:val="center" w:pos="4536"/>
        <w:tab w:val="right" w:pos="9072"/>
      </w:tabs>
    </w:pPr>
  </w:style>
  <w:style w:type="character" w:customStyle="1" w:styleId="NogaZnak">
    <w:name w:val="Noga Znak"/>
    <w:basedOn w:val="Privzetapisavaodstavka"/>
    <w:link w:val="Noga"/>
    <w:uiPriority w:val="99"/>
    <w:semiHidden/>
    <w:rsid w:val="0061257F"/>
    <w:rPr>
      <w:sz w:val="24"/>
      <w:szCs w:val="20"/>
    </w:rPr>
  </w:style>
  <w:style w:type="character" w:styleId="tevilkastrani">
    <w:name w:val="page number"/>
    <w:basedOn w:val="Privzetapisavaodstavka"/>
    <w:rsid w:val="006125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MKorze</dc:creator>
  <cp:lastModifiedBy>MKorze</cp:lastModifiedBy>
  <cp:revision>1</cp:revision>
  <dcterms:created xsi:type="dcterms:W3CDTF">2011-09-14T15:16:00Z</dcterms:created>
  <dcterms:modified xsi:type="dcterms:W3CDTF">2011-09-14T15:17:00Z</dcterms:modified>
</cp:coreProperties>
</file>