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4E" w:rsidRDefault="00FA144E" w:rsidP="00FA144E">
      <w:pPr>
        <w:spacing w:after="0" w:line="240" w:lineRule="auto"/>
        <w:jc w:val="right"/>
        <w:rPr>
          <w:rFonts w:ascii="Verdana" w:eastAsia="Times New Roman" w:hAnsi="Verdana" w:cs="Arial"/>
          <w:b/>
          <w:lang w:eastAsia="sl-SI"/>
        </w:rPr>
      </w:pPr>
      <w:r>
        <w:rPr>
          <w:rFonts w:ascii="Verdana" w:eastAsia="Times New Roman" w:hAnsi="Verdana" w:cs="Arial"/>
          <w:b/>
          <w:lang w:eastAsia="sl-SI"/>
        </w:rPr>
        <w:t>PREDLOG - po skrajšanem postopku</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center"/>
        <w:rPr>
          <w:rFonts w:ascii="Verdana" w:eastAsia="Times New Roman" w:hAnsi="Verdana" w:cs="Arial"/>
          <w:b/>
          <w:lang w:eastAsia="sl-SI"/>
        </w:rPr>
      </w:pPr>
      <w:r>
        <w:rPr>
          <w:rFonts w:ascii="Verdana" w:eastAsia="Times New Roman" w:hAnsi="Verdana" w:cs="Arial"/>
          <w:b/>
          <w:lang w:eastAsia="sl-SI"/>
        </w:rPr>
        <w:t xml:space="preserve">PREDLOG PRAVILNIKA O SPREMEMBAH IN DOPOLNITVAH PRAVILNIKA O SOFINANCIRANJU DEJAVNOSTI DRUGIH DRUŠTEV </w:t>
      </w:r>
    </w:p>
    <w:p w:rsidR="00FA144E" w:rsidRDefault="00FA144E" w:rsidP="00FA144E">
      <w:pPr>
        <w:keepNext/>
        <w:spacing w:after="0" w:line="240" w:lineRule="auto"/>
        <w:jc w:val="center"/>
        <w:outlineLvl w:val="0"/>
        <w:rPr>
          <w:rFonts w:ascii="Verdana" w:eastAsia="Times New Roman" w:hAnsi="Verdana" w:cs="Arial"/>
          <w:b/>
          <w:lang w:eastAsia="sl-SI"/>
        </w:rPr>
      </w:pPr>
      <w:r>
        <w:rPr>
          <w:rFonts w:ascii="Verdana" w:eastAsia="Times New Roman" w:hAnsi="Verdana" w:cs="Arial"/>
          <w:b/>
          <w:lang w:eastAsia="sl-SI"/>
        </w:rPr>
        <w:t>V OBČINI RADENCI</w:t>
      </w:r>
    </w:p>
    <w:p w:rsidR="00FA144E" w:rsidRDefault="00FA144E" w:rsidP="00FA144E">
      <w:pPr>
        <w:spacing w:after="0" w:line="240" w:lineRule="auto"/>
        <w:jc w:val="center"/>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t>I. UVOD</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1"/>
        </w:numPr>
        <w:spacing w:after="0" w:line="240" w:lineRule="auto"/>
        <w:ind w:left="426" w:hanging="426"/>
        <w:jc w:val="both"/>
        <w:rPr>
          <w:rFonts w:ascii="Verdana" w:eastAsia="Times New Roman" w:hAnsi="Verdana" w:cs="Arial"/>
          <w:b/>
          <w:lang w:eastAsia="sl-SI"/>
        </w:rPr>
      </w:pPr>
      <w:r>
        <w:rPr>
          <w:rFonts w:ascii="Verdana" w:eastAsia="Times New Roman" w:hAnsi="Verdana" w:cs="Arial"/>
          <w:b/>
          <w:lang w:eastAsia="sl-SI"/>
        </w:rPr>
        <w:t>Ocena stanja in razlogi za sprejem pravilnika</w:t>
      </w:r>
    </w:p>
    <w:p w:rsidR="00FA144E" w:rsidRDefault="00FA144E" w:rsidP="00FA144E">
      <w:pPr>
        <w:pStyle w:val="Default"/>
        <w:jc w:val="both"/>
        <w:rPr>
          <w:rFonts w:eastAsia="Times New Roman" w:cs="Arial"/>
          <w:sz w:val="22"/>
          <w:szCs w:val="22"/>
          <w:lang w:eastAsia="sl-SI"/>
        </w:rPr>
      </w:pPr>
      <w:r>
        <w:rPr>
          <w:rFonts w:eastAsia="Times New Roman" w:cs="Arial"/>
          <w:sz w:val="22"/>
          <w:szCs w:val="22"/>
          <w:lang w:eastAsia="sl-SI"/>
        </w:rPr>
        <w:t xml:space="preserve">Občinski svet Občine Radenci je na svoji </w:t>
      </w:r>
      <w:r>
        <w:rPr>
          <w:sz w:val="22"/>
          <w:szCs w:val="22"/>
        </w:rPr>
        <w:t xml:space="preserve">5. redni seji dne, 03. 03. 2011 sprejel </w:t>
      </w:r>
      <w:r>
        <w:rPr>
          <w:rFonts w:eastAsia="Times New Roman" w:cs="Arial"/>
          <w:sz w:val="22"/>
          <w:szCs w:val="22"/>
          <w:lang w:eastAsia="sl-SI"/>
        </w:rPr>
        <w:t xml:space="preserve">Pravilnik o sofinanciranju dejavnosti drugih društev (Uradno glasilo slovenskih občin, št. 6, z dne 4. 3. </w:t>
      </w:r>
      <w:r w:rsidRPr="00CC0B45">
        <w:rPr>
          <w:rFonts w:eastAsia="Times New Roman" w:cs="Arial"/>
          <w:color w:val="auto"/>
          <w:sz w:val="22"/>
          <w:szCs w:val="22"/>
          <w:lang w:eastAsia="sl-SI"/>
        </w:rPr>
        <w:t>201</w:t>
      </w:r>
      <w:r w:rsidR="00CC0B45" w:rsidRPr="00CC0B45">
        <w:rPr>
          <w:rFonts w:eastAsia="Times New Roman" w:cs="Arial"/>
          <w:color w:val="auto"/>
          <w:sz w:val="22"/>
          <w:szCs w:val="22"/>
          <w:lang w:eastAsia="sl-SI"/>
        </w:rPr>
        <w:t>1</w:t>
      </w:r>
      <w:r w:rsidRPr="00CC0B45">
        <w:rPr>
          <w:rFonts w:eastAsia="Times New Roman" w:cs="Arial"/>
          <w:color w:val="auto"/>
          <w:sz w:val="22"/>
          <w:szCs w:val="22"/>
          <w:lang w:eastAsia="sl-SI"/>
        </w:rPr>
        <w:t xml:space="preserve">; </w:t>
      </w:r>
      <w:r>
        <w:rPr>
          <w:rFonts w:eastAsia="Times New Roman" w:cs="Arial"/>
          <w:sz w:val="22"/>
          <w:szCs w:val="22"/>
          <w:lang w:eastAsia="sl-SI"/>
        </w:rPr>
        <w:t xml:space="preserve">v nadaljevanju besedila: pravilnik).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Razlogi za spremembo pravilnika se nanašajo na merila ter točkovanje glede sofinanciranja dejavnosti.</w:t>
      </w:r>
    </w:p>
    <w:p w:rsidR="00FA144E" w:rsidRDefault="00FA144E" w:rsidP="00FA144E">
      <w:pPr>
        <w:spacing w:after="0" w:line="240" w:lineRule="auto"/>
        <w:rPr>
          <w:rFonts w:ascii="Verdana" w:eastAsia="Times New Roman" w:hAnsi="Verdana" w:cs="Arial"/>
          <w:b/>
          <w:u w:val="single"/>
          <w:lang w:eastAsia="sl-SI"/>
        </w:rPr>
      </w:pPr>
    </w:p>
    <w:p w:rsidR="00FA144E" w:rsidRDefault="00FA144E" w:rsidP="00FA144E">
      <w:pPr>
        <w:spacing w:after="0" w:line="240" w:lineRule="auto"/>
        <w:rPr>
          <w:rFonts w:ascii="Verdana" w:eastAsia="Times New Roman" w:hAnsi="Verdana" w:cs="Arial"/>
          <w:b/>
          <w:u w:val="single"/>
          <w:lang w:eastAsia="sl-SI"/>
        </w:rPr>
      </w:pPr>
    </w:p>
    <w:p w:rsidR="00FA144E" w:rsidRDefault="00FA144E" w:rsidP="00FA144E">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 xml:space="preserve">Cilji načela in poglavitne rešitve </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Poglavitni cilji pravilnika so: v skladu z ugotovitvami ocenjevalne komisije zagotoviti ustreznejše kriterije za vrednotenje in točkovanje prijav ter sofinancirane dejavnosti izvajalcev drugih društev.</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Pr="00CC0B45" w:rsidRDefault="00FA144E" w:rsidP="00FA144E">
      <w:pPr>
        <w:numPr>
          <w:ilvl w:val="0"/>
          <w:numId w:val="1"/>
        </w:numPr>
        <w:spacing w:after="0" w:line="240" w:lineRule="auto"/>
        <w:ind w:left="284" w:hanging="284"/>
        <w:jc w:val="both"/>
        <w:rPr>
          <w:rFonts w:ascii="Verdana" w:eastAsia="Times New Roman" w:hAnsi="Verdana" w:cs="Arial"/>
          <w:b/>
          <w:lang w:eastAsia="sl-SI"/>
        </w:rPr>
      </w:pPr>
      <w:r w:rsidRPr="00CC0B45">
        <w:rPr>
          <w:rFonts w:ascii="Verdana" w:eastAsia="Times New Roman" w:hAnsi="Verdana" w:cs="Arial"/>
          <w:b/>
          <w:lang w:eastAsia="sl-SI"/>
        </w:rPr>
        <w:t>Ocene</w:t>
      </w:r>
      <w:r w:rsidR="00CC0B45" w:rsidRPr="00CC0B45">
        <w:rPr>
          <w:rFonts w:ascii="Verdana" w:eastAsia="Times New Roman" w:hAnsi="Verdana" w:cs="Arial"/>
          <w:b/>
          <w:lang w:eastAsia="sl-SI"/>
        </w:rPr>
        <w:t xml:space="preserve"> finančnih posledic za proračun</w:t>
      </w:r>
      <w:r w:rsidRPr="00CC0B45">
        <w:rPr>
          <w:rFonts w:ascii="Verdana" w:eastAsia="Times New Roman" w:hAnsi="Verdana" w:cs="Arial"/>
          <w:b/>
          <w:lang w:eastAsia="sl-SI"/>
        </w:rPr>
        <w:t xml:space="preserve"> občin</w:t>
      </w:r>
      <w:r w:rsidR="00CC0B45" w:rsidRPr="00CC0B45">
        <w:rPr>
          <w:rFonts w:ascii="Verdana" w:eastAsia="Times New Roman" w:hAnsi="Verdana" w:cs="Arial"/>
          <w:b/>
          <w:lang w:eastAsia="sl-SI"/>
        </w:rPr>
        <w:t>e</w:t>
      </w:r>
      <w:r w:rsidRPr="00CC0B45">
        <w:rPr>
          <w:rFonts w:ascii="Verdana" w:eastAsia="Times New Roman" w:hAnsi="Verdana" w:cs="Arial"/>
          <w:b/>
          <w:lang w:eastAsia="sl-SI"/>
        </w:rPr>
        <w:t xml:space="preserve"> </w:t>
      </w:r>
    </w:p>
    <w:p w:rsidR="00FA144E" w:rsidRPr="00CC0B45" w:rsidRDefault="00FA144E" w:rsidP="00FA144E">
      <w:pPr>
        <w:spacing w:after="0" w:line="240" w:lineRule="auto"/>
        <w:jc w:val="both"/>
        <w:rPr>
          <w:rFonts w:ascii="Verdana" w:eastAsia="Times New Roman" w:hAnsi="Verdana" w:cs="Arial"/>
          <w:lang w:eastAsia="sl-SI"/>
        </w:rPr>
      </w:pPr>
      <w:r w:rsidRPr="00CC0B45">
        <w:rPr>
          <w:rFonts w:ascii="Verdana" w:eastAsia="Times New Roman" w:hAnsi="Verdana" w:cs="Arial"/>
          <w:lang w:eastAsia="sl-SI"/>
        </w:rPr>
        <w:t>Predlog sprememb pravilnika ne bo imel</w:t>
      </w:r>
      <w:r w:rsidR="00CC0B45" w:rsidRPr="00CC0B45">
        <w:rPr>
          <w:rFonts w:ascii="Verdana" w:eastAsia="Times New Roman" w:hAnsi="Verdana" w:cs="Arial"/>
          <w:lang w:eastAsia="sl-SI"/>
        </w:rPr>
        <w:t xml:space="preserve"> dodatnih</w:t>
      </w:r>
      <w:r w:rsidRPr="00CC0B45">
        <w:rPr>
          <w:rFonts w:ascii="Verdana" w:eastAsia="Times New Roman" w:hAnsi="Verdana" w:cs="Arial"/>
          <w:lang w:eastAsia="sl-SI"/>
        </w:rPr>
        <w:t xml:space="preserve"> finančnih posledic za proračun občine.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Druge posledice, ki jih bo imel sprejem pravilnika</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S potrditvijo predlaganih sprememb pravilnika bodo zainteresiranim drugim društvom ponujene enake možnosti za prijavo in koriščenje razpoložljivih proračunskih sredstev za tekoče leto.</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b/>
          <w:lang w:eastAsia="sl-SI"/>
        </w:rPr>
        <w:t>5. Priloge h gradivu</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 kopija oz. </w:t>
      </w:r>
      <w:proofErr w:type="spellStart"/>
      <w:r>
        <w:rPr>
          <w:rFonts w:ascii="Verdana" w:eastAsia="Times New Roman" w:hAnsi="Verdana" w:cs="Arial"/>
          <w:lang w:eastAsia="sl-SI"/>
        </w:rPr>
        <w:t>sken</w:t>
      </w:r>
      <w:proofErr w:type="spellEnd"/>
      <w:r>
        <w:rPr>
          <w:rFonts w:ascii="Verdana" w:eastAsia="Times New Roman" w:hAnsi="Verdana" w:cs="Arial"/>
          <w:lang w:eastAsia="sl-SI"/>
        </w:rPr>
        <w:t xml:space="preserve"> Pravilnika o sofinanciranju programov in projektov drugih društev v Občini Radenci (Uradno glasilo slovenskih občin, št. 6/2011)</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lastRenderedPageBreak/>
        <w:t>II. PREDLOG BESEDILA SPREMEMB IN DOPOLNITEV PRAVILNIKA</w:t>
      </w:r>
    </w:p>
    <w:p w:rsidR="00FA144E" w:rsidRDefault="00FA144E" w:rsidP="00FA144E">
      <w:pPr>
        <w:spacing w:after="0" w:line="240" w:lineRule="auto"/>
        <w:jc w:val="both"/>
        <w:rPr>
          <w:rFonts w:ascii="Verdana" w:eastAsia="Times New Roman" w:hAnsi="Verdana" w:cs="Arial"/>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Na podlagi 21. člena Zakona o lokalni samoupravi (Ur.l. RS, št. 94/07 – uradno prečiščeno besedilo, 27/08 - </w:t>
            </w:r>
            <w:proofErr w:type="spellStart"/>
            <w:r w:rsidRPr="00B930CB">
              <w:rPr>
                <w:rFonts w:ascii="Tahoma" w:hAnsi="Tahoma" w:cs="Tahoma"/>
                <w:sz w:val="20"/>
                <w:szCs w:val="20"/>
              </w:rPr>
              <w:t>Odl</w:t>
            </w:r>
            <w:proofErr w:type="spellEnd"/>
            <w:r w:rsidRPr="00B930CB">
              <w:rPr>
                <w:rFonts w:ascii="Tahoma" w:hAnsi="Tahoma" w:cs="Tahoma"/>
                <w:sz w:val="20"/>
                <w:szCs w:val="20"/>
              </w:rPr>
              <w:t xml:space="preserve">. US, 76/08, 79/09, 51/10, 84/10 - </w:t>
            </w:r>
            <w:proofErr w:type="spellStart"/>
            <w:r w:rsidRPr="00B930CB">
              <w:rPr>
                <w:rFonts w:ascii="Tahoma" w:hAnsi="Tahoma" w:cs="Tahoma"/>
                <w:sz w:val="20"/>
                <w:szCs w:val="20"/>
              </w:rPr>
              <w:t>Odl</w:t>
            </w:r>
            <w:proofErr w:type="spellEnd"/>
            <w:r w:rsidRPr="00B930CB">
              <w:rPr>
                <w:rFonts w:ascii="Tahoma" w:hAnsi="Tahoma" w:cs="Tahoma"/>
                <w:sz w:val="20"/>
                <w:szCs w:val="20"/>
              </w:rPr>
              <w:t xml:space="preserve">. US in 40/12 – ZUJF), Zakona o društvih  (Uradni list RS, št. </w:t>
            </w:r>
            <w:hyperlink r:id="rId5" w:tooltip="Zakon o društvih (ZDru-1) (Uradni list RS, št. 61-2567/2006)" w:history="1">
              <w:r w:rsidRPr="00B930CB">
                <w:rPr>
                  <w:rStyle w:val="Hiperpovezava"/>
                  <w:rFonts w:ascii="Tahoma" w:hAnsi="Tahoma" w:cs="Tahoma"/>
                  <w:sz w:val="20"/>
                  <w:szCs w:val="20"/>
                </w:rPr>
                <w:t>61/2006</w:t>
              </w:r>
            </w:hyperlink>
            <w:r w:rsidRPr="00B930CB">
              <w:rPr>
                <w:rFonts w:ascii="Tahoma" w:hAnsi="Tahoma" w:cs="Tahoma"/>
                <w:sz w:val="20"/>
                <w:szCs w:val="20"/>
              </w:rPr>
              <w:t xml:space="preserve">, </w:t>
            </w:r>
            <w:hyperlink r:id="rId6" w:tooltip="Odločba o ugotovitvi, da je 10. člen Zakona o društvih v neskladju z Ustavo (Uradni list RS, št. 91-3895/2008)" w:history="1">
              <w:r w:rsidRPr="00B930CB">
                <w:rPr>
                  <w:rStyle w:val="Hiperpovezava"/>
                  <w:rFonts w:ascii="Tahoma" w:hAnsi="Tahoma" w:cs="Tahoma"/>
                  <w:sz w:val="20"/>
                  <w:szCs w:val="20"/>
                </w:rPr>
                <w:t>91/2008</w:t>
              </w:r>
            </w:hyperlink>
            <w:r w:rsidRPr="00B930CB">
              <w:rPr>
                <w:rFonts w:ascii="Tahoma" w:hAnsi="Tahoma" w:cs="Tahoma"/>
                <w:sz w:val="20"/>
                <w:szCs w:val="20"/>
              </w:rPr>
              <w:t xml:space="preserve"> - </w:t>
            </w:r>
            <w:proofErr w:type="spellStart"/>
            <w:r w:rsidRPr="00B930CB">
              <w:rPr>
                <w:rFonts w:ascii="Tahoma" w:hAnsi="Tahoma" w:cs="Tahoma"/>
                <w:sz w:val="20"/>
                <w:szCs w:val="20"/>
              </w:rPr>
              <w:t>Odl</w:t>
            </w:r>
            <w:proofErr w:type="spellEnd"/>
            <w:r w:rsidRPr="00B930CB">
              <w:rPr>
                <w:rFonts w:ascii="Tahoma" w:hAnsi="Tahoma" w:cs="Tahoma"/>
                <w:sz w:val="20"/>
                <w:szCs w:val="20"/>
              </w:rPr>
              <w:t xml:space="preserve">. US, </w:t>
            </w:r>
            <w:hyperlink r:id="rId7" w:tooltip="Popravni sklep k odločbi Ustavnega sodišča št. 380/06 z dne 11. 9. 2008 (Uradni list RS, št. 95-4032/2008)" w:history="1">
              <w:r w:rsidRPr="00B930CB">
                <w:rPr>
                  <w:rStyle w:val="Hiperpovezava"/>
                  <w:rFonts w:ascii="Tahoma" w:hAnsi="Tahoma" w:cs="Tahoma"/>
                  <w:sz w:val="20"/>
                  <w:szCs w:val="20"/>
                </w:rPr>
                <w:t>95/2008</w:t>
              </w:r>
            </w:hyperlink>
            <w:r w:rsidRPr="00B930CB">
              <w:rPr>
                <w:rFonts w:ascii="Tahoma" w:hAnsi="Tahoma" w:cs="Tahoma"/>
                <w:sz w:val="20"/>
                <w:szCs w:val="20"/>
              </w:rPr>
              <w:t xml:space="preserve"> - Skl. US, </w:t>
            </w:r>
            <w:hyperlink r:id="rId8" w:tooltip="Zakon o spremembah in dopolnitvah Zakona o društvih (ZDru-1A) (Uradni list RS, št. 58-2868/2009)" w:history="1">
              <w:r w:rsidRPr="00B930CB">
                <w:rPr>
                  <w:rStyle w:val="Hiperpovezava"/>
                  <w:rFonts w:ascii="Tahoma" w:hAnsi="Tahoma" w:cs="Tahoma"/>
                  <w:sz w:val="20"/>
                  <w:szCs w:val="20"/>
                </w:rPr>
                <w:t>58/2009</w:t>
              </w:r>
            </w:hyperlink>
            <w:r w:rsidRPr="00B930CB">
              <w:rPr>
                <w:rFonts w:ascii="Tahoma" w:hAnsi="Tahoma" w:cs="Tahoma"/>
                <w:sz w:val="20"/>
                <w:szCs w:val="20"/>
              </w:rPr>
              <w:t xml:space="preserve">, </w:t>
            </w:r>
            <w:hyperlink r:id="rId9" w:tooltip="Zakon o spremembah in dopolnitvah Zakona o društvih (ZDru-1B) (Uradni list RS, št. 39-1905/2011)" w:history="1">
              <w:r w:rsidRPr="00B930CB">
                <w:rPr>
                  <w:rStyle w:val="Hiperpovezava"/>
                  <w:rFonts w:ascii="Tahoma" w:hAnsi="Tahoma" w:cs="Tahoma"/>
                  <w:sz w:val="20"/>
                  <w:szCs w:val="20"/>
                </w:rPr>
                <w:t>39/2011</w:t>
              </w:r>
            </w:hyperlink>
            <w:r w:rsidRPr="00B930CB">
              <w:rPr>
                <w:rFonts w:ascii="Tahoma" w:hAnsi="Tahoma" w:cs="Tahoma"/>
                <w:sz w:val="20"/>
                <w:szCs w:val="20"/>
              </w:rPr>
              <w:t>), Statuta Občine Radenci (Uradno glasilo slovenskih občin, št. 2/2011) je Občinski svet Občine Radenci na svoji .... redni seji dne, ………………………. sprejel</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PRAVILNIK</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O SPREMEMBAH IN DOPOLNITVAH PRAVILNIKA</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O SOFINANCIRANJU PROGRAMOV IN PROJETKTOV DRUGIH DRUŠTEV</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V OBČINI RADENCI</w:t>
            </w:r>
          </w:p>
        </w:tc>
      </w:tr>
      <w:tr w:rsidR="00B930CB" w:rsidRPr="00B930CB" w:rsidTr="00B930CB">
        <w:tc>
          <w:tcPr>
            <w:tcW w:w="9212" w:type="dxa"/>
          </w:tcPr>
          <w:p w:rsidR="00B930CB" w:rsidRPr="00B930CB" w:rsidRDefault="00B930CB" w:rsidP="00240762">
            <w:pPr>
              <w:pStyle w:val="Brezrazmikov"/>
              <w:jc w:val="both"/>
              <w:rPr>
                <w:rFonts w:ascii="Tahoma" w:hAnsi="Tahoma" w:cs="Tahoma"/>
                <w:b/>
                <w:sz w:val="20"/>
                <w:szCs w:val="20"/>
              </w:rPr>
            </w:pPr>
            <w:r w:rsidRPr="00B930CB">
              <w:rPr>
                <w:rFonts w:ascii="Tahoma" w:hAnsi="Tahoma" w:cs="Tahoma"/>
                <w:b/>
                <w:sz w:val="20"/>
                <w:szCs w:val="20"/>
              </w:rPr>
              <w:t>I. SPLOŠNA DOLOČILA</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1. člen</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S tem Pravilnikom o spremembah in dopolnitvah Pravilnika o sofinanciranju programov in projektov drugih društev v Občini Radenci (v nadaljevanju: Pravilnikom) se spremeni Priloga k Pravilniku o sofinanciranju programov in projektov drugih društev v občini Radenci, v kateri so določena merila in višina točk za vrednotenje prijav na javni razpis za sofinanciranje dejavnosti drugih društev v tekočem letu. </w:t>
            </w:r>
          </w:p>
        </w:tc>
      </w:tr>
      <w:tr w:rsidR="00B930CB" w:rsidRPr="00B930CB" w:rsidTr="00B930CB">
        <w:tc>
          <w:tcPr>
            <w:tcW w:w="9212" w:type="dxa"/>
          </w:tcPr>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2. člen</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Priloga k pravilniku: »Merila za sofinanciranje dejavnosti na področju drugih društev v Občini Radenci« po novem zajema naslednje:</w:t>
            </w:r>
          </w:p>
        </w:tc>
      </w:tr>
      <w:tr w:rsidR="00B930CB" w:rsidRPr="00B930CB" w:rsidTr="00B930CB">
        <w:tc>
          <w:tcPr>
            <w:tcW w:w="9212" w:type="dxa"/>
          </w:tcPr>
          <w:p w:rsidR="00B930CB" w:rsidRPr="00B930CB" w:rsidRDefault="00B930CB" w:rsidP="00240762">
            <w:pPr>
              <w:pStyle w:val="Brezrazmikov"/>
              <w:jc w:val="both"/>
              <w:rPr>
                <w:rFonts w:ascii="Tahoma" w:hAnsi="Tahoma" w:cs="Tahoma"/>
                <w:b/>
                <w:sz w:val="20"/>
                <w:szCs w:val="20"/>
              </w:rPr>
            </w:pPr>
            <w:r w:rsidRPr="00B930CB">
              <w:rPr>
                <w:rFonts w:ascii="Tahoma" w:hAnsi="Tahoma" w:cs="Tahoma"/>
                <w:b/>
                <w:sz w:val="20"/>
                <w:szCs w:val="20"/>
              </w:rPr>
              <w:t xml:space="preserve">1. SREDSTVA ZA REDNO DEJAVNOST DRUŠTVA </w:t>
            </w:r>
          </w:p>
        </w:tc>
      </w:tr>
      <w:tr w:rsidR="00B930CB" w:rsidRPr="00B930CB" w:rsidTr="00B930CB">
        <w:tc>
          <w:tcPr>
            <w:tcW w:w="9212" w:type="dxa"/>
          </w:tcPr>
          <w:tbl>
            <w:tblPr>
              <w:tblStyle w:val="Tabela-mrea"/>
              <w:tblW w:w="9322" w:type="dxa"/>
              <w:tblLook w:val="04A0"/>
            </w:tblPr>
            <w:tblGrid>
              <w:gridCol w:w="7184"/>
              <w:gridCol w:w="2138"/>
            </w:tblGrid>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Poročila društva iz preteklega leta</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Točke</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(predlog)</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*Bilanca poslovanja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*Finančno poročili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*Poročilo o sodelovanju z ostalimi društvi,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organizacijami (v občini, izven občine, na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ravni regije, države, meddržavno …</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5 - 20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*Programsko poročilo – o delu, aktivnostih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vsebinska učinkovitost delovanja</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5 - 15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koristnost Občini Radenci</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5 - 15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delovanje v javnem interesu</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dvig kakovosti življenja svojih članov</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10 - 20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*Program društva za tekoče leto</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vsebinska učinkovitost delovanja</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5 - 15</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koristnost Občini Radenci</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5 - 15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delovanje v javnem interesu</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dvig kakovosti življenja svojih članov</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10 - 20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*Finančni plan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Program sodelovanja z ostalimi društvi,</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organizacijami (v občini, izven občine, na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ravni regije, države, meddržavno …)</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5 - 20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Kriterij število članov (s plačano članarino)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*Število članov – do 50 članov </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10</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51 do 150 članov </w:t>
                  </w:r>
                </w:p>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ostane isto</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15</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151 do 250 članov  </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20</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več kot 251članov  </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55</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Sodelovanje z občino, s KS in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drugimi ustanovami v kraju</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5 - 10 </w:t>
                  </w: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lastRenderedPageBreak/>
                    <w:t xml:space="preserve">Doprinos h kakovosti življenja članov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(glede na specifiko posameznega društva – opis </w:t>
                  </w:r>
                </w:p>
              </w:tc>
              <w:tc>
                <w:tcPr>
                  <w:tcW w:w="2138"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71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poda vsako društvo zase)</w:t>
                  </w:r>
                </w:p>
              </w:tc>
              <w:tc>
                <w:tcPr>
                  <w:tcW w:w="2138"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5 - 20 </w:t>
                  </w:r>
                </w:p>
              </w:tc>
            </w:tr>
          </w:tbl>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2. PROJEKTI, PREDSTAVITVENI MATERIAL DRUŠTVA </w:t>
            </w:r>
          </w:p>
        </w:tc>
      </w:tr>
      <w:tr w:rsidR="00B930CB" w:rsidRPr="00B930CB" w:rsidTr="00B930CB">
        <w:tc>
          <w:tcPr>
            <w:tcW w:w="9212" w:type="dxa"/>
          </w:tcPr>
          <w:tbl>
            <w:tblPr>
              <w:tblStyle w:val="Tabela-mrea"/>
              <w:tblW w:w="9322" w:type="dxa"/>
              <w:tblLook w:val="04A0"/>
            </w:tblPr>
            <w:tblGrid>
              <w:gridCol w:w="7196"/>
              <w:gridCol w:w="2126"/>
            </w:tblGrid>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lastRenderedPageBreak/>
                    <w:t>Brošura</w:t>
                  </w:r>
                </w:p>
              </w:tc>
              <w:tc>
                <w:tcPr>
                  <w:tcW w:w="212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10 - 20</w:t>
                  </w: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Zloženka – predstavitev dejavnosti društva</w:t>
                  </w:r>
                </w:p>
              </w:tc>
              <w:tc>
                <w:tcPr>
                  <w:tcW w:w="212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5 – 10</w:t>
                  </w: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Spletna stran društva</w:t>
                  </w:r>
                </w:p>
              </w:tc>
              <w:tc>
                <w:tcPr>
                  <w:tcW w:w="212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10 - 20 </w:t>
                  </w: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p>
              </w:tc>
              <w:tc>
                <w:tcPr>
                  <w:tcW w:w="2126" w:type="dxa"/>
                </w:tcPr>
                <w:p w:rsidR="00B930CB" w:rsidRPr="00B930CB" w:rsidRDefault="00B930CB" w:rsidP="00240762">
                  <w:pPr>
                    <w:pStyle w:val="Brezrazmikov"/>
                    <w:jc w:val="both"/>
                    <w:rPr>
                      <w:rFonts w:ascii="Tahoma" w:hAnsi="Tahoma" w:cs="Tahoma"/>
                      <w:sz w:val="20"/>
                      <w:szCs w:val="20"/>
                    </w:rPr>
                  </w:pP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Projekti v okviru javnih razpisov, natečajev ali </w:t>
                  </w:r>
                </w:p>
              </w:tc>
              <w:tc>
                <w:tcPr>
                  <w:tcW w:w="2126" w:type="dxa"/>
                </w:tcPr>
                <w:p w:rsidR="00B930CB" w:rsidRPr="00B930CB" w:rsidRDefault="00B930CB" w:rsidP="00240762">
                  <w:pPr>
                    <w:pStyle w:val="Brezrazmikov"/>
                    <w:jc w:val="both"/>
                    <w:rPr>
                      <w:rFonts w:ascii="Tahoma" w:hAnsi="Tahoma" w:cs="Tahoma"/>
                      <w:sz w:val="20"/>
                      <w:szCs w:val="20"/>
                    </w:rPr>
                  </w:pP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samostojni – morajo ustrezati določi – </w:t>
                  </w:r>
                </w:p>
              </w:tc>
              <w:tc>
                <w:tcPr>
                  <w:tcW w:w="2126" w:type="dxa"/>
                </w:tcPr>
                <w:p w:rsidR="00B930CB" w:rsidRPr="00B930CB" w:rsidRDefault="00B930CB" w:rsidP="00240762">
                  <w:pPr>
                    <w:pStyle w:val="Brezrazmikov"/>
                    <w:jc w:val="both"/>
                    <w:rPr>
                      <w:rFonts w:ascii="Tahoma" w:hAnsi="Tahoma" w:cs="Tahoma"/>
                      <w:sz w:val="20"/>
                      <w:szCs w:val="20"/>
                    </w:rPr>
                  </w:pPr>
                </w:p>
              </w:tc>
            </w:tr>
            <w:tr w:rsidR="00B930CB" w:rsidRPr="00B930CB" w:rsidTr="00240762">
              <w:tc>
                <w:tcPr>
                  <w:tcW w:w="719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lom tega pravilnika</w:t>
                  </w:r>
                </w:p>
              </w:tc>
              <w:tc>
                <w:tcPr>
                  <w:tcW w:w="2126"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25 - 50</w:t>
                  </w:r>
                </w:p>
              </w:tc>
            </w:tr>
          </w:tbl>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Nagrada za jubilej oz. obletnico </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Obdobje obstoja društva oz. delovanja društva: </w:t>
            </w:r>
          </w:p>
        </w:tc>
      </w:tr>
      <w:tr w:rsidR="00B930CB" w:rsidRPr="00B930CB" w:rsidTr="00B930CB">
        <w:tc>
          <w:tcPr>
            <w:tcW w:w="9212" w:type="dxa"/>
          </w:tcPr>
          <w:tbl>
            <w:tblPr>
              <w:tblStyle w:val="Tabela-mrea"/>
              <w:tblW w:w="9209" w:type="dxa"/>
              <w:tblLook w:val="04A0"/>
            </w:tblPr>
            <w:tblGrid>
              <w:gridCol w:w="7225"/>
              <w:gridCol w:w="1984"/>
            </w:tblGrid>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do 10 let (za vsako leto 1 točka)</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10 </w:t>
                  </w:r>
                </w:p>
              </w:tc>
            </w:tr>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- 20 let </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20 </w:t>
                  </w:r>
                </w:p>
              </w:tc>
            </w:tr>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- 30 let </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30 </w:t>
                  </w:r>
                </w:p>
              </w:tc>
            </w:tr>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- 40 let</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40  </w:t>
                  </w:r>
                </w:p>
              </w:tc>
            </w:tr>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- 50 let </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50 </w:t>
                  </w:r>
                </w:p>
              </w:tc>
            </w:tr>
            <w:tr w:rsidR="00B930CB" w:rsidRPr="00B930CB" w:rsidTr="00B930CB">
              <w:tc>
                <w:tcPr>
                  <w:tcW w:w="7225"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- 60 let in več</w:t>
                  </w:r>
                </w:p>
              </w:tc>
              <w:tc>
                <w:tcPr>
                  <w:tcW w:w="1984"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60 </w:t>
                  </w:r>
                </w:p>
              </w:tc>
            </w:tr>
          </w:tbl>
          <w:p w:rsidR="00B930CB" w:rsidRPr="00B930CB" w:rsidRDefault="00B930CB" w:rsidP="00240762">
            <w:pPr>
              <w:pStyle w:val="Brezrazmikov"/>
              <w:jc w:val="center"/>
              <w:rPr>
                <w:rFonts w:ascii="Tahoma" w:hAnsi="Tahoma" w:cs="Tahoma"/>
                <w:b/>
                <w:sz w:val="20"/>
                <w:szCs w:val="20"/>
              </w:rPr>
            </w:pPr>
            <w:r w:rsidRPr="00B930CB">
              <w:rPr>
                <w:rFonts w:ascii="Tahoma" w:hAnsi="Tahoma" w:cs="Tahoma"/>
                <w:b/>
                <w:sz w:val="20"/>
                <w:szCs w:val="20"/>
              </w:rPr>
              <w:t>3. člen</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Ob nastopu veljavnosti teh sprememb Meril za sofinanciranje dejavnosti na področju drugih društev v Občini Radenci, ki so priloga k Pravilniku o spremembah in dopolnitvah Pravilnika o sofinanciranju programov in projektov drugih društev v Občini Radenci, preneha veljati Priloga k pravilniku, št. 608-1/2011, z dne 4. 3. 2011 (Uradno glasilo slovenskih občin, št. 6/2011).</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Ta Priloga k pravilniku »Merila za sofinanciranje dejavnosti na področju drugih društev v Občini Radenci« začne veljati  naslednji dan po objavi v Uradnem glasilu slovenskih občin .</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Štev.: </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Radenci, ……………………..</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 xml:space="preserve">    Janez RIHTARIČ,</w:t>
            </w:r>
          </w:p>
        </w:tc>
      </w:tr>
      <w:tr w:rsidR="00B930CB" w:rsidRPr="00B930CB" w:rsidTr="00B930CB">
        <w:tc>
          <w:tcPr>
            <w:tcW w:w="9212" w:type="dxa"/>
          </w:tcPr>
          <w:p w:rsidR="00B930CB" w:rsidRPr="00B930CB" w:rsidRDefault="00B930CB" w:rsidP="00240762">
            <w:pPr>
              <w:pStyle w:val="Brezrazmikov"/>
              <w:jc w:val="both"/>
              <w:rPr>
                <w:rFonts w:ascii="Tahoma" w:hAnsi="Tahoma" w:cs="Tahoma"/>
                <w:sz w:val="20"/>
                <w:szCs w:val="20"/>
              </w:rPr>
            </w:pP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r>
            <w:r w:rsidRPr="00B930CB">
              <w:rPr>
                <w:rFonts w:ascii="Tahoma" w:hAnsi="Tahoma" w:cs="Tahoma"/>
                <w:sz w:val="20"/>
                <w:szCs w:val="20"/>
              </w:rPr>
              <w:tab/>
              <w:t xml:space="preserve">    župan Občine Radenci</w:t>
            </w:r>
          </w:p>
        </w:tc>
      </w:tr>
    </w:tbl>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t>III. OBRAZLOŽITEV PREDLAGANIH SPREMEMB</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lang w:eastAsia="sl-SI"/>
        </w:rPr>
        <w:t>Priloga k pravilniku:</w:t>
      </w:r>
      <w:r>
        <w:rPr>
          <w:rFonts w:ascii="Verdana" w:eastAsia="Times New Roman" w:hAnsi="Verdana" w:cs="Arial"/>
          <w:b/>
          <w:lang w:eastAsia="sl-SI"/>
        </w:rPr>
        <w:t xml:space="preserve"> </w:t>
      </w:r>
      <w:r>
        <w:rPr>
          <w:rFonts w:ascii="Verdana" w:eastAsia="Times New Roman" w:hAnsi="Verdana" w:cs="Arial"/>
          <w:lang w:eastAsia="sl-SI"/>
        </w:rPr>
        <w:t xml:space="preserve">»Merila za sofinanciranje dejavnosti na področju drugih društev v Občini Radenci« </w:t>
      </w:r>
      <w:r>
        <w:rPr>
          <w:rFonts w:ascii="Verdana" w:eastAsia="Times New Roman" w:hAnsi="Verdana" w:cs="Arial"/>
          <w:b/>
          <w:lang w:eastAsia="sl-SI"/>
        </w:rPr>
        <w:t xml:space="preserve"> </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1. SREDSTVA ZA REDNO DEJAVNOST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Poročila društva iz preteklega leta </w:t>
      </w:r>
      <w:r>
        <w:rPr>
          <w:rFonts w:ascii="Verdana" w:eastAsia="Times New Roman" w:hAnsi="Verdana" w:cs="Arial"/>
          <w:color w:val="000000"/>
          <w:lang w:eastAsia="sl-SI"/>
        </w:rPr>
        <w:tab/>
      </w:r>
      <w:r>
        <w:rPr>
          <w:rFonts w:ascii="Verdana" w:eastAsia="Times New Roman" w:hAnsi="Verdana" w:cs="Arial"/>
          <w:color w:val="000000"/>
          <w:lang w:eastAsia="sl-SI"/>
        </w:rPr>
        <w:tab/>
        <w:t>Točke</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Točke</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(po veljavnem pravilniku)</w:t>
      </w:r>
      <w:r>
        <w:rPr>
          <w:rFonts w:ascii="Verdana" w:eastAsia="Times New Roman" w:hAnsi="Verdana" w:cs="Arial"/>
          <w:color w:val="000000"/>
          <w:lang w:eastAsia="sl-SI"/>
        </w:rPr>
        <w:tab/>
        <w:t>(predlog)</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t xml:space="preserve">*Bilanca poslovanja </w:t>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sidRPr="00CC0B45">
        <w:rPr>
          <w:rFonts w:ascii="Verdana" w:eastAsia="Times New Roman" w:hAnsi="Verdana" w:cs="Arial"/>
          <w:lang w:eastAsia="sl-SI"/>
        </w:rPr>
        <w:t xml:space="preserve">*Finančno poročili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*Poročilo o sodelovanju z ostalimi društvi,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5 - 20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tab/>
        <w:t xml:space="preserve">     </w:t>
      </w:r>
      <w:r>
        <w:rPr>
          <w:rFonts w:ascii="Verdana" w:eastAsia="Times New Roman" w:hAnsi="Verdana" w:cs="Arial"/>
          <w:i/>
          <w:color w:val="000000"/>
          <w:u w:val="single"/>
          <w:lang w:eastAsia="sl-SI"/>
        </w:rPr>
        <w:t xml:space="preserve">- zaradi obsega realiziranega sodelovanja je potreben večji razpon točk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*Programsko poročilo – o delu, aktivnostih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t>20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lastRenderedPageBreak/>
        <w:tab/>
        <w:t xml:space="preserve">     </w:t>
      </w:r>
      <w:r>
        <w:rPr>
          <w:rFonts w:ascii="Verdana" w:eastAsia="Times New Roman" w:hAnsi="Verdana" w:cs="Arial"/>
          <w:i/>
          <w:color w:val="000000"/>
          <w:u w:val="single"/>
          <w:lang w:eastAsia="sl-SI"/>
        </w:rPr>
        <w:t xml:space="preserve">-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društva za tekoče leto</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15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t>20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i/>
          <w:color w:val="000000"/>
          <w:u w:val="single"/>
          <w:lang w:eastAsia="sl-SI"/>
        </w:rPr>
      </w:pPr>
      <w:r>
        <w:rPr>
          <w:rFonts w:ascii="Verdana" w:eastAsia="Times New Roman" w:hAnsi="Verdana" w:cs="Arial"/>
          <w:i/>
          <w:color w:val="000000"/>
          <w:u w:val="single"/>
          <w:lang w:eastAsia="sl-SI"/>
        </w:rPr>
        <w:t xml:space="preserve">-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*Finančni plan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47760C"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sidRPr="0047760C">
        <w:rPr>
          <w:noProof/>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6" o:spid="_x0000_s1026" type="#_x0000_t88" style="position:absolute;margin-left:327.5pt;margin-top:10.8pt;width:7.15pt;height:4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" adj="2256"/>
        </w:pic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sodelovanja z ostalimi društvi,</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ind w:firstLine="708"/>
        <w:rPr>
          <w:rFonts w:ascii="Verdana" w:eastAsia="Times New Roman" w:hAnsi="Verdana" w:cs="Arial"/>
          <w:i/>
          <w:color w:val="000000"/>
          <w:u w:val="single"/>
          <w:lang w:eastAsia="sl-SI"/>
        </w:rPr>
      </w:pPr>
      <w:r>
        <w:rPr>
          <w:rFonts w:ascii="Verdana" w:eastAsia="Times New Roman" w:hAnsi="Verdana" w:cs="Arial"/>
          <w:i/>
          <w:color w:val="000000"/>
          <w:lang w:eastAsia="sl-SI"/>
        </w:rPr>
        <w:t xml:space="preserve">     </w:t>
      </w:r>
      <w:r>
        <w:rPr>
          <w:rFonts w:ascii="Verdana" w:eastAsia="Times New Roman" w:hAnsi="Verdana" w:cs="Arial"/>
          <w:i/>
          <w:color w:val="000000"/>
          <w:u w:val="single"/>
          <w:lang w:eastAsia="sl-SI"/>
        </w:rPr>
        <w:t xml:space="preserve">- zaradi obsega predvidenih sodelovanj je potreben večji razpon točk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Kriterij število članov (s plačano članarino)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*Število članov – do 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 xml:space="preserve">    10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51 do 150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15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15</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151 do 250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več kot 251članov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55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55</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Sodelovanje z občino, s KS in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drugimi ustanovami v kraju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Doprinos h kakovosti življenja članov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(glede na specifiko posameznega društva – opis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poda vsako društvo zase)</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i/>
          <w:color w:val="000000"/>
          <w:u w:val="single"/>
          <w:lang w:eastAsia="sl-SI"/>
        </w:rPr>
      </w:pPr>
      <w:r>
        <w:rPr>
          <w:rFonts w:ascii="Verdana" w:eastAsia="Times New Roman" w:hAnsi="Verdana" w:cs="Arial"/>
          <w:i/>
          <w:color w:val="000000"/>
          <w:u w:val="single"/>
          <w:lang w:eastAsia="sl-SI"/>
        </w:rPr>
        <w:t xml:space="preserve"> -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b/>
          <w:bCs/>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2. PROJEKTI, PREDSTAVITVENI MATERIAL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Brošura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sidR="00EF43F7">
        <w:rPr>
          <w:rFonts w:ascii="Verdana" w:eastAsia="Times New Roman" w:hAnsi="Verdana" w:cs="Arial"/>
          <w:color w:val="000000"/>
          <w:lang w:eastAsia="sl-SI"/>
        </w:rPr>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r>
      <w:r w:rsidR="00EF43F7">
        <w:rPr>
          <w:rFonts w:ascii="Verdana" w:eastAsia="Times New Roman" w:hAnsi="Verdana" w:cs="Arial"/>
          <w:color w:val="000000"/>
          <w:lang w:eastAsia="sl-SI"/>
        </w:rPr>
        <w:t xml:space="preserve"> </w:t>
      </w:r>
      <w:r>
        <w:rPr>
          <w:rFonts w:ascii="Verdana" w:eastAsia="Times New Roman" w:hAnsi="Verdana" w:cs="Arial"/>
          <w:color w:val="000000"/>
          <w:lang w:eastAsia="sl-SI"/>
        </w:rPr>
        <w:t>10 - 20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Zloženka – predstavitev dejavnosti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Spletna stran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 20</w:t>
      </w:r>
    </w:p>
    <w:p w:rsidR="00FA144E" w:rsidRDefault="00FA144E" w:rsidP="00FA144E">
      <w:pPr>
        <w:shd w:val="clear" w:color="auto" w:fill="FFFFFF" w:themeFill="background1"/>
        <w:autoSpaceDE w:val="0"/>
        <w:autoSpaceDN w:val="0"/>
        <w:adjustRightInd w:val="0"/>
        <w:spacing w:after="0" w:line="240" w:lineRule="auto"/>
        <w:jc w:val="both"/>
        <w:rPr>
          <w:rFonts w:ascii="Verdana" w:eastAsia="Times New Roman" w:hAnsi="Verdana" w:cs="Arial"/>
          <w:i/>
          <w:color w:val="000000"/>
          <w:u w:val="single"/>
          <w:lang w:eastAsia="sl-SI"/>
        </w:rPr>
      </w:pP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i/>
          <w:color w:val="000000"/>
          <w:u w:val="single"/>
          <w:lang w:eastAsia="sl-SI"/>
        </w:rPr>
        <w:t>- točkovanje je dodano zaradi dejstva, da vedno več društev izdeluje predstavitvene/promocijske materiale oz. informatorje za obveščanje svojih članov ter javnosti o dejavnosti njihovega društva;</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Projekti v okviru javnih razpisov, natečajev ali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samostojni – morajo ustrezati določi –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lom tega pravilnika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25 – 50</w:t>
      </w:r>
    </w:p>
    <w:p w:rsidR="00FA144E" w:rsidRDefault="00FA144E" w:rsidP="00FA144E">
      <w:pPr>
        <w:shd w:val="clear" w:color="auto" w:fill="FFFFFF" w:themeFill="background1"/>
        <w:autoSpaceDE w:val="0"/>
        <w:autoSpaceDN w:val="0"/>
        <w:adjustRightInd w:val="0"/>
        <w:spacing w:after="0" w:line="240" w:lineRule="auto"/>
        <w:jc w:val="both"/>
        <w:rPr>
          <w:rFonts w:ascii="Verdana" w:eastAsia="Times New Roman" w:hAnsi="Verdana" w:cs="Arial"/>
          <w:i/>
          <w:color w:val="000000"/>
          <w:u w:val="single"/>
          <w:lang w:eastAsia="sl-SI"/>
        </w:rPr>
      </w:pPr>
      <w:r>
        <w:rPr>
          <w:rFonts w:ascii="Verdana" w:eastAsia="Times New Roman" w:hAnsi="Verdana" w:cs="Arial"/>
          <w:i/>
          <w:color w:val="000000"/>
          <w:lang w:eastAsia="sl-SI"/>
        </w:rPr>
        <w:tab/>
      </w:r>
      <w:r>
        <w:rPr>
          <w:rFonts w:ascii="Verdana" w:eastAsia="Times New Roman" w:hAnsi="Verdana" w:cs="Arial"/>
          <w:i/>
          <w:color w:val="000000"/>
          <w:lang w:eastAsia="sl-SI"/>
        </w:rPr>
        <w:tab/>
        <w:t xml:space="preserve">- </w:t>
      </w:r>
      <w:r>
        <w:rPr>
          <w:rFonts w:ascii="Verdana" w:eastAsia="Times New Roman" w:hAnsi="Verdana" w:cs="Arial"/>
          <w:i/>
          <w:color w:val="000000"/>
          <w:u w:val="single"/>
          <w:lang w:eastAsia="sl-SI"/>
        </w:rPr>
        <w:t>društva se vedno pogosteje prijavljajo na javne razpise, natečaje ali se odločijo za izvajanje projektov, ki pa so od projektnih partnerjev sofinancirani le delno in morajo del sredstev zagotoviti tudi samo; presoja na podlagi koristnosti občini;</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Nagrada za jubilej oz. obletnico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Obdobje obstoja društva oz. delovanja društva: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do 10 let (za vsako leto 1 točka)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- 20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- 30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30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t>- 40 let</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40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lastRenderedPageBreak/>
        <w:t xml:space="preserve">- 50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- 60 let in več</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60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Članom komisije za ocenjevanje in vrednotenje prijav na javni razpis se zdijo predlagane spremembe smiselne, saj bodo s potrditvijo le-teh lahko društvom bolj smotrno in pravično razdelili v proračunu zagotovljena sredstva.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Občinskemu svetu Občine Radenci predlagamo, da predlog sprememb meril za vrednotenje obravnava ter jih v predlagani vsebini po skrajšanem postopku tudi sprejme.</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u w:val="single"/>
          <w:lang w:eastAsia="sl-SI"/>
        </w:rPr>
      </w:pPr>
      <w:r>
        <w:rPr>
          <w:rFonts w:ascii="Verdana" w:eastAsia="Times New Roman" w:hAnsi="Verdana" w:cs="Arial"/>
          <w:b/>
          <w:u w:val="single"/>
          <w:lang w:eastAsia="sl-SI"/>
        </w:rPr>
        <w:t>PREDLOG SKLEPA:</w:t>
      </w:r>
    </w:p>
    <w:p w:rsidR="00FA144E" w:rsidRDefault="00FA144E" w:rsidP="00FA144E">
      <w:pPr>
        <w:keepNext/>
        <w:spacing w:after="0" w:line="240" w:lineRule="auto"/>
        <w:jc w:val="both"/>
        <w:outlineLvl w:val="0"/>
        <w:rPr>
          <w:rFonts w:ascii="Verdana" w:eastAsia="Times New Roman" w:hAnsi="Verdana" w:cs="Arial"/>
          <w:b/>
          <w:lang w:eastAsia="sl-SI"/>
        </w:rPr>
      </w:pPr>
      <w:r>
        <w:rPr>
          <w:rFonts w:ascii="Verdana" w:eastAsia="Times New Roman" w:hAnsi="Verdana" w:cs="Arial"/>
          <w:b/>
          <w:lang w:eastAsia="sl-SI"/>
        </w:rPr>
        <w:t xml:space="preserve">Občinski svet Občine Radenci potrjuje predlog Pravilnika o  spremembah in dopolnitvah Pravilnika o sofinanciranju programov in projektov drugih društev v Občini Radenci po skrajšanem postopku. </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Pripravila:</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Vera SEVER, družbene dejavnosti</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Občinska uprava Občine Radenci</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ŽUPAN OBČINE RADENCI</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Janez RIHTARIČ</w:t>
      </w:r>
    </w:p>
    <w:p w:rsidR="00FA144E" w:rsidRDefault="00FA144E" w:rsidP="00FA144E">
      <w:pPr>
        <w:spacing w:after="0" w:line="240" w:lineRule="auto"/>
        <w:rPr>
          <w:rFonts w:ascii="Verdana" w:eastAsia="Times New Roman" w:hAnsi="Verdana" w:cs="Times New Roman"/>
          <w:sz w:val="24"/>
          <w:szCs w:val="24"/>
          <w:lang w:eastAsia="sl-SI"/>
        </w:rPr>
      </w:pPr>
    </w:p>
    <w:p w:rsidR="00994F54" w:rsidRDefault="00994F54"/>
    <w:sectPr w:rsidR="00994F54" w:rsidSect="00477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5123"/>
    <w:multiLevelType w:val="hybridMultilevel"/>
    <w:tmpl w:val="E48458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BD96118"/>
    <w:multiLevelType w:val="hybridMultilevel"/>
    <w:tmpl w:val="7D5CBFB2"/>
    <w:lvl w:ilvl="0" w:tplc="0424000F">
      <w:start w:val="1"/>
      <w:numFmt w:val="decimal"/>
      <w:lvlText w:val="%1."/>
      <w:lvlJc w:val="left"/>
      <w:pPr>
        <w:tabs>
          <w:tab w:val="num" w:pos="720"/>
        </w:tabs>
        <w:ind w:left="720" w:hanging="360"/>
      </w:pPr>
    </w:lvl>
    <w:lvl w:ilvl="1" w:tplc="6252653A">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707226E5"/>
    <w:multiLevelType w:val="hybridMultilevel"/>
    <w:tmpl w:val="DB781554"/>
    <w:lvl w:ilvl="0" w:tplc="D29C48B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E1434"/>
    <w:rsid w:val="00222459"/>
    <w:rsid w:val="0047760C"/>
    <w:rsid w:val="006570E8"/>
    <w:rsid w:val="006A5A61"/>
    <w:rsid w:val="007E1434"/>
    <w:rsid w:val="00994F54"/>
    <w:rsid w:val="00B930CB"/>
    <w:rsid w:val="00C7484F"/>
    <w:rsid w:val="00CC0B45"/>
    <w:rsid w:val="00E375E5"/>
    <w:rsid w:val="00E43263"/>
    <w:rsid w:val="00EF43F7"/>
    <w:rsid w:val="00F34D25"/>
    <w:rsid w:val="00FA14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4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A144E"/>
    <w:rPr>
      <w:color w:val="0000FF"/>
      <w:u w:val="single"/>
    </w:rPr>
  </w:style>
  <w:style w:type="paragraph" w:customStyle="1" w:styleId="Default">
    <w:name w:val="Default"/>
    <w:rsid w:val="00FA144E"/>
    <w:pPr>
      <w:autoSpaceDE w:val="0"/>
      <w:autoSpaceDN w:val="0"/>
      <w:adjustRightInd w:val="0"/>
      <w:spacing w:after="0" w:line="240" w:lineRule="auto"/>
    </w:pPr>
    <w:rPr>
      <w:rFonts w:ascii="Verdana" w:hAnsi="Verdana" w:cs="Verdana"/>
      <w:color w:val="000000"/>
      <w:sz w:val="24"/>
      <w:szCs w:val="24"/>
    </w:rPr>
  </w:style>
  <w:style w:type="paragraph" w:styleId="Besedilooblaka">
    <w:name w:val="Balloon Text"/>
    <w:basedOn w:val="Navaden"/>
    <w:link w:val="BesedilooblakaZnak"/>
    <w:uiPriority w:val="99"/>
    <w:semiHidden/>
    <w:unhideWhenUsed/>
    <w:rsid w:val="00EF43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3F7"/>
    <w:rPr>
      <w:rFonts w:ascii="Tahoma" w:hAnsi="Tahoma" w:cs="Tahoma"/>
      <w:sz w:val="16"/>
      <w:szCs w:val="16"/>
    </w:rPr>
  </w:style>
  <w:style w:type="table" w:styleId="Tabela-mrea">
    <w:name w:val="Table Grid"/>
    <w:basedOn w:val="Navadnatabela"/>
    <w:uiPriority w:val="59"/>
    <w:rsid w:val="0065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6570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4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144E"/>
    <w:rPr>
      <w:color w:val="0000FF"/>
      <w:u w:val="single"/>
    </w:rPr>
  </w:style>
  <w:style w:type="paragraph" w:customStyle="1" w:styleId="Default">
    <w:name w:val="Default"/>
    <w:rsid w:val="00FA144E"/>
    <w:pPr>
      <w:autoSpaceDE w:val="0"/>
      <w:autoSpaceDN w:val="0"/>
      <w:adjustRightInd w:val="0"/>
      <w:spacing w:after="0" w:line="240" w:lineRule="auto"/>
    </w:pPr>
    <w:rPr>
      <w:rFonts w:ascii="Verdana" w:hAnsi="Verdana" w:cs="Verdana"/>
      <w:color w:val="000000"/>
      <w:sz w:val="24"/>
      <w:szCs w:val="24"/>
    </w:rPr>
  </w:style>
  <w:style w:type="paragraph" w:styleId="Besedilooblaka">
    <w:name w:val="Balloon Text"/>
    <w:basedOn w:val="Navaden"/>
    <w:link w:val="BesedilooblakaZnak"/>
    <w:uiPriority w:val="99"/>
    <w:semiHidden/>
    <w:unhideWhenUsed/>
    <w:rsid w:val="00EF43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9072700%7CRS-58%7C8138%7C2868%7CO%7C" TargetMode="External"/><Relationship Id="rId3" Type="http://schemas.openxmlformats.org/officeDocument/2006/relationships/settings" Target="settings.xml"/><Relationship Id="rId7" Type="http://schemas.openxmlformats.org/officeDocument/2006/relationships/hyperlink" Target="http://www.iusinfo.si/Objava/Besedilo.aspx?Sopi=0152%20%20%20%20%20%20%20%20%20%20%20%20%20%202008100600%7CRS-95%7C12900%7C4032%7CO%7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8092600%7CRS-91%7C12410%7C3895%7CO%7C" TargetMode="External"/><Relationship Id="rId11" Type="http://schemas.openxmlformats.org/officeDocument/2006/relationships/theme" Target="theme/theme1.xml"/><Relationship Id="rId5" Type="http://schemas.openxmlformats.org/officeDocument/2006/relationships/hyperlink" Target="http://www.iusinfo.si/Objava/Besedilo.aspx?Sopi=0152%20%20%20%20%20%20%20%20%20%20%20%20%20%202006061300%7CRS-61%7C6605%7C2567%7CO%7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sinfo.si/Objava/Besedilo.aspx?Sopi=0152%20%20%20%20%20%20%20%20%20%20%20%20%20%202011052500%7CRS-39%7C5255%7C1905%7CO%7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1497</Words>
  <Characters>8538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Podzupan</dc:creator>
  <cp:lastModifiedBy>LL</cp:lastModifiedBy>
  <cp:revision>5</cp:revision>
  <cp:lastPrinted>2012-10-09T06:24:00Z</cp:lastPrinted>
  <dcterms:created xsi:type="dcterms:W3CDTF">2012-10-04T10:30:00Z</dcterms:created>
  <dcterms:modified xsi:type="dcterms:W3CDTF">2012-10-12T09:38:00Z</dcterms:modified>
</cp:coreProperties>
</file>