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4C4E25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4C4E25" w:rsidRDefault="004C4E25" w:rsidP="00571E22">
      <w:pPr>
        <w:pStyle w:val="Brezrazmikov"/>
        <w:jc w:val="both"/>
      </w:pPr>
      <w:r>
        <w:tab/>
      </w:r>
    </w:p>
    <w:p w:rsidR="00571E22" w:rsidRPr="004C4E25" w:rsidRDefault="004C4E25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E25">
        <w:rPr>
          <w:u w:val="single"/>
        </w:rPr>
        <w:t>Predlog sklepa</w:t>
      </w:r>
    </w:p>
    <w:p w:rsidR="004C4E25" w:rsidRDefault="004C4E25" w:rsidP="00571E22">
      <w:pPr>
        <w:pStyle w:val="Brezrazmikov"/>
        <w:jc w:val="both"/>
      </w:pPr>
      <w:r>
        <w:t>Štev. 007-13/2007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, 123/21, 172/21 in 207/21), </w:t>
      </w:r>
      <w:r w:rsidR="004C4E25">
        <w:rPr>
          <w:rFonts w:asciiTheme="minorHAnsi" w:hAnsiTheme="minorHAnsi" w:cstheme="minorHAnsi"/>
          <w:sz w:val="22"/>
          <w:szCs w:val="20"/>
        </w:rPr>
        <w:t>15.</w:t>
      </w:r>
      <w:bookmarkStart w:id="0" w:name="_GoBack"/>
      <w:bookmarkEnd w:id="0"/>
      <w:r w:rsidRPr="00571E22">
        <w:rPr>
          <w:rFonts w:asciiTheme="minorHAnsi" w:hAnsiTheme="minorHAnsi" w:cstheme="minorHAnsi"/>
          <w:sz w:val="22"/>
          <w:szCs w:val="20"/>
        </w:rPr>
        <w:t xml:space="preserve"> člena Statuta </w:t>
      </w:r>
      <w:r w:rsidRPr="00571E22">
        <w:rPr>
          <w:rFonts w:asciiTheme="minorHAnsi" w:hAnsiTheme="minorHAnsi" w:cstheme="minorHAnsi"/>
          <w:sz w:val="22"/>
          <w:szCs w:val="20"/>
        </w:rPr>
        <w:t xml:space="preserve">Občine Kidričevo (Uradno glasilo slovenskih občin, št. 62/16 in 16/18) </w:t>
      </w:r>
      <w:r w:rsidR="004C4E25">
        <w:rPr>
          <w:rFonts w:asciiTheme="minorHAnsi" w:hAnsiTheme="minorHAnsi" w:cstheme="minorHAnsi"/>
          <w:sz w:val="22"/>
          <w:szCs w:val="20"/>
        </w:rPr>
        <w:t>je občinski svet Občine Kidričevo, na svoji _____ redni seji, den 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4E25" w:rsidRDefault="004C4E25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C4E25">
        <w:rPr>
          <w:rFonts w:asciiTheme="minorHAnsi" w:hAnsiTheme="minorHAnsi" w:cstheme="minorHAnsi"/>
          <w:sz w:val="22"/>
          <w:szCs w:val="20"/>
        </w:rPr>
        <w:t>Občinski svet Občine Kidričevo</w:t>
      </w:r>
      <w:r w:rsidRPr="004C4E25">
        <w:rPr>
          <w:rFonts w:ascii="Arial" w:hAnsi="Arial" w:cs="Arial"/>
          <w:sz w:val="22"/>
          <w:szCs w:val="20"/>
        </w:rPr>
        <w:t xml:space="preserve"> </w:t>
      </w:r>
      <w:r w:rsidR="00571E22" w:rsidRPr="004C4E25">
        <w:rPr>
          <w:rFonts w:asciiTheme="minorHAnsi" w:hAnsiTheme="minorHAnsi" w:cstheme="minorHAnsi"/>
          <w:szCs w:val="20"/>
        </w:rPr>
        <w:t xml:space="preserve"> </w:t>
      </w:r>
      <w:r w:rsidR="00571E22">
        <w:rPr>
          <w:rFonts w:asciiTheme="minorHAnsi" w:hAnsiTheme="minorHAnsi" w:cstheme="minorHAnsi"/>
          <w:sz w:val="22"/>
          <w:szCs w:val="20"/>
        </w:rPr>
        <w:t xml:space="preserve">sprejme Odlok o spremembah in dopolnitvah Odloka o ustanovitvi javnega vzgojno-izobraževalnega zavoda Glasbena šola Karol Pahor Ptuj. 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Odlok je priloga in sestavni del tega sklepa.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4C4E25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>župan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A775B"/>
    <w:rsid w:val="004133B9"/>
    <w:rsid w:val="004C4E25"/>
    <w:rsid w:val="00571E22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65D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E2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2022-05-05T05:41:00Z</cp:lastPrinted>
  <dcterms:created xsi:type="dcterms:W3CDTF">2022-05-05T05:45:00Z</dcterms:created>
  <dcterms:modified xsi:type="dcterms:W3CDTF">2022-05-05T05:45:00Z</dcterms:modified>
</cp:coreProperties>
</file>