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CC" w:rsidRPr="005C6ECC" w:rsidRDefault="00932F52" w:rsidP="005C6ECC">
      <w:pPr>
        <w:jc w:val="right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PREDLOG</w:t>
      </w:r>
    </w:p>
    <w:p w:rsidR="002D18A6" w:rsidRPr="005C6ECC" w:rsidRDefault="005C6EC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5C6ECC">
        <w:rPr>
          <w:rFonts w:ascii="Arial" w:eastAsia="Times New Roman" w:hAnsi="Arial" w:cs="Arial"/>
          <w:sz w:val="24"/>
          <w:szCs w:val="24"/>
          <w:lang w:eastAsia="sl-SI"/>
        </w:rPr>
        <w:t xml:space="preserve">Na podlagi 59. člena </w:t>
      </w:r>
      <w:hyperlink r:id="rId5" w:history="1">
        <w:r w:rsidRPr="005C6EC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Zakona o izvrševanju proračunov Republike Slovenije za leti 2017 in 2018</w:t>
        </w:r>
      </w:hyperlink>
      <w:r w:rsidRPr="005C6ECC">
        <w:rPr>
          <w:rFonts w:ascii="Arial" w:eastAsia="Times New Roman" w:hAnsi="Arial" w:cs="Arial"/>
          <w:sz w:val="24"/>
          <w:szCs w:val="24"/>
          <w:lang w:eastAsia="sl-SI"/>
        </w:rPr>
        <w:t xml:space="preserve"> (Uradni list RS, št. 80/16 in 33/17) v povezavi s VI. poglavjem Zakona o stavbnih zemljiščih (Uradni list SRS, št. 18/84, 32/85 – popravek in 33/89 ter Uradni list RS, št. 24/92 – odločba US, 29/95 – ZPDF, 44/97 – ZSZ in 27/98 – odločba US), 218. členom in 218.a do 218.d členom </w:t>
      </w:r>
      <w:hyperlink r:id="rId6" w:history="1">
        <w:r w:rsidRPr="005C6EC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Zakona o graditvi objektov</w:t>
        </w:r>
      </w:hyperlink>
      <w:r w:rsidRPr="005C6ECC">
        <w:rPr>
          <w:rFonts w:ascii="Arial" w:eastAsia="Times New Roman" w:hAnsi="Arial" w:cs="Arial"/>
          <w:sz w:val="24"/>
          <w:szCs w:val="24"/>
          <w:lang w:eastAsia="sl-SI"/>
        </w:rPr>
        <w:t xml:space="preserve"> (Uradni list RS, št. 102/04 – uradno prečiščeno besedilo, 14/05 – </w:t>
      </w:r>
      <w:proofErr w:type="spellStart"/>
      <w:r w:rsidRPr="005C6ECC">
        <w:rPr>
          <w:rFonts w:ascii="Arial" w:eastAsia="Times New Roman" w:hAnsi="Arial" w:cs="Arial"/>
          <w:sz w:val="24"/>
          <w:szCs w:val="24"/>
          <w:lang w:eastAsia="sl-SI"/>
        </w:rPr>
        <w:t>popr</w:t>
      </w:r>
      <w:proofErr w:type="spellEnd"/>
      <w:r w:rsidRPr="005C6ECC">
        <w:rPr>
          <w:rFonts w:ascii="Arial" w:eastAsia="Times New Roman" w:hAnsi="Arial" w:cs="Arial"/>
          <w:sz w:val="24"/>
          <w:szCs w:val="24"/>
          <w:lang w:eastAsia="sl-SI"/>
        </w:rPr>
        <w:t xml:space="preserve">., 92/05 – ZJC-B, 93/05 – ZVMS, 111/05 – </w:t>
      </w:r>
      <w:proofErr w:type="spellStart"/>
      <w:r w:rsidRPr="005C6ECC">
        <w:rPr>
          <w:rFonts w:ascii="Arial" w:eastAsia="Times New Roman" w:hAnsi="Arial" w:cs="Arial"/>
          <w:sz w:val="24"/>
          <w:szCs w:val="24"/>
          <w:lang w:eastAsia="sl-SI"/>
        </w:rPr>
        <w:t>odl</w:t>
      </w:r>
      <w:proofErr w:type="spellEnd"/>
      <w:r w:rsidRPr="005C6ECC">
        <w:rPr>
          <w:rFonts w:ascii="Arial" w:eastAsia="Times New Roman" w:hAnsi="Arial" w:cs="Arial"/>
          <w:sz w:val="24"/>
          <w:szCs w:val="24"/>
          <w:lang w:eastAsia="sl-SI"/>
        </w:rPr>
        <w:t xml:space="preserve">. US, 126/07, 108/09, 61/10 – ZRud-1, 20/11 – </w:t>
      </w:r>
      <w:proofErr w:type="spellStart"/>
      <w:r w:rsidRPr="005C6ECC">
        <w:rPr>
          <w:rFonts w:ascii="Arial" w:eastAsia="Times New Roman" w:hAnsi="Arial" w:cs="Arial"/>
          <w:sz w:val="24"/>
          <w:szCs w:val="24"/>
          <w:lang w:eastAsia="sl-SI"/>
        </w:rPr>
        <w:t>odl</w:t>
      </w:r>
      <w:proofErr w:type="spellEnd"/>
      <w:r w:rsidRPr="005C6ECC">
        <w:rPr>
          <w:rFonts w:ascii="Arial" w:eastAsia="Times New Roman" w:hAnsi="Arial" w:cs="Arial"/>
          <w:sz w:val="24"/>
          <w:szCs w:val="24"/>
          <w:lang w:eastAsia="sl-SI"/>
        </w:rPr>
        <w:t xml:space="preserve">. US, 57/12, 101/13 – </w:t>
      </w:r>
      <w:proofErr w:type="spellStart"/>
      <w:r w:rsidRPr="005C6ECC">
        <w:rPr>
          <w:rFonts w:ascii="Arial" w:eastAsia="Times New Roman" w:hAnsi="Arial" w:cs="Arial"/>
          <w:sz w:val="24"/>
          <w:szCs w:val="24"/>
          <w:lang w:eastAsia="sl-SI"/>
        </w:rPr>
        <w:t>ZDavNepr</w:t>
      </w:r>
      <w:proofErr w:type="spellEnd"/>
      <w:r w:rsidRPr="005C6ECC">
        <w:rPr>
          <w:rFonts w:ascii="Arial" w:eastAsia="Times New Roman" w:hAnsi="Arial" w:cs="Arial"/>
          <w:sz w:val="24"/>
          <w:szCs w:val="24"/>
          <w:lang w:eastAsia="sl-SI"/>
        </w:rPr>
        <w:t xml:space="preserve">, 110/13 in 19/15) ter na podlagi 17. člena </w:t>
      </w:r>
      <w:hyperlink r:id="rId7" w:history="1">
        <w:r w:rsidRPr="005C6EC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Statuta Občine Vitanje</w:t>
        </w:r>
      </w:hyperlink>
      <w:r w:rsidRPr="005C6ECC">
        <w:rPr>
          <w:rFonts w:ascii="Arial" w:eastAsia="Times New Roman" w:hAnsi="Arial" w:cs="Arial"/>
          <w:sz w:val="24"/>
          <w:szCs w:val="24"/>
          <w:lang w:eastAsia="sl-SI"/>
        </w:rPr>
        <w:t xml:space="preserve"> (Uradno glasilo slovenskih občin, št. UGSO št. 49/2017), je Občinski svet Občine Vitanje na svoji …………seji dne ……………….. sprejel</w:t>
      </w:r>
    </w:p>
    <w:p w:rsidR="005C6ECC" w:rsidRPr="005C6ECC" w:rsidRDefault="005C6ECC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5C6ECC" w:rsidRPr="005C6ECC" w:rsidRDefault="005C6ECC" w:rsidP="005C6ECC">
      <w:pPr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5C6ECC">
        <w:rPr>
          <w:rFonts w:ascii="Arial" w:eastAsia="Times New Roman" w:hAnsi="Arial" w:cs="Arial"/>
          <w:sz w:val="24"/>
          <w:szCs w:val="24"/>
          <w:lang w:eastAsia="sl-SI"/>
        </w:rPr>
        <w:t>ODLOK</w:t>
      </w:r>
    </w:p>
    <w:p w:rsidR="00BF0187" w:rsidRDefault="005C6ECC" w:rsidP="00BF0187">
      <w:pPr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5C6ECC">
        <w:rPr>
          <w:rFonts w:ascii="Arial" w:eastAsia="Times New Roman" w:hAnsi="Arial" w:cs="Arial"/>
          <w:sz w:val="24"/>
          <w:szCs w:val="24"/>
          <w:lang w:eastAsia="sl-SI"/>
        </w:rPr>
        <w:t xml:space="preserve">O SPREMEMBI ODLOKA </w:t>
      </w:r>
    </w:p>
    <w:p w:rsidR="005C6ECC" w:rsidRPr="005C6ECC" w:rsidRDefault="005C6ECC" w:rsidP="00BF0187">
      <w:pPr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5C6ECC">
        <w:rPr>
          <w:rFonts w:ascii="Arial" w:eastAsia="Times New Roman" w:hAnsi="Arial" w:cs="Arial"/>
          <w:sz w:val="24"/>
          <w:szCs w:val="24"/>
          <w:lang w:eastAsia="sl-SI"/>
        </w:rPr>
        <w:t>O NADOMESTILU ZA UPORABO STAVBNEGA ZEMLJIŠČA</w:t>
      </w:r>
      <w:r w:rsidR="00BF018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5C6ECC">
        <w:rPr>
          <w:rFonts w:ascii="Arial" w:eastAsia="Times New Roman" w:hAnsi="Arial" w:cs="Arial"/>
          <w:sz w:val="24"/>
          <w:szCs w:val="24"/>
          <w:lang w:eastAsia="sl-SI"/>
        </w:rPr>
        <w:t>V OBČINI VITANJE</w:t>
      </w:r>
    </w:p>
    <w:p w:rsidR="005C6ECC" w:rsidRPr="005C6ECC" w:rsidRDefault="005C6ECC" w:rsidP="005C6ECC">
      <w:pPr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5C6ECC" w:rsidRPr="005C6ECC" w:rsidRDefault="005C6ECC" w:rsidP="005C6ECC">
      <w:pPr>
        <w:pStyle w:val="Odstavekseznama"/>
        <w:numPr>
          <w:ilvl w:val="0"/>
          <w:numId w:val="1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C6EC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člen</w:t>
      </w:r>
    </w:p>
    <w:p w:rsidR="005C6ECC" w:rsidRPr="005C6ECC" w:rsidRDefault="005C6ECC" w:rsidP="005C6ECC">
      <w:pPr>
        <w:jc w:val="both"/>
        <w:rPr>
          <w:rFonts w:ascii="Arial" w:hAnsi="Arial" w:cs="Arial"/>
          <w:sz w:val="24"/>
          <w:szCs w:val="24"/>
        </w:rPr>
      </w:pPr>
      <w:r w:rsidRPr="005C6ECC">
        <w:rPr>
          <w:rFonts w:ascii="Arial" w:hAnsi="Arial" w:cs="Arial"/>
          <w:sz w:val="24"/>
          <w:szCs w:val="24"/>
        </w:rPr>
        <w:t>Prvi odstavek 14. člena Odloka o nadomestilu za uporabo stavbnega zemljišča v občini Vitanje (Uradno glasilo slovenskih občin, št. 62/2917 z dne 28.12.2017) se spremeni tako, da glasi:</w:t>
      </w:r>
    </w:p>
    <w:p w:rsidR="005C6ECC" w:rsidRPr="005C6ECC" w:rsidRDefault="00BF0187" w:rsidP="005C6E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»</w:t>
      </w:r>
      <w:r w:rsidR="005C6ECC" w:rsidRPr="005C6ECC">
        <w:rPr>
          <w:rFonts w:ascii="Arial" w:eastAsia="Times New Roman" w:hAnsi="Arial" w:cs="Arial"/>
          <w:sz w:val="24"/>
          <w:szCs w:val="24"/>
          <w:lang w:eastAsia="sl-SI"/>
        </w:rPr>
        <w:t>(1) Vrednost točke za izračun nadomestila za leto 2020 znaša 0,001125 EUR/m2, za naslednja leta pa se jo revalorizira letno z indeksom cen življenjskih potrebščin.</w:t>
      </w:r>
      <w:r>
        <w:rPr>
          <w:rFonts w:ascii="Arial" w:eastAsia="Times New Roman" w:hAnsi="Arial" w:cs="Arial"/>
          <w:sz w:val="24"/>
          <w:szCs w:val="24"/>
          <w:lang w:eastAsia="sl-SI"/>
        </w:rPr>
        <w:t>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5C6ECC" w:rsidRPr="005C6ECC" w:rsidTr="00B242F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ECC" w:rsidRPr="005C6ECC" w:rsidRDefault="005C6ECC" w:rsidP="005C6EC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  <w:p w:rsidR="005C6ECC" w:rsidRPr="005C6ECC" w:rsidRDefault="005C6ECC" w:rsidP="005C6EC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C6E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2. člen</w:t>
            </w:r>
          </w:p>
        </w:tc>
      </w:tr>
      <w:tr w:rsidR="005C6ECC" w:rsidRPr="005C6ECC" w:rsidTr="00B242F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ECC" w:rsidRPr="005C6ECC" w:rsidRDefault="005C6ECC" w:rsidP="005C6EC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C6EC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Ta odlok začne veljati naslednji dan po objavi v Uradnem glasilu slovenskih občin, uporabljati pa se začne 01. januarja 2020.</w:t>
            </w:r>
          </w:p>
        </w:tc>
      </w:tr>
    </w:tbl>
    <w:p w:rsidR="005C6ECC" w:rsidRPr="005C6ECC" w:rsidRDefault="005C6ECC" w:rsidP="005C6ECC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5C6ECC" w:rsidRPr="005C6ECC" w:rsidTr="00B242F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ECC" w:rsidRPr="005C6ECC" w:rsidRDefault="005C6ECC" w:rsidP="00B242F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5C6ECC" w:rsidRPr="005C6ECC" w:rsidRDefault="005C6ECC" w:rsidP="005C6EC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C6EC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Številka: </w:t>
            </w:r>
          </w:p>
        </w:tc>
      </w:tr>
      <w:tr w:rsidR="005C6ECC" w:rsidRPr="005C6ECC" w:rsidTr="00B242F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ECC" w:rsidRPr="005C6ECC" w:rsidRDefault="005C6ECC" w:rsidP="005C6EC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C6EC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Datum: </w:t>
            </w:r>
          </w:p>
        </w:tc>
      </w:tr>
      <w:tr w:rsidR="005C6ECC" w:rsidRPr="005C6ECC" w:rsidTr="00B242F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ECC" w:rsidRPr="005C6ECC" w:rsidRDefault="005C6ECC" w:rsidP="00B242F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C6EC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</w:tr>
      <w:tr w:rsidR="005C6ECC" w:rsidRPr="005C6ECC" w:rsidTr="00B242F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3543"/>
            </w:tblGrid>
            <w:tr w:rsidR="005C6ECC" w:rsidRPr="005C6ECC" w:rsidTr="00B242F0">
              <w:trPr>
                <w:jc w:val="right"/>
              </w:trPr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6ECC" w:rsidRPr="005C6ECC" w:rsidRDefault="005C6ECC" w:rsidP="00B242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5C6ECC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35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6ECC" w:rsidRPr="005C6ECC" w:rsidRDefault="005C6ECC" w:rsidP="00B242F0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5C6ECC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Občina </w:t>
                  </w:r>
                  <w:r w:rsidRPr="005C6ECC">
                    <w:rPr>
                      <w:rFonts w:ascii="Arial" w:eastAsia="Times New Roman" w:hAnsi="Arial" w:cs="Arial"/>
                      <w:sz w:val="24"/>
                      <w:szCs w:val="24"/>
                      <w:lang w:val="en-US" w:eastAsia="sl-SI"/>
                    </w:rPr>
                    <w:t>Vitanje</w:t>
                  </w:r>
                </w:p>
              </w:tc>
            </w:tr>
            <w:tr w:rsidR="005C6ECC" w:rsidRPr="005C6ECC" w:rsidTr="00B242F0">
              <w:trPr>
                <w:trHeight w:val="186"/>
                <w:jc w:val="right"/>
              </w:trPr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6ECC" w:rsidRPr="005C6ECC" w:rsidRDefault="005C6ECC" w:rsidP="00B242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5C6ECC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35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6ECC" w:rsidRPr="005C6ECC" w:rsidRDefault="005C6ECC" w:rsidP="00B242F0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5C6ECC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Slavko Vetrih, župan</w:t>
                  </w:r>
                </w:p>
              </w:tc>
            </w:tr>
          </w:tbl>
          <w:p w:rsidR="005C6ECC" w:rsidRPr="005C6ECC" w:rsidRDefault="005C6ECC" w:rsidP="00B2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5C6ECC" w:rsidRDefault="005C6ECC" w:rsidP="005C6EC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E1FC4" w:rsidRDefault="002E1FC4" w:rsidP="005C6EC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E1FC4" w:rsidRDefault="002E1FC4" w:rsidP="005C6EC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E1FC4" w:rsidRDefault="002E1FC4" w:rsidP="005C6EC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E1FC4" w:rsidRDefault="002E1FC4" w:rsidP="005C6EC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E1FC4" w:rsidRDefault="002E1FC4" w:rsidP="005C6EC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E1FC4" w:rsidRDefault="002E1FC4" w:rsidP="005C6EC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E1FC4" w:rsidRPr="00932F52" w:rsidRDefault="002E1FC4" w:rsidP="002E1FC4">
      <w:pPr>
        <w:jc w:val="both"/>
        <w:rPr>
          <w:rFonts w:ascii="Arial" w:hAnsi="Arial" w:cs="Arial"/>
          <w:b/>
          <w:sz w:val="24"/>
          <w:szCs w:val="24"/>
        </w:rPr>
      </w:pPr>
      <w:r w:rsidRPr="00932F52">
        <w:rPr>
          <w:rFonts w:ascii="Arial" w:hAnsi="Arial" w:cs="Arial"/>
          <w:b/>
          <w:sz w:val="24"/>
          <w:szCs w:val="24"/>
        </w:rPr>
        <w:t xml:space="preserve">Obrazložitev: </w:t>
      </w:r>
    </w:p>
    <w:p w:rsidR="00932F52" w:rsidRDefault="00932F52" w:rsidP="00932F52">
      <w:pPr>
        <w:rPr>
          <w:rFonts w:ascii="Arial" w:hAnsi="Arial" w:cs="Arial"/>
          <w:sz w:val="24"/>
          <w:szCs w:val="24"/>
        </w:rPr>
      </w:pPr>
      <w:r w:rsidRPr="00932F52">
        <w:rPr>
          <w:rFonts w:ascii="Arial" w:hAnsi="Arial" w:cs="Arial"/>
          <w:sz w:val="24"/>
          <w:szCs w:val="24"/>
        </w:rPr>
        <w:t xml:space="preserve">Skladno z zahtevo državne zakonodaje je bila Občina Vitanje za izračun vrednosti nadomestila za uporabo stavbnega zemljišča primorana privzeti podatke iz javne zbirke podatkov o nepremičninah na območju Republike Slovenije Register nepremičnin (REN). Pri vnosu Ren podatkov v simulacijo plačila po celotni bazi podatkov smo ugotovili, da bi prišlo ob enaki vrednosti točke kot v preteklem letu odstopanje višje od rasti življenjskih stroškov, zato predlagamo, da  vrednost točke zmanjšamo za 10 %, da bo vrednost plačil primerljiva z vrednostjo plačil iz leta 2019, povečano za realno rast življenjskih stroškov. </w:t>
      </w:r>
    </w:p>
    <w:p w:rsidR="00891EEB" w:rsidRDefault="00891EEB" w:rsidP="00932F52">
      <w:pPr>
        <w:rPr>
          <w:rFonts w:ascii="Arial" w:hAnsi="Arial" w:cs="Arial"/>
          <w:sz w:val="24"/>
          <w:szCs w:val="24"/>
        </w:rPr>
      </w:pPr>
    </w:p>
    <w:p w:rsidR="00891EEB" w:rsidRPr="00891EEB" w:rsidRDefault="00891EEB" w:rsidP="00932F52">
      <w:pPr>
        <w:rPr>
          <w:rFonts w:ascii="Arial" w:hAnsi="Arial" w:cs="Arial"/>
          <w:color w:val="FF0000"/>
          <w:sz w:val="24"/>
          <w:szCs w:val="24"/>
        </w:rPr>
      </w:pPr>
      <w:r w:rsidRPr="00891EEB">
        <w:rPr>
          <w:rFonts w:ascii="Arial" w:hAnsi="Arial" w:cs="Arial"/>
          <w:color w:val="FF0000"/>
          <w:sz w:val="24"/>
          <w:szCs w:val="24"/>
        </w:rPr>
        <w:t>Dodati simulacijo ocene prihodka v proračun!?</w:t>
      </w:r>
    </w:p>
    <w:p w:rsidR="002E1FC4" w:rsidRDefault="002E1FC4" w:rsidP="002E1FC4">
      <w:pPr>
        <w:pStyle w:val="Odstavekseznama"/>
      </w:pPr>
    </w:p>
    <w:p w:rsidR="002E1FC4" w:rsidRPr="005C6ECC" w:rsidRDefault="002E1FC4" w:rsidP="005C6ECC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E1FC4" w:rsidRPr="005C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B3825"/>
    <w:multiLevelType w:val="hybridMultilevel"/>
    <w:tmpl w:val="DC541A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CC"/>
    <w:rsid w:val="002D18A6"/>
    <w:rsid w:val="002E1FC4"/>
    <w:rsid w:val="005C6ECC"/>
    <w:rsid w:val="00891EEB"/>
    <w:rsid w:val="00932F52"/>
    <w:rsid w:val="00B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2E7B"/>
  <w15:chartTrackingRefBased/>
  <w15:docId w15:val="{7379E64B-FFAD-4D32-B449-13FCB926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x-localis.info/KatalogInformacij/PodrobnostiDokumenta.aspx?SectionID=ae551c32-2711-4f6c-933f-662ea7ae34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rs.si/Pis.web/pregledPredpisa?id=ZAKO4182" TargetMode="External"/><Relationship Id="rId5" Type="http://schemas.openxmlformats.org/officeDocument/2006/relationships/hyperlink" Target="http://www.pisrs.si/Pis.web/pregledPredpisa?id=ZAKO73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dcterms:created xsi:type="dcterms:W3CDTF">2019-11-05T10:53:00Z</dcterms:created>
  <dcterms:modified xsi:type="dcterms:W3CDTF">2019-11-05T12:38:00Z</dcterms:modified>
</cp:coreProperties>
</file>