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3B" w:rsidRPr="00682613" w:rsidRDefault="00467CFE" w:rsidP="00482B3B">
      <w:r w:rsidRPr="00682613">
        <w:t xml:space="preserve">Številka: </w:t>
      </w:r>
      <w:r w:rsidR="00281F57">
        <w:t>007-7/2015</w:t>
      </w:r>
    </w:p>
    <w:p w:rsidR="00482B3B" w:rsidRPr="00682613" w:rsidRDefault="00467CFE" w:rsidP="00482B3B">
      <w:r w:rsidRPr="00682613">
        <w:t xml:space="preserve">Datum: </w:t>
      </w:r>
      <w:r w:rsidR="00F3760B">
        <w:t>8. 10</w:t>
      </w:r>
      <w:r w:rsidR="00281F57">
        <w:t>. 2015</w:t>
      </w:r>
    </w:p>
    <w:p w:rsidR="00482B3B" w:rsidRPr="00682613" w:rsidRDefault="00482B3B" w:rsidP="00482B3B"/>
    <w:p w:rsidR="00482B3B" w:rsidRPr="00682613" w:rsidRDefault="00482B3B" w:rsidP="00482B3B"/>
    <w:p w:rsidR="00482B3B" w:rsidRPr="00682613" w:rsidRDefault="00482B3B" w:rsidP="00482B3B"/>
    <w:p w:rsidR="00482B3B" w:rsidRPr="00682613" w:rsidRDefault="00482B3B" w:rsidP="00482B3B">
      <w:pPr>
        <w:rPr>
          <w:b/>
        </w:rPr>
      </w:pPr>
      <w:r w:rsidRPr="00682613">
        <w:rPr>
          <w:b/>
        </w:rPr>
        <w:t xml:space="preserve">MESTNEMU SVETU </w:t>
      </w:r>
    </w:p>
    <w:p w:rsidR="00482B3B" w:rsidRPr="00682613" w:rsidRDefault="00482B3B" w:rsidP="00482B3B">
      <w:pPr>
        <w:rPr>
          <w:b/>
        </w:rPr>
      </w:pPr>
      <w:r w:rsidRPr="00682613">
        <w:rPr>
          <w:b/>
        </w:rPr>
        <w:t>MESTNE OBČINE PTUJ</w:t>
      </w:r>
    </w:p>
    <w:p w:rsidR="00482B3B" w:rsidRPr="00682613" w:rsidRDefault="00482B3B" w:rsidP="00482B3B"/>
    <w:p w:rsidR="00482B3B" w:rsidRPr="00682613" w:rsidRDefault="00482B3B" w:rsidP="00482B3B"/>
    <w:p w:rsidR="00482B3B" w:rsidRPr="00682613" w:rsidRDefault="00482B3B" w:rsidP="00482B3B"/>
    <w:p w:rsidR="00482B3B" w:rsidRPr="00281F57" w:rsidRDefault="00482B3B" w:rsidP="008775B9">
      <w:pPr>
        <w:ind w:left="993" w:hanging="993"/>
        <w:jc w:val="both"/>
        <w:rPr>
          <w:b/>
        </w:rPr>
      </w:pPr>
      <w:r w:rsidRPr="00682613">
        <w:t>Zadeva</w:t>
      </w:r>
      <w:r w:rsidR="008775B9">
        <w:rPr>
          <w:b/>
        </w:rPr>
        <w:t xml:space="preserve">: </w:t>
      </w:r>
      <w:bookmarkStart w:id="0" w:name="_GoBack"/>
      <w:bookmarkEnd w:id="0"/>
      <w:r w:rsidR="00F3760B">
        <w:rPr>
          <w:b/>
        </w:rPr>
        <w:t>Predlog</w:t>
      </w:r>
      <w:r w:rsidR="00B51C3C">
        <w:rPr>
          <w:b/>
        </w:rPr>
        <w:t xml:space="preserve"> </w:t>
      </w:r>
      <w:r w:rsidR="00281F57">
        <w:rPr>
          <w:b/>
        </w:rPr>
        <w:t>Odloka</w:t>
      </w:r>
      <w:r w:rsidR="00281F57" w:rsidRPr="00281F57">
        <w:rPr>
          <w:b/>
        </w:rPr>
        <w:t xml:space="preserve"> o programu opremljanja i</w:t>
      </w:r>
      <w:r w:rsidR="008775B9">
        <w:rPr>
          <w:b/>
        </w:rPr>
        <w:t xml:space="preserve">n merilih za odmero komunalnega </w:t>
      </w:r>
      <w:r w:rsidR="00281F57" w:rsidRPr="00281F57">
        <w:rPr>
          <w:b/>
        </w:rPr>
        <w:t>prispevka za območje Mestne občine Ptuj</w:t>
      </w:r>
    </w:p>
    <w:p w:rsidR="009F169E" w:rsidRPr="00682613" w:rsidRDefault="009F169E" w:rsidP="00482B3B">
      <w:pPr>
        <w:jc w:val="both"/>
      </w:pPr>
    </w:p>
    <w:p w:rsidR="00482B3B" w:rsidRPr="00682613" w:rsidRDefault="00482B3B" w:rsidP="00482B3B">
      <w:pPr>
        <w:jc w:val="both"/>
      </w:pPr>
      <w:r w:rsidRPr="00682613">
        <w:t xml:space="preserve">Na podlagi 23. člena Statuta Mestne občine Ptuj (Uradni vestnik Mestne občine Ptuj, št. 9/07) in v skladu s 76. členom Poslovnika Mestnega sveta Mestne občine Ptuj (Uradni vestnik Mestne občine Ptuj, št. </w:t>
      </w:r>
      <w:r w:rsidR="00281F57">
        <w:t>12/07, 1/09, 2/14 in 7/</w:t>
      </w:r>
      <w:r w:rsidR="00281F57" w:rsidRPr="00281F57">
        <w:t>15</w:t>
      </w:r>
      <w:r w:rsidRPr="00682613">
        <w:t>) predlagam mestnemu svetu v obravnavo in sprejem</w:t>
      </w:r>
      <w:r w:rsidRPr="00682613">
        <w:rPr>
          <w:b/>
        </w:rPr>
        <w:t xml:space="preserve"> </w:t>
      </w:r>
      <w:r w:rsidR="00F3760B">
        <w:t>predlog</w:t>
      </w:r>
      <w:r w:rsidR="00281F57" w:rsidRPr="00281F57">
        <w:t xml:space="preserve"> Odloka o programu opremljanja in merilih za odmero komunalnega prispevka za območje Mestne občine Ptuj</w:t>
      </w:r>
      <w:r w:rsidRPr="00682613">
        <w:t>.</w:t>
      </w:r>
    </w:p>
    <w:p w:rsidR="00482B3B" w:rsidRPr="00682613" w:rsidRDefault="00482B3B" w:rsidP="00482B3B">
      <w:pPr>
        <w:pStyle w:val="Telobesedila"/>
        <w:rPr>
          <w:rFonts w:ascii="Times New Roman" w:hAnsi="Times New Roman"/>
          <w:szCs w:val="24"/>
        </w:rPr>
      </w:pPr>
      <w:r w:rsidRPr="00682613">
        <w:rPr>
          <w:rFonts w:ascii="Times New Roman" w:hAnsi="Times New Roman"/>
          <w:szCs w:val="24"/>
        </w:rPr>
        <w:t xml:space="preserve">                 </w:t>
      </w:r>
    </w:p>
    <w:p w:rsidR="004529C7" w:rsidRPr="00682613" w:rsidRDefault="004529C7" w:rsidP="00482B3B">
      <w:pPr>
        <w:pStyle w:val="Telobesedila"/>
        <w:rPr>
          <w:rFonts w:ascii="Times New Roman" w:hAnsi="Times New Roman"/>
          <w:szCs w:val="24"/>
        </w:rPr>
      </w:pPr>
    </w:p>
    <w:p w:rsidR="004529C7" w:rsidRPr="00682613" w:rsidRDefault="004529C7" w:rsidP="00482B3B">
      <w:pPr>
        <w:pStyle w:val="Telobesedila"/>
        <w:rPr>
          <w:rFonts w:ascii="Times New Roman" w:hAnsi="Times New Roman"/>
          <w:szCs w:val="24"/>
        </w:rPr>
      </w:pPr>
    </w:p>
    <w:p w:rsidR="00482B3B" w:rsidRPr="00682613" w:rsidRDefault="00482B3B" w:rsidP="00482B3B">
      <w:pPr>
        <w:pStyle w:val="Telobesedila"/>
        <w:rPr>
          <w:rFonts w:ascii="Times New Roman" w:hAnsi="Times New Roman"/>
          <w:b/>
          <w:szCs w:val="24"/>
        </w:rPr>
      </w:pPr>
      <w:r w:rsidRPr="00682613">
        <w:rPr>
          <w:rFonts w:ascii="Times New Roman" w:hAnsi="Times New Roman"/>
          <w:b/>
          <w:szCs w:val="24"/>
        </w:rPr>
        <w:t xml:space="preserve">                                                                                                               </w:t>
      </w:r>
      <w:r w:rsidR="00281F57">
        <w:rPr>
          <w:rFonts w:ascii="Times New Roman" w:hAnsi="Times New Roman"/>
          <w:b/>
          <w:szCs w:val="24"/>
        </w:rPr>
        <w:t>Miran SENČAR</w:t>
      </w:r>
      <w:r w:rsidRPr="00682613">
        <w:rPr>
          <w:rFonts w:ascii="Times New Roman" w:hAnsi="Times New Roman"/>
          <w:b/>
          <w:szCs w:val="24"/>
        </w:rPr>
        <w:t>,</w:t>
      </w:r>
    </w:p>
    <w:p w:rsidR="00482B3B" w:rsidRPr="00682613" w:rsidRDefault="00482B3B" w:rsidP="00482B3B">
      <w:pPr>
        <w:pStyle w:val="Telobesedila"/>
        <w:rPr>
          <w:rFonts w:ascii="Times New Roman" w:hAnsi="Times New Roman"/>
          <w:szCs w:val="24"/>
        </w:rPr>
      </w:pPr>
      <w:r w:rsidRPr="00682613">
        <w:rPr>
          <w:rFonts w:ascii="Times New Roman" w:hAnsi="Times New Roman"/>
          <w:b/>
          <w:szCs w:val="24"/>
        </w:rPr>
        <w:t xml:space="preserve">                                                                                                         župan Mestne občine Ptuj</w:t>
      </w:r>
    </w:p>
    <w:p w:rsidR="00482B3B" w:rsidRPr="00682613" w:rsidRDefault="00482B3B" w:rsidP="00482B3B">
      <w:pPr>
        <w:pStyle w:val="Telobesedila"/>
        <w:rPr>
          <w:rFonts w:ascii="Times New Roman" w:hAnsi="Times New Roman"/>
          <w:szCs w:val="24"/>
        </w:rPr>
      </w:pPr>
    </w:p>
    <w:p w:rsidR="00482B3B" w:rsidRPr="00682613" w:rsidRDefault="00482B3B" w:rsidP="00482B3B">
      <w:pPr>
        <w:pStyle w:val="Telobesedila"/>
        <w:rPr>
          <w:rFonts w:ascii="Times New Roman" w:hAnsi="Times New Roman"/>
          <w:szCs w:val="24"/>
        </w:rPr>
      </w:pPr>
    </w:p>
    <w:p w:rsidR="00482B3B" w:rsidRPr="00682613" w:rsidRDefault="00482B3B" w:rsidP="00482B3B">
      <w:pPr>
        <w:pStyle w:val="Telobesedila"/>
        <w:rPr>
          <w:rFonts w:ascii="Times New Roman" w:hAnsi="Times New Roman"/>
          <w:szCs w:val="24"/>
        </w:rPr>
      </w:pPr>
    </w:p>
    <w:p w:rsidR="00482B3B" w:rsidRPr="00682613" w:rsidRDefault="00482B3B" w:rsidP="00482B3B">
      <w:pPr>
        <w:pStyle w:val="Telobesedila"/>
        <w:rPr>
          <w:rFonts w:ascii="Times New Roman" w:hAnsi="Times New Roman"/>
          <w:szCs w:val="24"/>
        </w:rPr>
      </w:pPr>
    </w:p>
    <w:p w:rsidR="00482B3B" w:rsidRPr="00682613" w:rsidRDefault="00482B3B" w:rsidP="00482B3B">
      <w:pPr>
        <w:pStyle w:val="Telobesedila"/>
        <w:rPr>
          <w:rFonts w:ascii="Times New Roman" w:hAnsi="Times New Roman"/>
          <w:szCs w:val="24"/>
        </w:rPr>
      </w:pPr>
    </w:p>
    <w:p w:rsidR="00482B3B" w:rsidRPr="00682613" w:rsidRDefault="00482B3B" w:rsidP="00482B3B">
      <w:pPr>
        <w:pStyle w:val="Telobesedila"/>
        <w:rPr>
          <w:rFonts w:ascii="Times New Roman" w:hAnsi="Times New Roman"/>
          <w:szCs w:val="24"/>
        </w:rPr>
      </w:pPr>
    </w:p>
    <w:p w:rsidR="00115E8F" w:rsidRPr="00682613" w:rsidRDefault="00115E8F" w:rsidP="00482B3B">
      <w:pPr>
        <w:pStyle w:val="Telobesedila"/>
        <w:rPr>
          <w:rFonts w:ascii="Times New Roman" w:hAnsi="Times New Roman"/>
          <w:szCs w:val="24"/>
        </w:rPr>
      </w:pPr>
    </w:p>
    <w:p w:rsidR="00115E8F" w:rsidRPr="00682613" w:rsidRDefault="00115E8F" w:rsidP="00482B3B">
      <w:pPr>
        <w:pStyle w:val="Telobesedila"/>
        <w:rPr>
          <w:rFonts w:ascii="Times New Roman" w:hAnsi="Times New Roman"/>
          <w:szCs w:val="24"/>
        </w:rPr>
      </w:pPr>
    </w:p>
    <w:p w:rsidR="00281F57" w:rsidRDefault="00281F57" w:rsidP="00482B3B">
      <w:pPr>
        <w:pStyle w:val="Telobesedila"/>
        <w:rPr>
          <w:rFonts w:ascii="Times New Roman" w:hAnsi="Times New Roman"/>
          <w:b/>
          <w:szCs w:val="24"/>
        </w:rPr>
      </w:pPr>
    </w:p>
    <w:p w:rsidR="00281F57" w:rsidRDefault="00281F57" w:rsidP="00482B3B">
      <w:pPr>
        <w:pStyle w:val="Telobesedila"/>
        <w:rPr>
          <w:rFonts w:ascii="Times New Roman" w:hAnsi="Times New Roman"/>
          <w:b/>
          <w:szCs w:val="24"/>
        </w:rPr>
      </w:pPr>
    </w:p>
    <w:p w:rsidR="00281F57" w:rsidRDefault="00281F57" w:rsidP="00482B3B">
      <w:pPr>
        <w:pStyle w:val="Telobesedila"/>
        <w:rPr>
          <w:rFonts w:ascii="Times New Roman" w:hAnsi="Times New Roman"/>
          <w:b/>
          <w:szCs w:val="24"/>
        </w:rPr>
      </w:pPr>
    </w:p>
    <w:p w:rsidR="00281F57" w:rsidRDefault="00281F57" w:rsidP="00482B3B">
      <w:pPr>
        <w:pStyle w:val="Telobesedila"/>
        <w:rPr>
          <w:rFonts w:ascii="Times New Roman" w:hAnsi="Times New Roman"/>
          <w:b/>
          <w:szCs w:val="24"/>
        </w:rPr>
      </w:pPr>
    </w:p>
    <w:p w:rsidR="00482B3B" w:rsidRPr="00682613" w:rsidRDefault="00482B3B" w:rsidP="00482B3B">
      <w:pPr>
        <w:pStyle w:val="Telobesedila"/>
        <w:rPr>
          <w:rFonts w:ascii="Times New Roman" w:hAnsi="Times New Roman"/>
          <w:b/>
          <w:szCs w:val="24"/>
        </w:rPr>
      </w:pPr>
      <w:r w:rsidRPr="00682613">
        <w:rPr>
          <w:rFonts w:ascii="Times New Roman" w:hAnsi="Times New Roman"/>
          <w:b/>
          <w:szCs w:val="24"/>
        </w:rPr>
        <w:t>Priloge:</w:t>
      </w:r>
    </w:p>
    <w:p w:rsidR="00482B3B" w:rsidRPr="00281F57" w:rsidRDefault="00F3760B" w:rsidP="00637DC5">
      <w:pPr>
        <w:numPr>
          <w:ilvl w:val="0"/>
          <w:numId w:val="1"/>
        </w:numPr>
        <w:overflowPunct w:val="0"/>
        <w:autoSpaceDE w:val="0"/>
        <w:autoSpaceDN w:val="0"/>
        <w:adjustRightInd w:val="0"/>
        <w:textAlignment w:val="baseline"/>
      </w:pPr>
      <w:r>
        <w:t>predlog</w:t>
      </w:r>
      <w:r w:rsidR="001F3535">
        <w:t xml:space="preserve"> </w:t>
      </w:r>
      <w:r w:rsidR="00281F57">
        <w:t>odloka z obrazložitvijo</w:t>
      </w:r>
      <w:r w:rsidR="0004740E">
        <w:t xml:space="preserve"> in prilogami</w:t>
      </w:r>
      <w:r w:rsidR="00281F57">
        <w:t>.</w:t>
      </w:r>
      <w:r w:rsidR="00482B3B" w:rsidRPr="00682613">
        <w:br w:type="page"/>
      </w:r>
      <w:r w:rsidR="00281F57">
        <w:lastRenderedPageBreak/>
        <w:tab/>
      </w:r>
      <w:r w:rsidR="00281F57">
        <w:tab/>
      </w:r>
      <w:r w:rsidR="00281F57">
        <w:tab/>
      </w:r>
      <w:r w:rsidR="00281F57">
        <w:tab/>
      </w:r>
      <w:r w:rsidR="00281F57">
        <w:tab/>
      </w:r>
      <w:r w:rsidR="00281F57">
        <w:tab/>
      </w:r>
      <w:r w:rsidR="00281F57">
        <w:tab/>
      </w:r>
      <w:r w:rsidR="00281F57">
        <w:tab/>
      </w:r>
      <w:r w:rsidR="00281F57">
        <w:tab/>
      </w:r>
      <w:r w:rsidR="00281F57">
        <w:tab/>
      </w:r>
      <w:r w:rsidR="00540AFD">
        <w:t xml:space="preserve">    </w:t>
      </w:r>
      <w:r>
        <w:rPr>
          <w:b/>
        </w:rPr>
        <w:t>PREDLOG</w:t>
      </w:r>
    </w:p>
    <w:p w:rsidR="00281F57" w:rsidRPr="00281F57" w:rsidRDefault="00281F57" w:rsidP="0004740E">
      <w:pPr>
        <w:ind w:left="7200"/>
        <w:jc w:val="right"/>
        <w:rPr>
          <w:rFonts w:ascii="Times-Bold" w:hAnsi="Times-Bold" w:cs="Times-Bold"/>
          <w:b/>
          <w:bCs/>
        </w:rPr>
      </w:pPr>
      <w:r>
        <w:rPr>
          <w:rFonts w:ascii="Times-Bold" w:hAnsi="Times-Bold" w:cs="Times-Bold"/>
          <w:b/>
          <w:bCs/>
        </w:rPr>
        <w:t xml:space="preserve">  </w:t>
      </w:r>
      <w:r w:rsidR="00325701">
        <w:rPr>
          <w:rFonts w:ascii="Times-Bold" w:hAnsi="Times-Bold" w:cs="Times-Bold"/>
          <w:b/>
          <w:bCs/>
        </w:rPr>
        <w:t xml:space="preserve"> </w:t>
      </w:r>
      <w:r w:rsidR="00540AFD">
        <w:rPr>
          <w:rFonts w:ascii="Times-Bold" w:hAnsi="Times-Bold" w:cs="Times-Bold"/>
          <w:b/>
          <w:bCs/>
        </w:rPr>
        <w:t>oktober</w:t>
      </w:r>
      <w:r>
        <w:rPr>
          <w:rFonts w:ascii="Times-Bold" w:hAnsi="Times-Bold" w:cs="Times-Bold"/>
          <w:b/>
          <w:bCs/>
        </w:rPr>
        <w:t xml:space="preserve"> 2015</w:t>
      </w:r>
    </w:p>
    <w:p w:rsidR="00281F57" w:rsidRPr="00390ACE" w:rsidRDefault="00281F57" w:rsidP="00281F57">
      <w:pPr>
        <w:jc w:val="both"/>
        <w:rPr>
          <w:rFonts w:ascii="Calibri" w:hAnsi="Calibri" w:cs="Arial"/>
        </w:rPr>
      </w:pPr>
    </w:p>
    <w:p w:rsidR="00281F57" w:rsidRPr="00281F57" w:rsidRDefault="00B824F6" w:rsidP="00281F57">
      <w:pPr>
        <w:jc w:val="both"/>
      </w:pPr>
      <w:r>
        <w:t>Na podlagi tretjega</w:t>
      </w:r>
      <w:r w:rsidR="00281F57" w:rsidRPr="00281F57">
        <w:t xml:space="preserve"> odstavka 74. člena Zakona o prostorskem načrtovanju (Uradni list RS, št. 33/07, </w:t>
      </w:r>
      <w:r w:rsidR="00281F57" w:rsidRPr="00281F57">
        <w:rPr>
          <w:rFonts w:eastAsia="ArialMT"/>
        </w:rPr>
        <w:t>70/08-ZVO-1B, 108/09-ZPNačrt-A, 80/10-ZUPUDPP (106/10-</w:t>
      </w:r>
      <w:proofErr w:type="spellStart"/>
      <w:r w:rsidR="00281F57" w:rsidRPr="00281F57">
        <w:rPr>
          <w:rFonts w:eastAsia="ArialMT"/>
        </w:rPr>
        <w:t>popr</w:t>
      </w:r>
      <w:proofErr w:type="spellEnd"/>
      <w:r w:rsidR="00281F57" w:rsidRPr="00281F57">
        <w:rPr>
          <w:rFonts w:eastAsia="ArialMT"/>
        </w:rPr>
        <w:t>.), 43/11</w:t>
      </w:r>
      <w:hyperlink r:id="rId9" w:tgtFrame="_blank" w:history="1"/>
      <w:r w:rsidR="00281F57" w:rsidRPr="00281F57">
        <w:t>-ZKZ-C, 57/12-ZPNačrt-B in 57/12-ZUPUDPP-A, 109/12, 76/14-odl. US in 14/15-ZUUJFO), Uredbe o vsebini programa opremljanja stavbnih zemljišč (Uradni list RS, št. 80/07), Pravilnika o merilih za odmero komunalnega prispevka (Uradni list RS, št. 95/07) in 12. člena Statuta Mestne občine Ptuj (Uradni vestnik Mestne občine Ptuj, št. 9/07) je Mestni svet Mestne občine Ptuj na sv</w:t>
      </w:r>
      <w:r w:rsidR="00540AFD">
        <w:t>oji ______ seji, dne ______,</w:t>
      </w:r>
      <w:r w:rsidR="005D0FDD">
        <w:t xml:space="preserve"> sprejel</w:t>
      </w:r>
    </w:p>
    <w:p w:rsidR="00281F57" w:rsidRPr="00281F57" w:rsidRDefault="00281F57" w:rsidP="00281F57">
      <w:pPr>
        <w:jc w:val="both"/>
      </w:pPr>
    </w:p>
    <w:p w:rsidR="00281F57" w:rsidRPr="00281F57" w:rsidRDefault="00281F57" w:rsidP="00281F57">
      <w:pPr>
        <w:jc w:val="center"/>
        <w:rPr>
          <w:b/>
          <w:kern w:val="16"/>
        </w:rPr>
      </w:pPr>
      <w:r w:rsidRPr="00281F57">
        <w:rPr>
          <w:b/>
          <w:kern w:val="16"/>
        </w:rPr>
        <w:t xml:space="preserve">O D L O K </w:t>
      </w:r>
    </w:p>
    <w:p w:rsidR="00281F57" w:rsidRDefault="00281F57" w:rsidP="00281F57">
      <w:pPr>
        <w:jc w:val="center"/>
        <w:rPr>
          <w:b/>
        </w:rPr>
      </w:pPr>
      <w:r w:rsidRPr="00281F57">
        <w:rPr>
          <w:b/>
        </w:rPr>
        <w:t xml:space="preserve">o programu opremljanja in merilih za odmero komunalnega prispevka </w:t>
      </w:r>
    </w:p>
    <w:p w:rsidR="00281F57" w:rsidRPr="00281F57" w:rsidRDefault="00281F57" w:rsidP="00281F57">
      <w:pPr>
        <w:jc w:val="center"/>
        <w:rPr>
          <w:b/>
        </w:rPr>
      </w:pPr>
      <w:r w:rsidRPr="00281F57">
        <w:rPr>
          <w:b/>
        </w:rPr>
        <w:t>za območje Mestne občine Ptuj</w:t>
      </w:r>
    </w:p>
    <w:p w:rsidR="00281F57" w:rsidRPr="00281F57" w:rsidRDefault="00281F57" w:rsidP="00281F57">
      <w:pPr>
        <w:jc w:val="center"/>
        <w:rPr>
          <w:b/>
        </w:rPr>
      </w:pPr>
    </w:p>
    <w:p w:rsidR="00281F57" w:rsidRPr="00281F57" w:rsidRDefault="00281F57" w:rsidP="00281F57">
      <w:pPr>
        <w:jc w:val="center"/>
        <w:rPr>
          <w:b/>
        </w:rPr>
      </w:pPr>
    </w:p>
    <w:p w:rsidR="00281F57" w:rsidRPr="00281F57" w:rsidRDefault="00281F57" w:rsidP="00281F57">
      <w:pPr>
        <w:jc w:val="center"/>
        <w:rPr>
          <w:b/>
        </w:rPr>
      </w:pPr>
      <w:r w:rsidRPr="00281F57">
        <w:rPr>
          <w:b/>
        </w:rPr>
        <w:t>I. SPLOŠNI DOLOČBI</w:t>
      </w:r>
    </w:p>
    <w:p w:rsidR="00281F57" w:rsidRPr="00281F57" w:rsidRDefault="00281F57" w:rsidP="00281F57">
      <w:pPr>
        <w:jc w:val="center"/>
      </w:pPr>
    </w:p>
    <w:p w:rsidR="00281F57" w:rsidRPr="00281F57" w:rsidRDefault="00281F57" w:rsidP="00281F57">
      <w:pPr>
        <w:jc w:val="center"/>
        <w:rPr>
          <w:b/>
        </w:rPr>
      </w:pPr>
      <w:r w:rsidRPr="00281F57">
        <w:rPr>
          <w:b/>
        </w:rPr>
        <w:t>1. člen</w:t>
      </w:r>
    </w:p>
    <w:p w:rsidR="00281F57" w:rsidRPr="00281F57" w:rsidRDefault="00281F57" w:rsidP="00281F57">
      <w:pPr>
        <w:jc w:val="center"/>
        <w:rPr>
          <w:b/>
        </w:rPr>
      </w:pPr>
      <w:r w:rsidRPr="00281F57">
        <w:rPr>
          <w:b/>
        </w:rPr>
        <w:t>(predmet odloka)</w:t>
      </w:r>
    </w:p>
    <w:p w:rsidR="00281F57" w:rsidRPr="00281F57" w:rsidRDefault="00281F57" w:rsidP="00281F57">
      <w:pPr>
        <w:jc w:val="center"/>
      </w:pPr>
    </w:p>
    <w:p w:rsidR="00281F57" w:rsidRPr="00281F57" w:rsidRDefault="00281F57" w:rsidP="00281F57">
      <w:pPr>
        <w:jc w:val="both"/>
      </w:pPr>
      <w:r w:rsidRPr="00281F57">
        <w:t>(1) S tem odlokom se sprejme program opremljanja stavbnih zemljišč (v nadaljevanju: program opremljanja) in podlage za odmero komunalnega prispevka za območje Mestne občine Ptuj, ki so določene v programu opremljanja. Program opremljanja je na vpogled na sedežu Mestne občine Ptuj.</w:t>
      </w:r>
    </w:p>
    <w:p w:rsidR="00281F57" w:rsidRPr="00281F57" w:rsidRDefault="00281F57" w:rsidP="00281F57">
      <w:pPr>
        <w:jc w:val="both"/>
      </w:pPr>
    </w:p>
    <w:p w:rsidR="00281F57" w:rsidRPr="00281F57" w:rsidRDefault="00281F57" w:rsidP="00281F57">
      <w:pPr>
        <w:jc w:val="both"/>
      </w:pPr>
      <w:r w:rsidRPr="00281F57">
        <w:t xml:space="preserve">(2) Program opremljanja vsebuje naslednje podlage za odmero komunalnega prispevka: </w:t>
      </w:r>
    </w:p>
    <w:p w:rsidR="00281F57" w:rsidRPr="00281F57" w:rsidRDefault="00281F57" w:rsidP="00281F57">
      <w:pPr>
        <w:jc w:val="both"/>
      </w:pPr>
    </w:p>
    <w:p w:rsidR="00281F57" w:rsidRPr="00281F57" w:rsidRDefault="00281F57" w:rsidP="00281F57">
      <w:pPr>
        <w:numPr>
          <w:ilvl w:val="0"/>
          <w:numId w:val="21"/>
        </w:numPr>
        <w:jc w:val="both"/>
      </w:pPr>
      <w:r w:rsidRPr="00281F57">
        <w:t>obračunska območja posameznih vrst komunalne opreme,</w:t>
      </w:r>
    </w:p>
    <w:p w:rsidR="00281F57" w:rsidRPr="00281F57" w:rsidRDefault="00281F57" w:rsidP="00281F57">
      <w:pPr>
        <w:numPr>
          <w:ilvl w:val="0"/>
          <w:numId w:val="21"/>
        </w:numPr>
        <w:jc w:val="both"/>
      </w:pPr>
      <w:r w:rsidRPr="00281F57">
        <w:t>izračunane skupne in obračunske stroške po posameznih vrstah komunalne opreme in po obračunskih območjih,</w:t>
      </w:r>
    </w:p>
    <w:p w:rsidR="00281F57" w:rsidRPr="00281F57" w:rsidRDefault="00281F57" w:rsidP="00281F57">
      <w:pPr>
        <w:numPr>
          <w:ilvl w:val="0"/>
          <w:numId w:val="21"/>
        </w:numPr>
        <w:jc w:val="both"/>
      </w:pPr>
      <w:r w:rsidRPr="00281F57">
        <w:t>preračun obračunskih stroškov na enoto mere parcele in na enoto mere neto tlorisne površine objekta po posameznih vrstah opreme in obračunskih območjih,</w:t>
      </w:r>
    </w:p>
    <w:p w:rsidR="00281F57" w:rsidRPr="00281F57" w:rsidRDefault="00281F57" w:rsidP="00281F57">
      <w:pPr>
        <w:numPr>
          <w:ilvl w:val="0"/>
          <w:numId w:val="21"/>
        </w:numPr>
        <w:jc w:val="both"/>
      </w:pPr>
      <w:r w:rsidRPr="00281F57">
        <w:t>podrobnejša merila za odmero komunalnega prispevka, kot so: razmerje med deležem  parcele in deležem neto tlorisne površine, faktor dejavnosti objekta,</w:t>
      </w:r>
    </w:p>
    <w:p w:rsidR="00281F57" w:rsidRPr="00281F57" w:rsidRDefault="00281F57" w:rsidP="00281F57">
      <w:pPr>
        <w:numPr>
          <w:ilvl w:val="0"/>
          <w:numId w:val="21"/>
        </w:numPr>
        <w:jc w:val="both"/>
      </w:pPr>
      <w:r w:rsidRPr="00281F57">
        <w:t>olajšave in oprostitve za določene kategorije objektov,</w:t>
      </w:r>
    </w:p>
    <w:p w:rsidR="00281F57" w:rsidRPr="00281F57" w:rsidRDefault="00281F57" w:rsidP="00281F57">
      <w:pPr>
        <w:numPr>
          <w:ilvl w:val="0"/>
          <w:numId w:val="21"/>
        </w:numPr>
        <w:jc w:val="both"/>
      </w:pPr>
      <w:r w:rsidRPr="00281F57">
        <w:t>način plačila komunalnega prispevka.</w:t>
      </w:r>
    </w:p>
    <w:p w:rsidR="00281F57" w:rsidRPr="00281F57" w:rsidRDefault="00281F57" w:rsidP="00281F57">
      <w:pPr>
        <w:jc w:val="both"/>
      </w:pPr>
    </w:p>
    <w:p w:rsidR="00281F57" w:rsidRPr="00281F57" w:rsidRDefault="00281F57" w:rsidP="00281F57">
      <w:pPr>
        <w:jc w:val="center"/>
        <w:rPr>
          <w:b/>
        </w:rPr>
      </w:pPr>
      <w:r w:rsidRPr="00281F57">
        <w:rPr>
          <w:b/>
        </w:rPr>
        <w:t>2. člen</w:t>
      </w:r>
    </w:p>
    <w:p w:rsidR="00281F57" w:rsidRPr="00281F57" w:rsidRDefault="00281F57" w:rsidP="00281F57">
      <w:pPr>
        <w:jc w:val="center"/>
        <w:rPr>
          <w:b/>
        </w:rPr>
      </w:pPr>
      <w:r w:rsidRPr="00281F57">
        <w:rPr>
          <w:b/>
        </w:rPr>
        <w:t>(predmet komunalnega prispevka)</w:t>
      </w:r>
    </w:p>
    <w:p w:rsidR="00281F57" w:rsidRPr="00281F57" w:rsidRDefault="00281F57" w:rsidP="00281F57">
      <w:pPr>
        <w:jc w:val="center"/>
      </w:pPr>
    </w:p>
    <w:p w:rsidR="00281F57" w:rsidRPr="00281F57" w:rsidRDefault="00281F57" w:rsidP="00281F57">
      <w:pPr>
        <w:jc w:val="both"/>
      </w:pPr>
      <w:r w:rsidRPr="00281F57">
        <w:t>Predmet obračuna komunalnega prispevka so predvideni in obstoječi objekti na območju Mestne občine Ptuj, ki:</w:t>
      </w:r>
    </w:p>
    <w:p w:rsidR="00281F57" w:rsidRPr="00281F57" w:rsidRDefault="00281F57" w:rsidP="00281F57">
      <w:pPr>
        <w:jc w:val="both"/>
      </w:pPr>
    </w:p>
    <w:p w:rsidR="00281F57" w:rsidRPr="00281F57" w:rsidRDefault="00281F57" w:rsidP="00281F57">
      <w:pPr>
        <w:numPr>
          <w:ilvl w:val="0"/>
          <w:numId w:val="21"/>
        </w:numPr>
        <w:jc w:val="both"/>
      </w:pPr>
      <w:r w:rsidRPr="00281F57">
        <w:t>se na novo priključujejo na komunalno opremo, ki je predmet obračuna komunalnega prispevka,</w:t>
      </w:r>
    </w:p>
    <w:p w:rsidR="00281F57" w:rsidRPr="00281F57" w:rsidRDefault="00281F57" w:rsidP="00281F57">
      <w:pPr>
        <w:numPr>
          <w:ilvl w:val="0"/>
          <w:numId w:val="21"/>
        </w:numPr>
        <w:jc w:val="both"/>
      </w:pPr>
      <w:r w:rsidRPr="00281F57">
        <w:t>se jim povečuje neto tlorisna površina,</w:t>
      </w:r>
    </w:p>
    <w:p w:rsidR="00281F57" w:rsidRPr="00281F57" w:rsidRDefault="00281F57" w:rsidP="00281F57">
      <w:pPr>
        <w:numPr>
          <w:ilvl w:val="0"/>
          <w:numId w:val="21"/>
        </w:numPr>
        <w:jc w:val="both"/>
      </w:pPr>
      <w:r w:rsidRPr="00281F57">
        <w:t>se jim spreminja namembnost.</w:t>
      </w:r>
    </w:p>
    <w:p w:rsidR="00281F57" w:rsidRPr="00281F57" w:rsidRDefault="00281F57" w:rsidP="00281F57">
      <w:pPr>
        <w:jc w:val="both"/>
      </w:pPr>
    </w:p>
    <w:p w:rsidR="00281F57" w:rsidRPr="00281F57" w:rsidRDefault="00281F57" w:rsidP="00281F57">
      <w:pPr>
        <w:jc w:val="both"/>
      </w:pPr>
    </w:p>
    <w:p w:rsidR="00281F57" w:rsidRPr="00281F57" w:rsidRDefault="00281F57" w:rsidP="00281F57">
      <w:pPr>
        <w:jc w:val="center"/>
        <w:rPr>
          <w:b/>
        </w:rPr>
      </w:pPr>
      <w:r w:rsidRPr="00281F57">
        <w:rPr>
          <w:b/>
        </w:rPr>
        <w:t>II. MERILA IN PODLAGE ZA ODMERO KOMUNALNEGA PRISPEVKA</w:t>
      </w:r>
    </w:p>
    <w:p w:rsidR="00281F57" w:rsidRPr="00281F57" w:rsidRDefault="00281F57" w:rsidP="00281F57">
      <w:pPr>
        <w:jc w:val="center"/>
        <w:rPr>
          <w:b/>
        </w:rPr>
      </w:pPr>
    </w:p>
    <w:p w:rsidR="00281F57" w:rsidRPr="00281F57" w:rsidRDefault="00281F57" w:rsidP="00281F57">
      <w:pPr>
        <w:jc w:val="center"/>
        <w:rPr>
          <w:b/>
        </w:rPr>
      </w:pPr>
      <w:r w:rsidRPr="00281F57">
        <w:rPr>
          <w:b/>
        </w:rPr>
        <w:t>3. člen</w:t>
      </w:r>
    </w:p>
    <w:p w:rsidR="00281F57" w:rsidRPr="00281F57" w:rsidRDefault="00281F57" w:rsidP="00281F57">
      <w:pPr>
        <w:jc w:val="center"/>
        <w:rPr>
          <w:b/>
        </w:rPr>
      </w:pPr>
      <w:r w:rsidRPr="00281F57">
        <w:rPr>
          <w:b/>
        </w:rPr>
        <w:t>(opredelitev pojmov)</w:t>
      </w:r>
    </w:p>
    <w:p w:rsidR="00281F57" w:rsidRPr="00281F57" w:rsidRDefault="00281F57" w:rsidP="00281F57">
      <w:pPr>
        <w:jc w:val="center"/>
      </w:pPr>
    </w:p>
    <w:p w:rsidR="00281F57" w:rsidRPr="00281F57" w:rsidRDefault="00281F57" w:rsidP="00281F57">
      <w:pPr>
        <w:jc w:val="both"/>
      </w:pPr>
      <w:r w:rsidRPr="00281F57">
        <w:t>V tem odloku uporabljeni pojmi imajo naslednji pomen:</w:t>
      </w:r>
    </w:p>
    <w:p w:rsidR="00281F57" w:rsidRPr="00281F57" w:rsidRDefault="00281F57" w:rsidP="00281F57">
      <w:pPr>
        <w:jc w:val="both"/>
      </w:pPr>
    </w:p>
    <w:p w:rsidR="00281F57" w:rsidRPr="00281F57" w:rsidRDefault="00281F57" w:rsidP="00281F57">
      <w:pPr>
        <w:jc w:val="both"/>
      </w:pPr>
      <w:r w:rsidRPr="00281F57">
        <w:t>a) Komunalna oprema je po tem odloku:</w:t>
      </w:r>
    </w:p>
    <w:p w:rsidR="00281F57" w:rsidRPr="00281F57" w:rsidRDefault="00281F57" w:rsidP="00281F57">
      <w:pPr>
        <w:numPr>
          <w:ilvl w:val="0"/>
          <w:numId w:val="21"/>
        </w:numPr>
        <w:jc w:val="both"/>
      </w:pPr>
      <w:r w:rsidRPr="00281F57">
        <w:t>objekti in omrežja infrastrukture za izvajanje obveznih lokalnih gospodarskih javnih služb varstva okolja po predpisih, ki urejajo varstvo okolja</w:t>
      </w:r>
    </w:p>
    <w:p w:rsidR="00281F57" w:rsidRPr="00281F57" w:rsidRDefault="00281F57" w:rsidP="00281F57">
      <w:pPr>
        <w:numPr>
          <w:ilvl w:val="0"/>
          <w:numId w:val="21"/>
        </w:numPr>
        <w:jc w:val="both"/>
      </w:pPr>
      <w:r w:rsidRPr="00281F57">
        <w:t>objekti grajenega javnega dobra, in sicer: občinske ceste, javna parkirišča in druge javne površine.</w:t>
      </w:r>
    </w:p>
    <w:p w:rsidR="00281F57" w:rsidRPr="00281F57" w:rsidRDefault="00281F57" w:rsidP="00281F57">
      <w:pPr>
        <w:jc w:val="both"/>
      </w:pPr>
    </w:p>
    <w:p w:rsidR="00281F57" w:rsidRPr="00281F57" w:rsidRDefault="00281F57" w:rsidP="00281F57">
      <w:pPr>
        <w:jc w:val="both"/>
      </w:pPr>
      <w:r w:rsidRPr="00281F57">
        <w:t xml:space="preserve">b) Komunalni prispevek je plačilo dela stroškov gradnje komunalne opreme, ki ga zavezanec plača </w:t>
      </w:r>
      <w:r w:rsidRPr="00281F57">
        <w:rPr>
          <w:color w:val="000000" w:themeColor="text1"/>
        </w:rPr>
        <w:t>občini in je namenski vir financiranja gradnje komunalne opreme.</w:t>
      </w:r>
      <w:r w:rsidRPr="00281F57">
        <w:t xml:space="preserve"> </w:t>
      </w:r>
    </w:p>
    <w:p w:rsidR="00281F57" w:rsidRPr="00281F57" w:rsidRDefault="00281F57" w:rsidP="00281F57">
      <w:pPr>
        <w:jc w:val="both"/>
      </w:pPr>
    </w:p>
    <w:p w:rsidR="00281F57" w:rsidRPr="00281F57" w:rsidRDefault="00281F57" w:rsidP="00281F57">
      <w:pPr>
        <w:jc w:val="both"/>
      </w:pPr>
      <w:r w:rsidRPr="00281F57">
        <w:t>c) Zavezanec za plačilo komunalnega prispevka je investitor oziroma lastnik objekta, ki objekt na novo priključuje na komunalno opremo, ki povečuje neto tlorisno površino objekta ali spreminja njegovo namembnost.</w:t>
      </w:r>
    </w:p>
    <w:p w:rsidR="00281F57" w:rsidRPr="00281F57" w:rsidRDefault="00281F57" w:rsidP="00281F57">
      <w:pPr>
        <w:jc w:val="both"/>
      </w:pPr>
    </w:p>
    <w:p w:rsidR="00281F57" w:rsidRPr="00281F57" w:rsidRDefault="00281F57" w:rsidP="00281F57">
      <w:pPr>
        <w:jc w:val="both"/>
      </w:pPr>
      <w:r w:rsidRPr="00281F57">
        <w:t xml:space="preserve">d) Obračunsko območje posamezne vrste komunalne opreme je območje, na katerem se zagotavlja priključevanje na to vrsto komunalne opreme oziroma območje njene uporabe. </w:t>
      </w:r>
    </w:p>
    <w:p w:rsidR="00281F57" w:rsidRPr="00281F57" w:rsidRDefault="00281F57" w:rsidP="00281F57">
      <w:pPr>
        <w:jc w:val="both"/>
      </w:pPr>
    </w:p>
    <w:p w:rsidR="00281F57" w:rsidRPr="00281F57" w:rsidRDefault="00281F57" w:rsidP="00281F57">
      <w:pPr>
        <w:jc w:val="both"/>
      </w:pPr>
      <w:r w:rsidRPr="00281F57">
        <w:t>e) Obračunski stroški komunalne opreme so tisti del skupnih stroškov komunalne opreme, ki se financirajo iz sredstev zbranih s plačili komunalnih prispevkov in bodo bremenili določljive zavezance.</w:t>
      </w:r>
    </w:p>
    <w:p w:rsidR="00281F57" w:rsidRPr="00281F57" w:rsidRDefault="00281F57" w:rsidP="00281F57">
      <w:pPr>
        <w:jc w:val="both"/>
      </w:pPr>
    </w:p>
    <w:p w:rsidR="00281F57" w:rsidRPr="00281F57" w:rsidRDefault="00281F57" w:rsidP="00281F57">
      <w:pPr>
        <w:jc w:val="both"/>
      </w:pPr>
      <w:r w:rsidRPr="00281F57">
        <w:t>f) Za parcelo po tem odloku se šteje zemljiška parcela ali njen del, na kateri je možno graditi objekt oziroma je objekt že zgrajen, in za katerega mora zavezanec plačati komunalni prispevek. Za parcelo po tem odloku se šteje tudi gradbena parcela iz veljavnih prostorskih aktov.</w:t>
      </w:r>
    </w:p>
    <w:p w:rsidR="00281F57" w:rsidRPr="00281F57" w:rsidRDefault="00281F57" w:rsidP="00281F57">
      <w:pPr>
        <w:jc w:val="both"/>
      </w:pPr>
    </w:p>
    <w:p w:rsidR="00281F57" w:rsidRPr="00281F57" w:rsidRDefault="00281F57" w:rsidP="00281F57">
      <w:pPr>
        <w:jc w:val="both"/>
      </w:pPr>
      <w:r w:rsidRPr="00281F57">
        <w:t>g) Neto tlorisna površina objekta je seštevek vseh tlorisnih površin objekta in se izračuna po SIST ISO 9836. Kot vsota neto tlorisnih površin na obračunskem območju  se štejejo neto tlorisne površine vseh obstoječih objektov ter dopustne neto tlorisne površine na še nezazidanih parcelah. Te se za predvidene objekte izračunajo na podlagi prostorskega akta občine.</w:t>
      </w:r>
    </w:p>
    <w:p w:rsidR="00281F57" w:rsidRPr="00281F57" w:rsidRDefault="00281F57" w:rsidP="00281F57">
      <w:pPr>
        <w:jc w:val="both"/>
      </w:pPr>
    </w:p>
    <w:p w:rsidR="00281F57" w:rsidRPr="00281F57" w:rsidRDefault="00281F57" w:rsidP="00281F57">
      <w:pPr>
        <w:autoSpaceDE w:val="0"/>
        <w:autoSpaceDN w:val="0"/>
        <w:adjustRightInd w:val="0"/>
        <w:jc w:val="both"/>
      </w:pPr>
      <w:r w:rsidRPr="00281F57">
        <w:t>h) Stavbno zemljišče je zemljiška parcela oziroma več zemljiških parcel ali njihovih delov na katerih je zgrajen objekt, oziroma zemljiška parcela, ki je z občinskim prostorskim načrtom namenjena za graditev objektov.</w:t>
      </w:r>
    </w:p>
    <w:p w:rsidR="00281F57" w:rsidRPr="00281F57" w:rsidRDefault="00281F57" w:rsidP="00281F57">
      <w:pPr>
        <w:autoSpaceDE w:val="0"/>
        <w:autoSpaceDN w:val="0"/>
        <w:adjustRightInd w:val="0"/>
        <w:jc w:val="both"/>
      </w:pPr>
    </w:p>
    <w:p w:rsidR="00281F57" w:rsidRPr="00281F57" w:rsidRDefault="00281F57" w:rsidP="00281F57">
      <w:pPr>
        <w:jc w:val="both"/>
      </w:pPr>
      <w:r w:rsidRPr="00281F57">
        <w:t>i) Stavbišče objekta je navpična projekcija preseka stavbe z zemljiščem na ravnino.</w:t>
      </w:r>
    </w:p>
    <w:p w:rsidR="00281F57" w:rsidRPr="00281F57" w:rsidRDefault="00281F57" w:rsidP="00281F57">
      <w:pPr>
        <w:jc w:val="center"/>
      </w:pPr>
    </w:p>
    <w:p w:rsidR="00281F57" w:rsidRPr="00281F57" w:rsidRDefault="00281F57" w:rsidP="00281F57">
      <w:pPr>
        <w:jc w:val="center"/>
        <w:rPr>
          <w:b/>
        </w:rPr>
      </w:pPr>
      <w:r w:rsidRPr="00281F57">
        <w:rPr>
          <w:b/>
        </w:rPr>
        <w:t>4. člen</w:t>
      </w:r>
    </w:p>
    <w:p w:rsidR="00281F57" w:rsidRPr="00281F57" w:rsidRDefault="00281F57" w:rsidP="00281F57">
      <w:pPr>
        <w:jc w:val="center"/>
        <w:rPr>
          <w:b/>
        </w:rPr>
      </w:pPr>
      <w:r w:rsidRPr="00281F57">
        <w:rPr>
          <w:b/>
        </w:rPr>
        <w:t>(obračunsko območje)</w:t>
      </w:r>
    </w:p>
    <w:p w:rsidR="00281F57" w:rsidRPr="00281F57" w:rsidRDefault="00281F57" w:rsidP="00281F57"/>
    <w:p w:rsidR="00281F57" w:rsidRPr="00281F57" w:rsidRDefault="00281F57" w:rsidP="00281F57">
      <w:pPr>
        <w:jc w:val="both"/>
      </w:pPr>
      <w:r w:rsidRPr="00281F57">
        <w:t xml:space="preserve">(1) Območja opremljanja s posamezno komunalno opremo so prikazana v kartografskem delu programa opremljanja. </w:t>
      </w:r>
    </w:p>
    <w:p w:rsidR="00281F57" w:rsidRPr="00281F57" w:rsidRDefault="00281F57" w:rsidP="00281F57">
      <w:pPr>
        <w:jc w:val="both"/>
      </w:pPr>
    </w:p>
    <w:p w:rsidR="00281F57" w:rsidRPr="00281F57" w:rsidRDefault="00281F57" w:rsidP="00281F57">
      <w:pPr>
        <w:jc w:val="both"/>
      </w:pPr>
      <w:r w:rsidRPr="00281F57">
        <w:lastRenderedPageBreak/>
        <w:t xml:space="preserve">Karta 1 – Vodovod - Pregledna karta obračunskega območja; </w:t>
      </w:r>
    </w:p>
    <w:p w:rsidR="00281F57" w:rsidRPr="00281F57" w:rsidRDefault="00281F57" w:rsidP="00281F57">
      <w:pPr>
        <w:jc w:val="both"/>
      </w:pPr>
      <w:r w:rsidRPr="00281F57">
        <w:t xml:space="preserve">Karta 2 – Kanalizacija - Pregledna karta obračunskega območja; </w:t>
      </w:r>
    </w:p>
    <w:p w:rsidR="00281F57" w:rsidRPr="00281F57" w:rsidRDefault="00281F57" w:rsidP="00281F57">
      <w:pPr>
        <w:jc w:val="both"/>
      </w:pPr>
      <w:r w:rsidRPr="00281F57">
        <w:t>Karta 3 – Ceste - Pregledna karta obračunskih območij;</w:t>
      </w:r>
    </w:p>
    <w:p w:rsidR="00281F57" w:rsidRPr="00281F57" w:rsidRDefault="00281F57" w:rsidP="00281F57">
      <w:pPr>
        <w:jc w:val="both"/>
      </w:pPr>
      <w:r w:rsidRPr="00281F57">
        <w:t>Karta 4 – Javne površine - Pregledna karta obračunskega območja;</w:t>
      </w:r>
    </w:p>
    <w:p w:rsidR="00281F57" w:rsidRPr="00281F57" w:rsidRDefault="00281F57" w:rsidP="00281F57">
      <w:pPr>
        <w:jc w:val="both"/>
      </w:pPr>
    </w:p>
    <w:p w:rsidR="00281F57" w:rsidRPr="00281F57" w:rsidRDefault="00281F57" w:rsidP="00281F57">
      <w:pPr>
        <w:jc w:val="both"/>
      </w:pPr>
      <w:r w:rsidRPr="00281F57">
        <w:t xml:space="preserve">(2) Za vodovod, kanalizacijo in javne površine obstaja po eno obračunsko območje za vsako posamezno vrsto komunalne opreme. </w:t>
      </w:r>
    </w:p>
    <w:p w:rsidR="00281F57" w:rsidRPr="00281F57" w:rsidRDefault="00281F57" w:rsidP="00281F57">
      <w:pPr>
        <w:jc w:val="both"/>
      </w:pPr>
    </w:p>
    <w:p w:rsidR="00281F57" w:rsidRPr="00281F57" w:rsidRDefault="00281F57" w:rsidP="00281F57">
      <w:pPr>
        <w:jc w:val="both"/>
      </w:pPr>
      <w:r w:rsidRPr="00281F57">
        <w:t>Pri cestah so tri obračunska območja. Ta so sledeča:</w:t>
      </w:r>
    </w:p>
    <w:p w:rsidR="00281F57" w:rsidRPr="00281F57" w:rsidRDefault="00281F57" w:rsidP="00281F57">
      <w:pPr>
        <w:numPr>
          <w:ilvl w:val="0"/>
          <w:numId w:val="21"/>
        </w:numPr>
        <w:jc w:val="both"/>
      </w:pPr>
      <w:r w:rsidRPr="00281F57">
        <w:t>prvo obračunsko območje obsega območje starega mestnega jedra,</w:t>
      </w:r>
    </w:p>
    <w:p w:rsidR="00281F57" w:rsidRPr="00281F57" w:rsidRDefault="00281F57" w:rsidP="00281F57">
      <w:pPr>
        <w:numPr>
          <w:ilvl w:val="0"/>
          <w:numId w:val="21"/>
        </w:numPr>
        <w:jc w:val="both"/>
      </w:pPr>
      <w:r w:rsidRPr="00281F57">
        <w:t>drugo obračunsko območje obsega območje naselja Ptuj, razen starega mestnega jedra,</w:t>
      </w:r>
    </w:p>
    <w:p w:rsidR="00281F57" w:rsidRPr="00281F57" w:rsidRDefault="00281F57" w:rsidP="00281F57">
      <w:pPr>
        <w:numPr>
          <w:ilvl w:val="0"/>
          <w:numId w:val="21"/>
        </w:numPr>
        <w:jc w:val="both"/>
      </w:pPr>
      <w:r w:rsidRPr="00281F57">
        <w:t>tretje obračunsko območje obsega območja preostalih naselij (Grajena, Grajenščak, Kicar, Krčevina pri Vurbergu, Mestni Vrh, Pacinje, Podvinci, Spodnji Velovlek in Spuhlja).</w:t>
      </w:r>
    </w:p>
    <w:p w:rsidR="00281F57" w:rsidRPr="00281F57" w:rsidRDefault="00281F57" w:rsidP="00281F57">
      <w:pPr>
        <w:jc w:val="both"/>
      </w:pPr>
    </w:p>
    <w:p w:rsidR="00281F57" w:rsidRPr="00281F57" w:rsidRDefault="00281F57" w:rsidP="00281F57">
      <w:pPr>
        <w:jc w:val="both"/>
      </w:pPr>
      <w:r w:rsidRPr="00281F57">
        <w:t>Podrobnosti so razvidne iz kartografskega dela programa opremljanja.</w:t>
      </w:r>
    </w:p>
    <w:p w:rsidR="00281F57" w:rsidRPr="00281F57" w:rsidRDefault="00281F57" w:rsidP="00281F57">
      <w:pPr>
        <w:jc w:val="both"/>
      </w:pPr>
    </w:p>
    <w:p w:rsidR="00281F57" w:rsidRPr="00281F57" w:rsidRDefault="00281F57" w:rsidP="00281F57">
      <w:pPr>
        <w:jc w:val="both"/>
      </w:pPr>
      <w:r w:rsidRPr="00281F57">
        <w:t xml:space="preserve">(3) Če je ob odmeri komunalnega prispevka ugotovljeno, da objekt, ki je predmet odmere, nima možnosti priključka na posamezno komunalno opremo, ki je s programom opremljanja določena za območje, na katerem objekt leži, ali le-te ni mogoče uporabljati, se komunalni prispevek odmeri glede na dejansko opremljenost objekta s komunalno opremo. </w:t>
      </w:r>
    </w:p>
    <w:p w:rsidR="00281F57" w:rsidRPr="00281F57" w:rsidRDefault="00281F57" w:rsidP="00281F57">
      <w:pPr>
        <w:jc w:val="both"/>
      </w:pPr>
    </w:p>
    <w:p w:rsidR="00281F57" w:rsidRPr="00281F57" w:rsidRDefault="00281F57" w:rsidP="00281F57">
      <w:pPr>
        <w:jc w:val="both"/>
      </w:pPr>
      <w:r w:rsidRPr="00281F57">
        <w:t>(4) Če je ob odmeri komunalnega prispevka ugotovljeno, da objekt, ki je predmet odmere, ima možnost priključevanja na posamezno komunalno opremo, ki pa s programom zanj ni določena, se komunalni prispevek odmeri glede na dejansko opremljenost objekta s komunalno opremo.</w:t>
      </w:r>
    </w:p>
    <w:p w:rsidR="00281F57" w:rsidRPr="00281F57" w:rsidRDefault="00281F57" w:rsidP="00281F57">
      <w:pPr>
        <w:jc w:val="center"/>
      </w:pPr>
    </w:p>
    <w:p w:rsidR="00281F57" w:rsidRPr="00281F57" w:rsidRDefault="00281F57" w:rsidP="00281F57">
      <w:pPr>
        <w:jc w:val="center"/>
        <w:rPr>
          <w:b/>
        </w:rPr>
      </w:pPr>
      <w:r w:rsidRPr="00281F57">
        <w:rPr>
          <w:b/>
        </w:rPr>
        <w:t>5. člen</w:t>
      </w:r>
    </w:p>
    <w:p w:rsidR="00281F57" w:rsidRPr="00281F57" w:rsidRDefault="00281F57" w:rsidP="00281F57">
      <w:pPr>
        <w:jc w:val="center"/>
        <w:rPr>
          <w:b/>
        </w:rPr>
      </w:pPr>
      <w:r w:rsidRPr="00281F57">
        <w:rPr>
          <w:b/>
        </w:rPr>
        <w:t>(merila za odmero komunalnega prispevka)</w:t>
      </w:r>
    </w:p>
    <w:p w:rsidR="00281F57" w:rsidRPr="00281F57" w:rsidRDefault="00281F57" w:rsidP="00281F57">
      <w:pPr>
        <w:jc w:val="center"/>
      </w:pPr>
    </w:p>
    <w:p w:rsidR="00281F57" w:rsidRPr="00281F57" w:rsidRDefault="00281F57" w:rsidP="00281F57">
      <w:pPr>
        <w:jc w:val="both"/>
      </w:pPr>
      <w:r w:rsidRPr="00281F57">
        <w:t>Komunalni prispevek se odmeri z upoštevanjem naslednjih meril:</w:t>
      </w:r>
    </w:p>
    <w:p w:rsidR="00281F57" w:rsidRPr="00281F57" w:rsidRDefault="00281F57" w:rsidP="00281F57">
      <w:pPr>
        <w:jc w:val="both"/>
      </w:pPr>
    </w:p>
    <w:p w:rsidR="00281F57" w:rsidRPr="00281F57" w:rsidRDefault="00281F57" w:rsidP="00281F57">
      <w:pPr>
        <w:numPr>
          <w:ilvl w:val="0"/>
          <w:numId w:val="21"/>
        </w:numPr>
        <w:jc w:val="both"/>
      </w:pPr>
      <w:r w:rsidRPr="00281F57">
        <w:t>površina stavbnega zemljišča,</w:t>
      </w:r>
    </w:p>
    <w:p w:rsidR="00281F57" w:rsidRPr="00281F57" w:rsidRDefault="00281F57" w:rsidP="00281F57">
      <w:pPr>
        <w:numPr>
          <w:ilvl w:val="0"/>
          <w:numId w:val="21"/>
        </w:numPr>
        <w:jc w:val="both"/>
      </w:pPr>
      <w:r w:rsidRPr="00281F57">
        <w:t>neto tlorisna površina objekta,</w:t>
      </w:r>
    </w:p>
    <w:p w:rsidR="00281F57" w:rsidRPr="00281F57" w:rsidRDefault="00281F57" w:rsidP="00281F57">
      <w:pPr>
        <w:numPr>
          <w:ilvl w:val="0"/>
          <w:numId w:val="21"/>
        </w:numPr>
        <w:jc w:val="both"/>
      </w:pPr>
      <w:r w:rsidRPr="00281F57">
        <w:t>opremljenost stavbnega zemljišča s komunalno opremo,</w:t>
      </w:r>
    </w:p>
    <w:p w:rsidR="00281F57" w:rsidRPr="00281F57" w:rsidRDefault="00281F57" w:rsidP="00281F57">
      <w:pPr>
        <w:numPr>
          <w:ilvl w:val="0"/>
          <w:numId w:val="21"/>
        </w:numPr>
        <w:jc w:val="both"/>
      </w:pPr>
      <w:r w:rsidRPr="00281F57">
        <w:t>namembnost objekta in</w:t>
      </w:r>
    </w:p>
    <w:p w:rsidR="00281F57" w:rsidRPr="00281F57" w:rsidRDefault="00281F57" w:rsidP="00281F57">
      <w:pPr>
        <w:numPr>
          <w:ilvl w:val="0"/>
          <w:numId w:val="21"/>
        </w:numPr>
        <w:jc w:val="both"/>
      </w:pPr>
      <w:r w:rsidRPr="00281F57">
        <w:t>izboljšanje opremljenosti stavbnega zemljišča s komunalno opremo.</w:t>
      </w:r>
    </w:p>
    <w:p w:rsidR="00281F57" w:rsidRPr="00281F57" w:rsidRDefault="00281F57" w:rsidP="00281F57">
      <w:pPr>
        <w:jc w:val="center"/>
      </w:pPr>
    </w:p>
    <w:p w:rsidR="00281F57" w:rsidRPr="00281F57" w:rsidRDefault="00281F57" w:rsidP="00281F57">
      <w:pPr>
        <w:ind w:left="360"/>
        <w:jc w:val="center"/>
        <w:rPr>
          <w:b/>
        </w:rPr>
      </w:pPr>
      <w:r w:rsidRPr="00281F57">
        <w:rPr>
          <w:b/>
        </w:rPr>
        <w:t>6. člen</w:t>
      </w:r>
    </w:p>
    <w:p w:rsidR="00281F57" w:rsidRPr="00281F57" w:rsidRDefault="00281F57" w:rsidP="00281F57">
      <w:pPr>
        <w:jc w:val="center"/>
        <w:rPr>
          <w:b/>
        </w:rPr>
      </w:pPr>
      <w:r w:rsidRPr="00281F57">
        <w:rPr>
          <w:b/>
        </w:rPr>
        <w:t>(površina parcele)</w:t>
      </w:r>
    </w:p>
    <w:p w:rsidR="00281F57" w:rsidRPr="00281F57" w:rsidRDefault="00281F57" w:rsidP="00281F57">
      <w:pPr>
        <w:jc w:val="both"/>
      </w:pPr>
    </w:p>
    <w:p w:rsidR="00281F57" w:rsidRPr="00281F57" w:rsidRDefault="00281F57" w:rsidP="00281F57">
      <w:pPr>
        <w:jc w:val="both"/>
      </w:pPr>
      <w:r w:rsidRPr="00281F57">
        <w:t>(1) Pri površini stavbnega zemljišča se upošteva površina parcele.</w:t>
      </w:r>
    </w:p>
    <w:p w:rsidR="00281F57" w:rsidRPr="00281F57" w:rsidRDefault="00281F57" w:rsidP="00281F57">
      <w:pPr>
        <w:jc w:val="both"/>
      </w:pPr>
    </w:p>
    <w:p w:rsidR="00281F57" w:rsidRPr="00281F57" w:rsidRDefault="00281F57" w:rsidP="00281F57">
      <w:pPr>
        <w:jc w:val="both"/>
      </w:pPr>
      <w:r w:rsidRPr="00281F57">
        <w:t>(2) Na območjih, ki se urejajo s prostorskimi izvedbenimi akti se parcela za odmero komunalnega prispevka določi skladno z grafičnim delom prostorskega akta.</w:t>
      </w:r>
    </w:p>
    <w:p w:rsidR="00281F57" w:rsidRPr="00281F57" w:rsidRDefault="00281F57" w:rsidP="00281F57">
      <w:pPr>
        <w:jc w:val="both"/>
      </w:pPr>
    </w:p>
    <w:p w:rsidR="00281F57" w:rsidRPr="00281F57" w:rsidRDefault="00281F57" w:rsidP="00281F57">
      <w:pPr>
        <w:jc w:val="both"/>
      </w:pPr>
      <w:r w:rsidRPr="00281F57">
        <w:t>(3) V primerih, ko parcela objekta ni določena, se parcela za odmero komunalnega prispevka določi kot stavbišče objekta, ki se pomnoži s faktorjem 1,5.</w:t>
      </w:r>
    </w:p>
    <w:p w:rsidR="00281F57" w:rsidRDefault="00281F57" w:rsidP="00281F57">
      <w:pPr>
        <w:jc w:val="center"/>
      </w:pPr>
    </w:p>
    <w:p w:rsidR="00281F57" w:rsidRDefault="00281F57" w:rsidP="00281F57">
      <w:pPr>
        <w:jc w:val="center"/>
      </w:pPr>
    </w:p>
    <w:p w:rsidR="00281F57" w:rsidRPr="00281F57" w:rsidRDefault="00281F57" w:rsidP="00281F57">
      <w:pPr>
        <w:jc w:val="center"/>
      </w:pPr>
    </w:p>
    <w:p w:rsidR="00281F57" w:rsidRPr="00281F57" w:rsidRDefault="00281F57" w:rsidP="00281F57">
      <w:pPr>
        <w:ind w:left="360"/>
        <w:jc w:val="center"/>
        <w:rPr>
          <w:b/>
        </w:rPr>
      </w:pPr>
      <w:r w:rsidRPr="00281F57">
        <w:rPr>
          <w:b/>
        </w:rPr>
        <w:lastRenderedPageBreak/>
        <w:t>7. člen</w:t>
      </w:r>
    </w:p>
    <w:p w:rsidR="00281F57" w:rsidRPr="00281F57" w:rsidRDefault="00281F57" w:rsidP="00281F57">
      <w:pPr>
        <w:jc w:val="center"/>
        <w:rPr>
          <w:b/>
        </w:rPr>
      </w:pPr>
      <w:r w:rsidRPr="00281F57">
        <w:rPr>
          <w:b/>
        </w:rPr>
        <w:t>(neto tlorisna površina objekta)</w:t>
      </w:r>
    </w:p>
    <w:p w:rsidR="00281F57" w:rsidRPr="00281F57" w:rsidRDefault="00281F57" w:rsidP="00281F57">
      <w:pPr>
        <w:jc w:val="both"/>
      </w:pPr>
    </w:p>
    <w:p w:rsidR="00281F57" w:rsidRPr="00281F57" w:rsidRDefault="00281F57" w:rsidP="00281F57">
      <w:pPr>
        <w:jc w:val="both"/>
      </w:pPr>
      <w:r w:rsidRPr="00281F57">
        <w:t xml:space="preserve">(1) Neto tlorisna površina objekta je vsota vseh tlorisnih površin objekta in se izračuna po standardu SIST ISO 9836. Podatek se povzame iz projekta za pridobitev gradbenega dovoljenja. </w:t>
      </w:r>
    </w:p>
    <w:p w:rsidR="00281F57" w:rsidRPr="00281F57" w:rsidRDefault="00281F57" w:rsidP="00281F57">
      <w:pPr>
        <w:jc w:val="both"/>
      </w:pPr>
    </w:p>
    <w:p w:rsidR="00281F57" w:rsidRPr="00281F57" w:rsidRDefault="00281F57" w:rsidP="00281F57">
      <w:pPr>
        <w:jc w:val="both"/>
      </w:pPr>
      <w:r w:rsidRPr="00281F57">
        <w:t>(2) Če podatka o neto tlorisni površini objekta ni mogoče pridobiti na način iz prejšnjega odstavka, se le-tega pridobi iz uradnih evidenc Geodetske uprave Republike Slovenije oz. razpoložljive dokumentacije.</w:t>
      </w:r>
    </w:p>
    <w:p w:rsidR="00281F57" w:rsidRPr="00281F57" w:rsidRDefault="00281F57" w:rsidP="00281F57">
      <w:pPr>
        <w:jc w:val="both"/>
      </w:pPr>
    </w:p>
    <w:p w:rsidR="00281F57" w:rsidRPr="00281F57" w:rsidRDefault="00281F57" w:rsidP="00281F57">
      <w:pPr>
        <w:jc w:val="both"/>
      </w:pPr>
      <w:r w:rsidRPr="00281F57">
        <w:t>(3) Za objekte, za katere se ne more izračunati oziroma določiti neto tlorisne površine objekta, se komunalni prispevek odmeri le od površine parcele. Tako dobljeno vrednost se ob odmeri pomnoži s faktorjem 2,0.</w:t>
      </w:r>
    </w:p>
    <w:p w:rsidR="00281F57" w:rsidRPr="00281F57" w:rsidRDefault="00281F57" w:rsidP="00281F57">
      <w:pPr>
        <w:jc w:val="center"/>
      </w:pPr>
    </w:p>
    <w:p w:rsidR="00281F57" w:rsidRPr="00281F57" w:rsidRDefault="00281F57" w:rsidP="00281F57">
      <w:pPr>
        <w:jc w:val="center"/>
        <w:rPr>
          <w:b/>
        </w:rPr>
      </w:pPr>
      <w:r w:rsidRPr="00281F57">
        <w:rPr>
          <w:b/>
        </w:rPr>
        <w:t>8. člen</w:t>
      </w:r>
    </w:p>
    <w:p w:rsidR="00281F57" w:rsidRPr="00281F57" w:rsidRDefault="00281F57" w:rsidP="00281F57">
      <w:pPr>
        <w:jc w:val="center"/>
        <w:rPr>
          <w:b/>
        </w:rPr>
      </w:pPr>
      <w:r w:rsidRPr="00281F57">
        <w:rPr>
          <w:b/>
        </w:rPr>
        <w:t>(razmerje med deležem parcele in neto tlorisne površine objekta)</w:t>
      </w:r>
    </w:p>
    <w:p w:rsidR="00281F57" w:rsidRPr="00281F57" w:rsidRDefault="00281F57" w:rsidP="00281F57">
      <w:pPr>
        <w:jc w:val="center"/>
        <w:rPr>
          <w:b/>
        </w:rPr>
      </w:pPr>
    </w:p>
    <w:p w:rsidR="00281F57" w:rsidRPr="00281F57" w:rsidRDefault="00281F57" w:rsidP="00281F57">
      <w:pPr>
        <w:jc w:val="both"/>
      </w:pPr>
      <w:r w:rsidRPr="00281F57">
        <w:t>Razmerje med deležem parcele (Dp) in deležem neto tlorisne površine objekta (Dt) je na celotnem območju opremljanja enako in znaša Dp = 0,3 ter Dt = 0,7.</w:t>
      </w:r>
    </w:p>
    <w:p w:rsidR="00281F57" w:rsidRPr="00281F57" w:rsidRDefault="00281F57" w:rsidP="00281F57">
      <w:pPr>
        <w:jc w:val="center"/>
      </w:pPr>
    </w:p>
    <w:p w:rsidR="00281F57" w:rsidRPr="00281F57" w:rsidRDefault="00281F57" w:rsidP="00281F57">
      <w:pPr>
        <w:jc w:val="center"/>
        <w:rPr>
          <w:b/>
        </w:rPr>
      </w:pPr>
      <w:r w:rsidRPr="00281F57">
        <w:rPr>
          <w:b/>
        </w:rPr>
        <w:t>9. člen</w:t>
      </w:r>
    </w:p>
    <w:p w:rsidR="00281F57" w:rsidRPr="00281F57" w:rsidRDefault="00281F57" w:rsidP="00281F57">
      <w:pPr>
        <w:jc w:val="center"/>
        <w:rPr>
          <w:b/>
        </w:rPr>
      </w:pPr>
      <w:r w:rsidRPr="00281F57">
        <w:rPr>
          <w:b/>
        </w:rPr>
        <w:t>(dejanska opremljenost objekta s komunalno opremo)</w:t>
      </w:r>
    </w:p>
    <w:p w:rsidR="00281F57" w:rsidRPr="00281F57" w:rsidRDefault="00281F57" w:rsidP="00281F57">
      <w:pPr>
        <w:jc w:val="both"/>
      </w:pPr>
    </w:p>
    <w:p w:rsidR="00281F57" w:rsidRPr="00281F57" w:rsidRDefault="00281F57" w:rsidP="00281F57">
      <w:pPr>
        <w:jc w:val="both"/>
      </w:pPr>
      <w:r w:rsidRPr="00281F57">
        <w:t>(1) Vsak obstoječi ali predvideni objekt je opremljen z vodovodnim in/ali kanalizacijskim omrežjem, če je iz projektnih pogojev za pridobitev gradbenega dovoljenja to nedvoumno razvidno oz. če upravljavec posameznega voda izda soglasje za priklop na omrežje. Če mora zavezanec za priklop svojega objekta zgraditi ali izboljšati del javnega vodovodnega in/ali kanalizacijskega omrežja, objekt ni opremljen z vodovodnim in/ali kanalizacijskim omrežjem.</w:t>
      </w:r>
    </w:p>
    <w:p w:rsidR="00281F57" w:rsidRPr="00281F57" w:rsidRDefault="00281F57" w:rsidP="00281F57">
      <w:pPr>
        <w:jc w:val="both"/>
      </w:pPr>
    </w:p>
    <w:p w:rsidR="00281F57" w:rsidRPr="00281F57" w:rsidRDefault="00281F57" w:rsidP="00281F57">
      <w:pPr>
        <w:jc w:val="both"/>
      </w:pPr>
      <w:r w:rsidRPr="00281F57">
        <w:t xml:space="preserve"> (2) Vsak obstoječi ali predvideni objekt, za katerega se lahko odmeri komunalni prispevek, je opremljen s cestnim omrežjem. Če mora investitor za pridobitev gradbenega dovoljenja zgraditi ali izboljšati del javnega cestnega omrežja, se šteje, da objekt ni opremljen s cestnim omrežjem.</w:t>
      </w:r>
    </w:p>
    <w:p w:rsidR="00281F57" w:rsidRPr="00281F57" w:rsidRDefault="00281F57" w:rsidP="00281F57">
      <w:pPr>
        <w:jc w:val="both"/>
      </w:pPr>
    </w:p>
    <w:p w:rsidR="00281F57" w:rsidRPr="00281F57" w:rsidRDefault="00281F57" w:rsidP="00281F57">
      <w:pPr>
        <w:jc w:val="both"/>
        <w:rPr>
          <w:color w:val="000000" w:themeColor="text1"/>
        </w:rPr>
      </w:pPr>
      <w:r w:rsidRPr="00281F57">
        <w:t xml:space="preserve">(3) </w:t>
      </w:r>
      <w:r w:rsidRPr="00281F57">
        <w:rPr>
          <w:color w:val="000000" w:themeColor="text1"/>
        </w:rPr>
        <w:t>Za izgradnjo oz. izboljšanje javnega omrežja se štejejo vsa dela, ki jih je treba izvesti na javnem vodovodnem, kanalizacijskem ali cestnem omrežju na zahtevo upravljavca z namenom omogočitve priključitve objekta na obstoječe omrežje. Za izgradnjo oz. izboljšanje se ne štejejo dela na individualnem priključku objekta.</w:t>
      </w:r>
    </w:p>
    <w:p w:rsidR="00281F57" w:rsidRPr="00281F57" w:rsidRDefault="00281F57" w:rsidP="00281F57">
      <w:pPr>
        <w:jc w:val="both"/>
      </w:pPr>
    </w:p>
    <w:p w:rsidR="00281F57" w:rsidRPr="00281F57" w:rsidRDefault="00281F57" w:rsidP="00281F57">
      <w:pPr>
        <w:jc w:val="both"/>
      </w:pPr>
      <w:r w:rsidRPr="00281F57">
        <w:t>(4) Za vse objekte znotraj naselja Ptuj vključno s starim mestnim jedrom velja, da jim je omogočena uporaba javnih površin, kot je razvidno iz grafične priloge programa opremljanja.</w:t>
      </w:r>
    </w:p>
    <w:p w:rsidR="00281F57" w:rsidRPr="00281F57" w:rsidRDefault="00281F57" w:rsidP="00281F57">
      <w:pPr>
        <w:jc w:val="both"/>
      </w:pPr>
    </w:p>
    <w:p w:rsidR="00281F57" w:rsidRPr="00281F57" w:rsidRDefault="00281F57" w:rsidP="00281F57">
      <w:pPr>
        <w:jc w:val="center"/>
        <w:rPr>
          <w:b/>
        </w:rPr>
      </w:pPr>
      <w:r w:rsidRPr="00281F57">
        <w:rPr>
          <w:b/>
        </w:rPr>
        <w:t>10. člen</w:t>
      </w:r>
    </w:p>
    <w:p w:rsidR="00281F57" w:rsidRPr="00281F57" w:rsidRDefault="00281F57" w:rsidP="00281F57">
      <w:pPr>
        <w:jc w:val="center"/>
        <w:rPr>
          <w:b/>
        </w:rPr>
      </w:pPr>
      <w:r w:rsidRPr="00281F57">
        <w:rPr>
          <w:b/>
        </w:rPr>
        <w:t>(faktor dejavnosti)</w:t>
      </w:r>
    </w:p>
    <w:p w:rsidR="00281F57" w:rsidRPr="00281F57" w:rsidRDefault="00281F57" w:rsidP="00281F57">
      <w:pPr>
        <w:jc w:val="center"/>
      </w:pPr>
    </w:p>
    <w:p w:rsidR="00281F57" w:rsidRPr="00281F57" w:rsidRDefault="00281F57" w:rsidP="00281F57">
      <w:pPr>
        <w:jc w:val="both"/>
      </w:pPr>
      <w:r w:rsidRPr="00281F57">
        <w:t>(1) Namembnost objekta se upošteva tako, da se za posamezne vrste objektov uporabi različne vrednosti faktorja dejavnosti. Objekti se razvrščajo glede na dejavnosti v skladu s predpisi, ki urejajo uvedbo in uporabo enotne klasifikacije vrst objektov in določitev objektov državnega pomena.</w:t>
      </w:r>
    </w:p>
    <w:p w:rsidR="00281F57" w:rsidRPr="00281F57" w:rsidRDefault="00281F57" w:rsidP="00281F57">
      <w:pPr>
        <w:jc w:val="center"/>
      </w:pPr>
    </w:p>
    <w:p w:rsidR="00281F57" w:rsidRPr="00281F57" w:rsidRDefault="00281F57" w:rsidP="00281F57">
      <w:pPr>
        <w:jc w:val="both"/>
      </w:pPr>
      <w:r w:rsidRPr="00281F57">
        <w:lastRenderedPageBreak/>
        <w:t>(2) Faktor dejavnosti (K</w:t>
      </w:r>
      <w:r w:rsidRPr="00281F57">
        <w:rPr>
          <w:vertAlign w:val="subscript"/>
        </w:rPr>
        <w:t>dejavnosti</w:t>
      </w:r>
      <w:r w:rsidRPr="00281F57">
        <w:t>) se skladno s Pravilnikom o merilih za odmero komunalnega prispevka določi za vso komunalno opremo, ki jo določa ta odlok in se določi po naslednjih kriterijih:</w:t>
      </w:r>
    </w:p>
    <w:p w:rsidR="00281F57" w:rsidRPr="00281F57" w:rsidRDefault="00281F57" w:rsidP="00281F57">
      <w:pPr>
        <w:jc w:val="both"/>
      </w:pPr>
    </w:p>
    <w:p w:rsidR="00281F57" w:rsidRPr="00281F57" w:rsidRDefault="00281F57" w:rsidP="00281F57">
      <w:pPr>
        <w:jc w:val="both"/>
        <w:rPr>
          <w:i/>
        </w:rPr>
      </w:pPr>
      <w:r w:rsidRPr="00281F57">
        <w:rPr>
          <w:i/>
        </w:rPr>
        <w:t>Preglednica 1: Določitev faktorjev dejavnosti glede na vrsto objekta</w:t>
      </w:r>
    </w:p>
    <w:p w:rsidR="00281F57" w:rsidRPr="00281F57" w:rsidRDefault="00281F57" w:rsidP="00281F57">
      <w:pPr>
        <w:jc w:val="both"/>
        <w:rPr>
          <w:i/>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760"/>
        <w:gridCol w:w="1442"/>
        <w:gridCol w:w="1978"/>
      </w:tblGrid>
      <w:tr w:rsidR="00281F57" w:rsidRPr="00281F57" w:rsidTr="00FD132B">
        <w:tc>
          <w:tcPr>
            <w:tcW w:w="5760" w:type="dxa"/>
            <w:tcBorders>
              <w:top w:val="single" w:sz="12" w:space="0" w:color="auto"/>
              <w:bottom w:val="single" w:sz="12" w:space="0" w:color="auto"/>
            </w:tcBorders>
            <w:shd w:val="clear" w:color="auto" w:fill="E0E0E0"/>
          </w:tcPr>
          <w:p w:rsidR="00281F57" w:rsidRPr="00281F57" w:rsidRDefault="00281F57" w:rsidP="00FD132B">
            <w:pPr>
              <w:jc w:val="center"/>
              <w:rPr>
                <w:b/>
              </w:rPr>
            </w:pPr>
            <w:r w:rsidRPr="00281F57">
              <w:rPr>
                <w:b/>
              </w:rPr>
              <w:t>Vrsta objekta</w:t>
            </w:r>
          </w:p>
        </w:tc>
        <w:tc>
          <w:tcPr>
            <w:tcW w:w="1442" w:type="dxa"/>
            <w:tcBorders>
              <w:top w:val="single" w:sz="12" w:space="0" w:color="auto"/>
              <w:bottom w:val="single" w:sz="12" w:space="0" w:color="auto"/>
            </w:tcBorders>
            <w:shd w:val="clear" w:color="auto" w:fill="E0E0E0"/>
          </w:tcPr>
          <w:p w:rsidR="00281F57" w:rsidRPr="00281F57" w:rsidRDefault="00281F57" w:rsidP="00FD132B">
            <w:pPr>
              <w:jc w:val="center"/>
              <w:rPr>
                <w:b/>
              </w:rPr>
            </w:pPr>
            <w:r w:rsidRPr="00281F57">
              <w:rPr>
                <w:b/>
              </w:rPr>
              <w:t>K</w:t>
            </w:r>
            <w:r w:rsidRPr="00281F57">
              <w:rPr>
                <w:b/>
                <w:vertAlign w:val="subscript"/>
              </w:rPr>
              <w:t>dejavnosti</w:t>
            </w:r>
          </w:p>
        </w:tc>
        <w:tc>
          <w:tcPr>
            <w:tcW w:w="1978" w:type="dxa"/>
            <w:tcBorders>
              <w:top w:val="single" w:sz="12" w:space="0" w:color="auto"/>
              <w:bottom w:val="single" w:sz="12" w:space="0" w:color="auto"/>
            </w:tcBorders>
            <w:shd w:val="clear" w:color="auto" w:fill="E0E0E0"/>
          </w:tcPr>
          <w:p w:rsidR="00281F57" w:rsidRPr="00281F57" w:rsidRDefault="00281F57" w:rsidP="00FD132B">
            <w:pPr>
              <w:jc w:val="center"/>
              <w:rPr>
                <w:b/>
              </w:rPr>
            </w:pPr>
            <w:r w:rsidRPr="00281F57">
              <w:rPr>
                <w:b/>
              </w:rPr>
              <w:t>Oznaka v klasifikaciji  objektov CC-SI</w:t>
            </w:r>
          </w:p>
        </w:tc>
      </w:tr>
      <w:tr w:rsidR="00281F57" w:rsidRPr="00281F57" w:rsidTr="00FD132B">
        <w:tc>
          <w:tcPr>
            <w:tcW w:w="5760" w:type="dxa"/>
            <w:tcBorders>
              <w:top w:val="single" w:sz="12" w:space="0" w:color="auto"/>
            </w:tcBorders>
          </w:tcPr>
          <w:p w:rsidR="00281F57" w:rsidRPr="00281F57" w:rsidRDefault="00281F57" w:rsidP="00FD132B">
            <w:pPr>
              <w:jc w:val="both"/>
            </w:pPr>
            <w:r w:rsidRPr="00281F57">
              <w:t>Enostanovanjske stavbe</w:t>
            </w:r>
          </w:p>
          <w:p w:rsidR="00281F57" w:rsidRPr="00281F57" w:rsidRDefault="00281F57" w:rsidP="00FD132B">
            <w:pPr>
              <w:jc w:val="both"/>
            </w:pPr>
            <w:r w:rsidRPr="00281F57">
              <w:t xml:space="preserve">   - enostanovanjske stavbe</w:t>
            </w:r>
          </w:p>
        </w:tc>
        <w:tc>
          <w:tcPr>
            <w:tcW w:w="1442" w:type="dxa"/>
            <w:tcBorders>
              <w:top w:val="single" w:sz="12" w:space="0" w:color="auto"/>
            </w:tcBorders>
          </w:tcPr>
          <w:p w:rsidR="00281F57" w:rsidRPr="00281F57" w:rsidRDefault="00281F57" w:rsidP="00FD132B">
            <w:pPr>
              <w:ind w:right="254"/>
              <w:jc w:val="right"/>
            </w:pPr>
          </w:p>
          <w:p w:rsidR="00281F57" w:rsidRPr="00281F57" w:rsidRDefault="00281F57" w:rsidP="00FD132B">
            <w:pPr>
              <w:ind w:right="254"/>
              <w:jc w:val="right"/>
            </w:pPr>
            <w:r w:rsidRPr="00281F57">
              <w:t>0,70</w:t>
            </w:r>
          </w:p>
        </w:tc>
        <w:tc>
          <w:tcPr>
            <w:tcW w:w="1978" w:type="dxa"/>
            <w:tcBorders>
              <w:top w:val="single" w:sz="12" w:space="0" w:color="auto"/>
            </w:tcBorders>
          </w:tcPr>
          <w:p w:rsidR="00281F57" w:rsidRPr="00281F57" w:rsidRDefault="00281F57" w:rsidP="00FD132B">
            <w:pPr>
              <w:ind w:right="256"/>
              <w:jc w:val="right"/>
            </w:pPr>
            <w:r w:rsidRPr="00281F57">
              <w:t>111</w:t>
            </w:r>
          </w:p>
          <w:p w:rsidR="00281F57" w:rsidRPr="00281F57" w:rsidRDefault="00281F57" w:rsidP="00FD132B">
            <w:pPr>
              <w:ind w:right="256"/>
              <w:jc w:val="right"/>
            </w:pPr>
            <w:r w:rsidRPr="00281F57">
              <w:t>11100</w:t>
            </w:r>
          </w:p>
        </w:tc>
      </w:tr>
      <w:tr w:rsidR="00281F57" w:rsidRPr="00281F57" w:rsidTr="00FD132B">
        <w:tc>
          <w:tcPr>
            <w:tcW w:w="5760" w:type="dxa"/>
          </w:tcPr>
          <w:p w:rsidR="00281F57" w:rsidRPr="00281F57" w:rsidRDefault="00281F57" w:rsidP="00FD132B">
            <w:pPr>
              <w:jc w:val="both"/>
            </w:pPr>
            <w:r w:rsidRPr="00281F57">
              <w:t>Večstanovanjske stavbe</w:t>
            </w:r>
          </w:p>
          <w:p w:rsidR="00281F57" w:rsidRPr="00281F57" w:rsidRDefault="00281F57" w:rsidP="00FD132B">
            <w:pPr>
              <w:jc w:val="both"/>
            </w:pPr>
            <w:r w:rsidRPr="00281F57">
              <w:t xml:space="preserve">   - dvostanovanjske stavbe</w:t>
            </w:r>
          </w:p>
          <w:p w:rsidR="00281F57" w:rsidRPr="00281F57" w:rsidRDefault="00281F57" w:rsidP="00FD132B">
            <w:pPr>
              <w:jc w:val="both"/>
            </w:pPr>
            <w:r w:rsidRPr="00281F57">
              <w:t xml:space="preserve">   - tri- in večstanovanjske stavbe</w:t>
            </w:r>
          </w:p>
          <w:p w:rsidR="00281F57" w:rsidRPr="00281F57" w:rsidRDefault="00281F57" w:rsidP="00FD132B">
            <w:pPr>
              <w:jc w:val="both"/>
            </w:pPr>
            <w:r w:rsidRPr="00281F57">
              <w:t xml:space="preserve">   - stanovanjske stavbe z oskrbovanimi stanovanji</w:t>
            </w:r>
          </w:p>
        </w:tc>
        <w:tc>
          <w:tcPr>
            <w:tcW w:w="1442" w:type="dxa"/>
          </w:tcPr>
          <w:p w:rsidR="00281F57" w:rsidRPr="00281F57" w:rsidRDefault="00281F57" w:rsidP="00FD132B">
            <w:pPr>
              <w:ind w:right="254"/>
              <w:jc w:val="right"/>
            </w:pPr>
          </w:p>
          <w:p w:rsidR="00281F57" w:rsidRPr="00281F57" w:rsidRDefault="00281F57" w:rsidP="00FD132B">
            <w:pPr>
              <w:ind w:right="254"/>
              <w:jc w:val="right"/>
            </w:pPr>
            <w:r w:rsidRPr="00281F57">
              <w:t>0,70</w:t>
            </w:r>
          </w:p>
          <w:p w:rsidR="00281F57" w:rsidRPr="00281F57" w:rsidRDefault="00281F57" w:rsidP="00FD132B">
            <w:pPr>
              <w:ind w:right="254"/>
              <w:jc w:val="right"/>
            </w:pPr>
            <w:r w:rsidRPr="00281F57">
              <w:t>0,70</w:t>
            </w:r>
          </w:p>
          <w:p w:rsidR="00281F57" w:rsidRPr="00281F57" w:rsidRDefault="00281F57" w:rsidP="00FD132B">
            <w:pPr>
              <w:ind w:right="254"/>
              <w:jc w:val="right"/>
            </w:pPr>
            <w:r w:rsidRPr="00281F57">
              <w:t>0,70</w:t>
            </w:r>
          </w:p>
        </w:tc>
        <w:tc>
          <w:tcPr>
            <w:tcW w:w="1978" w:type="dxa"/>
          </w:tcPr>
          <w:p w:rsidR="00281F57" w:rsidRPr="00281F57" w:rsidRDefault="00281F57" w:rsidP="00FD132B">
            <w:pPr>
              <w:ind w:right="256"/>
              <w:jc w:val="right"/>
            </w:pPr>
            <w:r w:rsidRPr="00281F57">
              <w:t>112</w:t>
            </w:r>
          </w:p>
          <w:p w:rsidR="00281F57" w:rsidRPr="00281F57" w:rsidRDefault="00281F57" w:rsidP="00FD132B">
            <w:pPr>
              <w:ind w:right="256"/>
              <w:jc w:val="right"/>
            </w:pPr>
            <w:r w:rsidRPr="00281F57">
              <w:t>11210</w:t>
            </w:r>
          </w:p>
          <w:p w:rsidR="00281F57" w:rsidRPr="00281F57" w:rsidRDefault="00281F57" w:rsidP="00FD132B">
            <w:pPr>
              <w:ind w:right="256"/>
              <w:jc w:val="right"/>
            </w:pPr>
            <w:r w:rsidRPr="00281F57">
              <w:t>11221</w:t>
            </w:r>
          </w:p>
          <w:p w:rsidR="00281F57" w:rsidRPr="00281F57" w:rsidRDefault="00281F57" w:rsidP="00FD132B">
            <w:pPr>
              <w:ind w:right="256"/>
              <w:jc w:val="right"/>
            </w:pPr>
            <w:r w:rsidRPr="00281F57">
              <w:t>11222</w:t>
            </w:r>
          </w:p>
        </w:tc>
      </w:tr>
      <w:tr w:rsidR="00281F57" w:rsidRPr="00281F57" w:rsidTr="00FD132B">
        <w:tc>
          <w:tcPr>
            <w:tcW w:w="5760" w:type="dxa"/>
          </w:tcPr>
          <w:p w:rsidR="00281F57" w:rsidRPr="00281F57" w:rsidRDefault="00281F57" w:rsidP="00FD132B">
            <w:pPr>
              <w:jc w:val="both"/>
              <w:rPr>
                <w:rFonts w:eastAsia="Gulim"/>
              </w:rPr>
            </w:pPr>
            <w:r w:rsidRPr="00281F57">
              <w:rPr>
                <w:rFonts w:eastAsia="Gulim"/>
              </w:rPr>
              <w:t>Stanovanjske stavbe za posebne namene</w:t>
            </w:r>
          </w:p>
          <w:p w:rsidR="00281F57" w:rsidRPr="00281F57" w:rsidRDefault="00281F57" w:rsidP="00FD132B">
            <w:pPr>
              <w:jc w:val="both"/>
              <w:rPr>
                <w:rFonts w:eastAsia="Gulim"/>
              </w:rPr>
            </w:pPr>
            <w:r w:rsidRPr="00281F57">
              <w:rPr>
                <w:rFonts w:eastAsia="Gulim"/>
              </w:rPr>
              <w:t xml:space="preserve">   - stanovanjske stavbe za posebne namene</w:t>
            </w:r>
          </w:p>
        </w:tc>
        <w:tc>
          <w:tcPr>
            <w:tcW w:w="1442" w:type="dxa"/>
          </w:tcPr>
          <w:p w:rsidR="00281F57" w:rsidRPr="00281F57" w:rsidRDefault="00281F57" w:rsidP="00FD132B">
            <w:pPr>
              <w:ind w:right="254"/>
              <w:jc w:val="right"/>
            </w:pPr>
          </w:p>
          <w:p w:rsidR="00281F57" w:rsidRPr="00281F57" w:rsidRDefault="00281F57" w:rsidP="00FD132B">
            <w:pPr>
              <w:ind w:right="254"/>
              <w:jc w:val="right"/>
            </w:pPr>
            <w:r w:rsidRPr="00281F57">
              <w:t>0,70</w:t>
            </w:r>
          </w:p>
        </w:tc>
        <w:tc>
          <w:tcPr>
            <w:tcW w:w="1978" w:type="dxa"/>
          </w:tcPr>
          <w:p w:rsidR="00281F57" w:rsidRPr="00281F57" w:rsidRDefault="00281F57" w:rsidP="00FD132B">
            <w:pPr>
              <w:ind w:right="256"/>
              <w:jc w:val="right"/>
            </w:pPr>
            <w:r w:rsidRPr="00281F57">
              <w:t>113</w:t>
            </w:r>
          </w:p>
          <w:p w:rsidR="00281F57" w:rsidRPr="00281F57" w:rsidRDefault="00281F57" w:rsidP="00FD132B">
            <w:pPr>
              <w:ind w:right="256"/>
              <w:jc w:val="right"/>
            </w:pPr>
            <w:r w:rsidRPr="00281F57">
              <w:t>11300</w:t>
            </w:r>
          </w:p>
        </w:tc>
      </w:tr>
      <w:tr w:rsidR="00281F57" w:rsidRPr="00281F57" w:rsidTr="00FD132B">
        <w:tc>
          <w:tcPr>
            <w:tcW w:w="5760" w:type="dxa"/>
          </w:tcPr>
          <w:p w:rsidR="00281F57" w:rsidRPr="00281F57" w:rsidRDefault="00281F57" w:rsidP="00FD132B">
            <w:pPr>
              <w:jc w:val="both"/>
            </w:pPr>
            <w:r w:rsidRPr="00281F57">
              <w:t>Gostinske stavbe</w:t>
            </w:r>
          </w:p>
          <w:p w:rsidR="00281F57" w:rsidRPr="00281F57" w:rsidRDefault="00281F57" w:rsidP="00FD132B">
            <w:pPr>
              <w:jc w:val="both"/>
            </w:pPr>
            <w:r w:rsidRPr="00281F57">
              <w:t xml:space="preserve">   - hotelske in podobne gostinske stavbe</w:t>
            </w:r>
          </w:p>
          <w:p w:rsidR="00281F57" w:rsidRPr="00281F57" w:rsidRDefault="00281F57" w:rsidP="00FD132B">
            <w:pPr>
              <w:jc w:val="both"/>
            </w:pPr>
            <w:r w:rsidRPr="00281F57">
              <w:t xml:space="preserve">   - gostilne, restavracije in točilnice</w:t>
            </w:r>
          </w:p>
          <w:p w:rsidR="00281F57" w:rsidRPr="00281F57" w:rsidRDefault="00281F57" w:rsidP="00FD132B">
            <w:pPr>
              <w:jc w:val="both"/>
            </w:pPr>
            <w:r w:rsidRPr="00281F57">
              <w:t xml:space="preserve">   - druge gostinske stavbe za kratkotrajno nastanitev</w:t>
            </w:r>
          </w:p>
        </w:tc>
        <w:tc>
          <w:tcPr>
            <w:tcW w:w="1442" w:type="dxa"/>
          </w:tcPr>
          <w:p w:rsidR="00281F57" w:rsidRPr="00281F57" w:rsidRDefault="00281F57" w:rsidP="00FD132B">
            <w:pPr>
              <w:ind w:right="254"/>
              <w:jc w:val="right"/>
            </w:pPr>
          </w:p>
          <w:p w:rsidR="00281F57" w:rsidRPr="00281F57" w:rsidRDefault="00281F57" w:rsidP="00FD132B">
            <w:pPr>
              <w:ind w:right="254"/>
              <w:jc w:val="right"/>
            </w:pPr>
            <w:r w:rsidRPr="00281F57">
              <w:t>1,10</w:t>
            </w:r>
          </w:p>
          <w:p w:rsidR="00281F57" w:rsidRPr="00281F57" w:rsidRDefault="00281F57" w:rsidP="00FD132B">
            <w:pPr>
              <w:ind w:right="254"/>
              <w:jc w:val="right"/>
            </w:pPr>
            <w:r w:rsidRPr="00281F57">
              <w:t>1,10</w:t>
            </w:r>
          </w:p>
          <w:p w:rsidR="00281F57" w:rsidRPr="00281F57" w:rsidRDefault="00281F57" w:rsidP="00FD132B">
            <w:pPr>
              <w:ind w:right="254"/>
              <w:jc w:val="right"/>
            </w:pPr>
            <w:r w:rsidRPr="00281F57">
              <w:t>1,10</w:t>
            </w:r>
          </w:p>
        </w:tc>
        <w:tc>
          <w:tcPr>
            <w:tcW w:w="1978" w:type="dxa"/>
          </w:tcPr>
          <w:p w:rsidR="00281F57" w:rsidRPr="00281F57" w:rsidRDefault="00281F57" w:rsidP="00FD132B">
            <w:pPr>
              <w:ind w:right="256"/>
              <w:jc w:val="right"/>
            </w:pPr>
            <w:r w:rsidRPr="00281F57">
              <w:t>121</w:t>
            </w:r>
          </w:p>
          <w:p w:rsidR="00281F57" w:rsidRPr="00281F57" w:rsidRDefault="00281F57" w:rsidP="00FD132B">
            <w:pPr>
              <w:ind w:right="256"/>
              <w:jc w:val="right"/>
            </w:pPr>
            <w:r w:rsidRPr="00281F57">
              <w:t>12111</w:t>
            </w:r>
          </w:p>
          <w:p w:rsidR="00281F57" w:rsidRPr="00281F57" w:rsidRDefault="00281F57" w:rsidP="00FD132B">
            <w:pPr>
              <w:ind w:right="256"/>
              <w:jc w:val="right"/>
            </w:pPr>
            <w:r w:rsidRPr="00281F57">
              <w:t>12112</w:t>
            </w:r>
          </w:p>
          <w:p w:rsidR="00281F57" w:rsidRPr="00281F57" w:rsidRDefault="00281F57" w:rsidP="00FD132B">
            <w:pPr>
              <w:ind w:right="256"/>
              <w:jc w:val="right"/>
            </w:pPr>
            <w:r w:rsidRPr="00281F57">
              <w:t>12120</w:t>
            </w:r>
          </w:p>
        </w:tc>
      </w:tr>
      <w:tr w:rsidR="00281F57" w:rsidRPr="00281F57" w:rsidTr="00FD132B">
        <w:tc>
          <w:tcPr>
            <w:tcW w:w="5760" w:type="dxa"/>
          </w:tcPr>
          <w:p w:rsidR="00281F57" w:rsidRPr="00281F57" w:rsidRDefault="00281F57" w:rsidP="00FD132B">
            <w:pPr>
              <w:jc w:val="both"/>
            </w:pPr>
            <w:r w:rsidRPr="00281F57">
              <w:t>Upravne in pisarniške stavbe</w:t>
            </w:r>
          </w:p>
          <w:p w:rsidR="00281F57" w:rsidRPr="00281F57" w:rsidRDefault="00281F57" w:rsidP="00FD132B">
            <w:pPr>
              <w:jc w:val="both"/>
            </w:pPr>
            <w:r w:rsidRPr="00281F57">
              <w:t xml:space="preserve">   - stavbe javne uprave</w:t>
            </w:r>
          </w:p>
          <w:p w:rsidR="00281F57" w:rsidRPr="00281F57" w:rsidRDefault="00281F57" w:rsidP="00FD132B">
            <w:pPr>
              <w:jc w:val="both"/>
            </w:pPr>
            <w:r w:rsidRPr="00281F57">
              <w:t xml:space="preserve">   - stavbe bank, pošt, zavarovalnic</w:t>
            </w:r>
          </w:p>
          <w:p w:rsidR="00281F57" w:rsidRPr="00281F57" w:rsidRDefault="00281F57" w:rsidP="00FD132B">
            <w:pPr>
              <w:jc w:val="both"/>
            </w:pPr>
            <w:r w:rsidRPr="00281F57">
              <w:t xml:space="preserve">   - druge upravne in pisarniške stavbe</w:t>
            </w:r>
          </w:p>
        </w:tc>
        <w:tc>
          <w:tcPr>
            <w:tcW w:w="1442" w:type="dxa"/>
          </w:tcPr>
          <w:p w:rsidR="00281F57" w:rsidRPr="00281F57" w:rsidRDefault="00281F57" w:rsidP="00FD132B">
            <w:pPr>
              <w:ind w:right="254"/>
              <w:jc w:val="right"/>
            </w:pPr>
          </w:p>
          <w:p w:rsidR="00281F57" w:rsidRPr="00281F57" w:rsidRDefault="00281F57" w:rsidP="00FD132B">
            <w:pPr>
              <w:ind w:right="254"/>
              <w:jc w:val="right"/>
            </w:pPr>
            <w:r w:rsidRPr="00281F57">
              <w:t>1,00</w:t>
            </w:r>
          </w:p>
          <w:p w:rsidR="00281F57" w:rsidRPr="00281F57" w:rsidRDefault="00281F57" w:rsidP="00FD132B">
            <w:pPr>
              <w:ind w:right="254"/>
              <w:jc w:val="right"/>
            </w:pPr>
            <w:r w:rsidRPr="00281F57">
              <w:t>1,00</w:t>
            </w:r>
          </w:p>
          <w:p w:rsidR="00281F57" w:rsidRPr="00281F57" w:rsidRDefault="00281F57" w:rsidP="00FD132B">
            <w:pPr>
              <w:ind w:right="254"/>
              <w:jc w:val="right"/>
            </w:pPr>
            <w:r w:rsidRPr="00281F57">
              <w:t>1,00</w:t>
            </w:r>
          </w:p>
        </w:tc>
        <w:tc>
          <w:tcPr>
            <w:tcW w:w="1978" w:type="dxa"/>
          </w:tcPr>
          <w:p w:rsidR="00281F57" w:rsidRPr="00281F57" w:rsidRDefault="00281F57" w:rsidP="00FD132B">
            <w:pPr>
              <w:ind w:right="256"/>
              <w:jc w:val="right"/>
            </w:pPr>
            <w:r w:rsidRPr="00281F57">
              <w:t>122</w:t>
            </w:r>
          </w:p>
          <w:p w:rsidR="00281F57" w:rsidRPr="00281F57" w:rsidRDefault="00281F57" w:rsidP="00FD132B">
            <w:pPr>
              <w:ind w:right="256"/>
              <w:jc w:val="right"/>
            </w:pPr>
            <w:r w:rsidRPr="00281F57">
              <w:t>12201</w:t>
            </w:r>
          </w:p>
          <w:p w:rsidR="00281F57" w:rsidRPr="00281F57" w:rsidRDefault="00281F57" w:rsidP="00FD132B">
            <w:pPr>
              <w:ind w:right="256"/>
              <w:jc w:val="right"/>
            </w:pPr>
            <w:r w:rsidRPr="00281F57">
              <w:t>12202</w:t>
            </w:r>
          </w:p>
          <w:p w:rsidR="00281F57" w:rsidRPr="00281F57" w:rsidRDefault="00281F57" w:rsidP="00FD132B">
            <w:pPr>
              <w:ind w:right="256"/>
              <w:jc w:val="right"/>
            </w:pPr>
            <w:r w:rsidRPr="00281F57">
              <w:t>12203</w:t>
            </w:r>
          </w:p>
        </w:tc>
      </w:tr>
      <w:tr w:rsidR="00281F57" w:rsidRPr="00281F57" w:rsidTr="00FD132B">
        <w:tc>
          <w:tcPr>
            <w:tcW w:w="5760" w:type="dxa"/>
          </w:tcPr>
          <w:p w:rsidR="00281F57" w:rsidRPr="00281F57" w:rsidRDefault="00281F57" w:rsidP="00FD132B">
            <w:pPr>
              <w:jc w:val="both"/>
              <w:rPr>
                <w:rFonts w:eastAsia="Gulim"/>
              </w:rPr>
            </w:pPr>
            <w:r w:rsidRPr="00281F57">
              <w:rPr>
                <w:rFonts w:eastAsia="Gulim"/>
              </w:rPr>
              <w:t>Trgovske in druge stavbe za storitvene dejavnosti</w:t>
            </w:r>
          </w:p>
          <w:p w:rsidR="00281F57" w:rsidRPr="00281F57" w:rsidRDefault="00281F57" w:rsidP="00FD132B">
            <w:pPr>
              <w:jc w:val="both"/>
              <w:rPr>
                <w:rFonts w:eastAsia="Gulim"/>
              </w:rPr>
            </w:pPr>
            <w:r w:rsidRPr="00281F57">
              <w:rPr>
                <w:rFonts w:eastAsia="Gulim"/>
              </w:rPr>
              <w:t xml:space="preserve">   - trgovske stavbe</w:t>
            </w:r>
          </w:p>
          <w:p w:rsidR="00281F57" w:rsidRPr="00281F57" w:rsidRDefault="00281F57" w:rsidP="00FD132B">
            <w:pPr>
              <w:jc w:val="both"/>
              <w:rPr>
                <w:rFonts w:eastAsia="Gulim"/>
              </w:rPr>
            </w:pPr>
            <w:r w:rsidRPr="00281F57">
              <w:rPr>
                <w:rFonts w:eastAsia="Gulim"/>
              </w:rPr>
              <w:t xml:space="preserve">   - sejemske dvorane, razstavišča</w:t>
            </w:r>
          </w:p>
          <w:p w:rsidR="00281F57" w:rsidRPr="00281F57" w:rsidRDefault="00281F57" w:rsidP="00FD132B">
            <w:pPr>
              <w:jc w:val="both"/>
              <w:rPr>
                <w:rFonts w:eastAsia="Gulim"/>
              </w:rPr>
            </w:pPr>
            <w:r w:rsidRPr="00281F57">
              <w:rPr>
                <w:rFonts w:eastAsia="Gulim"/>
              </w:rPr>
              <w:t xml:space="preserve">   - bencinski servisi</w:t>
            </w:r>
          </w:p>
          <w:p w:rsidR="00281F57" w:rsidRPr="00281F57" w:rsidRDefault="00281F57" w:rsidP="00FD132B">
            <w:pPr>
              <w:jc w:val="both"/>
              <w:rPr>
                <w:rFonts w:eastAsia="Gulim"/>
              </w:rPr>
            </w:pPr>
            <w:r w:rsidRPr="00281F57">
              <w:rPr>
                <w:rFonts w:eastAsia="Gulim"/>
              </w:rPr>
              <w:t xml:space="preserve">   - stavbe za druge storitvene dejavnosti</w:t>
            </w:r>
          </w:p>
        </w:tc>
        <w:tc>
          <w:tcPr>
            <w:tcW w:w="1442" w:type="dxa"/>
          </w:tcPr>
          <w:p w:rsidR="00281F57" w:rsidRPr="00281F57" w:rsidRDefault="00281F57" w:rsidP="00FD132B">
            <w:pPr>
              <w:ind w:right="254"/>
              <w:jc w:val="right"/>
            </w:pPr>
          </w:p>
          <w:p w:rsidR="00281F57" w:rsidRPr="00281F57" w:rsidRDefault="00281F57" w:rsidP="00FD132B">
            <w:pPr>
              <w:ind w:right="254"/>
              <w:jc w:val="right"/>
            </w:pPr>
            <w:r w:rsidRPr="00281F57">
              <w:t>1,30</w:t>
            </w:r>
          </w:p>
          <w:p w:rsidR="00281F57" w:rsidRPr="00281F57" w:rsidRDefault="00281F57" w:rsidP="00FD132B">
            <w:pPr>
              <w:ind w:right="254"/>
              <w:jc w:val="right"/>
            </w:pPr>
            <w:r w:rsidRPr="00281F57">
              <w:t>1,30</w:t>
            </w:r>
          </w:p>
          <w:p w:rsidR="00281F57" w:rsidRPr="00281F57" w:rsidRDefault="00281F57" w:rsidP="00FD132B">
            <w:pPr>
              <w:ind w:right="254"/>
              <w:jc w:val="right"/>
            </w:pPr>
            <w:r w:rsidRPr="00281F57">
              <w:t>1,30</w:t>
            </w:r>
          </w:p>
          <w:p w:rsidR="00281F57" w:rsidRPr="00281F57" w:rsidRDefault="00281F57" w:rsidP="00FD132B">
            <w:pPr>
              <w:ind w:right="254"/>
              <w:jc w:val="right"/>
            </w:pPr>
            <w:r w:rsidRPr="00281F57">
              <w:t>1,30</w:t>
            </w:r>
          </w:p>
        </w:tc>
        <w:tc>
          <w:tcPr>
            <w:tcW w:w="1978" w:type="dxa"/>
          </w:tcPr>
          <w:p w:rsidR="00281F57" w:rsidRPr="00281F57" w:rsidRDefault="00281F57" w:rsidP="00FD132B">
            <w:pPr>
              <w:ind w:right="256"/>
              <w:jc w:val="right"/>
            </w:pPr>
            <w:r w:rsidRPr="00281F57">
              <w:t>123</w:t>
            </w:r>
          </w:p>
          <w:p w:rsidR="00281F57" w:rsidRPr="00281F57" w:rsidRDefault="00281F57" w:rsidP="00FD132B">
            <w:pPr>
              <w:ind w:right="256"/>
              <w:jc w:val="right"/>
            </w:pPr>
            <w:r w:rsidRPr="00281F57">
              <w:t>12301</w:t>
            </w:r>
          </w:p>
          <w:p w:rsidR="00281F57" w:rsidRPr="00281F57" w:rsidRDefault="00281F57" w:rsidP="00FD132B">
            <w:pPr>
              <w:ind w:right="256"/>
              <w:jc w:val="right"/>
            </w:pPr>
            <w:r w:rsidRPr="00281F57">
              <w:t>12302</w:t>
            </w:r>
          </w:p>
          <w:p w:rsidR="00281F57" w:rsidRPr="00281F57" w:rsidRDefault="00281F57" w:rsidP="00FD132B">
            <w:pPr>
              <w:ind w:right="256"/>
              <w:jc w:val="right"/>
            </w:pPr>
            <w:r w:rsidRPr="00281F57">
              <w:t>12303</w:t>
            </w:r>
          </w:p>
          <w:p w:rsidR="00281F57" w:rsidRPr="00281F57" w:rsidRDefault="00281F57" w:rsidP="00FD132B">
            <w:pPr>
              <w:ind w:right="256"/>
              <w:jc w:val="right"/>
            </w:pPr>
            <w:r w:rsidRPr="00281F57">
              <w:t>12304</w:t>
            </w:r>
          </w:p>
        </w:tc>
      </w:tr>
      <w:tr w:rsidR="00281F57" w:rsidRPr="00281F57" w:rsidTr="00FD132B">
        <w:tc>
          <w:tcPr>
            <w:tcW w:w="5760" w:type="dxa"/>
          </w:tcPr>
          <w:p w:rsidR="00281F57" w:rsidRPr="00281F57" w:rsidRDefault="00281F57" w:rsidP="00FD132B">
            <w:pPr>
              <w:jc w:val="both"/>
            </w:pPr>
            <w:r w:rsidRPr="00281F57">
              <w:t>Stavbe za promet in stavbe za izvajanje elektronskih komunikacij</w:t>
            </w:r>
          </w:p>
          <w:p w:rsidR="00281F57" w:rsidRPr="00281F57" w:rsidRDefault="00281F57" w:rsidP="00FD132B">
            <w:pPr>
              <w:jc w:val="both"/>
            </w:pPr>
            <w:r w:rsidRPr="00281F57">
              <w:t xml:space="preserve">   - postaje, terminali, stavbe za izvajanje elektronskih komunikacij ter z njimi povezane stavbe</w:t>
            </w:r>
          </w:p>
          <w:p w:rsidR="00281F57" w:rsidRPr="00281F57" w:rsidRDefault="00281F57" w:rsidP="00FD132B">
            <w:pPr>
              <w:jc w:val="both"/>
            </w:pPr>
            <w:r w:rsidRPr="00281F57">
              <w:t xml:space="preserve">   - garažne stavbe</w:t>
            </w:r>
          </w:p>
        </w:tc>
        <w:tc>
          <w:tcPr>
            <w:tcW w:w="1442" w:type="dxa"/>
          </w:tcPr>
          <w:p w:rsidR="00281F57" w:rsidRPr="00281F57" w:rsidRDefault="00281F57" w:rsidP="00FD132B">
            <w:pPr>
              <w:ind w:right="254"/>
              <w:jc w:val="right"/>
            </w:pPr>
          </w:p>
          <w:p w:rsidR="00281F57" w:rsidRPr="00281F57" w:rsidRDefault="00281F57" w:rsidP="00FD132B">
            <w:pPr>
              <w:ind w:right="254"/>
              <w:jc w:val="right"/>
            </w:pPr>
          </w:p>
          <w:p w:rsidR="00281F57" w:rsidRPr="00281F57" w:rsidRDefault="00281F57" w:rsidP="00FD132B">
            <w:pPr>
              <w:ind w:right="254"/>
              <w:jc w:val="right"/>
            </w:pPr>
            <w:r w:rsidRPr="00281F57">
              <w:t>1,00</w:t>
            </w:r>
          </w:p>
          <w:p w:rsidR="00281F57" w:rsidRPr="00281F57" w:rsidRDefault="00281F57" w:rsidP="00FD132B">
            <w:pPr>
              <w:ind w:right="254"/>
              <w:jc w:val="right"/>
            </w:pPr>
          </w:p>
          <w:p w:rsidR="00281F57" w:rsidRPr="00281F57" w:rsidRDefault="00281F57" w:rsidP="00FD132B">
            <w:pPr>
              <w:ind w:right="254"/>
              <w:jc w:val="right"/>
            </w:pPr>
            <w:r w:rsidRPr="00281F57">
              <w:t>0,70</w:t>
            </w:r>
          </w:p>
        </w:tc>
        <w:tc>
          <w:tcPr>
            <w:tcW w:w="1978" w:type="dxa"/>
          </w:tcPr>
          <w:p w:rsidR="00281F57" w:rsidRPr="00281F57" w:rsidRDefault="00281F57" w:rsidP="00FD132B">
            <w:pPr>
              <w:ind w:right="256"/>
              <w:jc w:val="right"/>
            </w:pPr>
            <w:r w:rsidRPr="00281F57">
              <w:t>124</w:t>
            </w:r>
          </w:p>
          <w:p w:rsidR="00281F57" w:rsidRPr="00281F57" w:rsidRDefault="00281F57" w:rsidP="00FD132B">
            <w:pPr>
              <w:ind w:right="256"/>
              <w:jc w:val="right"/>
            </w:pPr>
          </w:p>
          <w:p w:rsidR="00281F57" w:rsidRPr="00281F57" w:rsidRDefault="00281F57" w:rsidP="00FD132B">
            <w:pPr>
              <w:ind w:right="256"/>
              <w:jc w:val="right"/>
            </w:pPr>
            <w:r w:rsidRPr="00281F57">
              <w:t>12410</w:t>
            </w:r>
          </w:p>
          <w:p w:rsidR="00281F57" w:rsidRPr="00281F57" w:rsidRDefault="00281F57" w:rsidP="00FD132B">
            <w:pPr>
              <w:ind w:right="256"/>
              <w:jc w:val="right"/>
            </w:pPr>
          </w:p>
          <w:p w:rsidR="00281F57" w:rsidRPr="00281F57" w:rsidRDefault="00281F57" w:rsidP="00FD132B">
            <w:pPr>
              <w:ind w:right="256"/>
              <w:jc w:val="right"/>
            </w:pPr>
            <w:r w:rsidRPr="00281F57">
              <w:t>12420</w:t>
            </w:r>
          </w:p>
        </w:tc>
      </w:tr>
      <w:tr w:rsidR="00281F57" w:rsidRPr="00281F57" w:rsidTr="00FD132B">
        <w:tc>
          <w:tcPr>
            <w:tcW w:w="5760" w:type="dxa"/>
          </w:tcPr>
          <w:p w:rsidR="00281F57" w:rsidRPr="00281F57" w:rsidRDefault="00281F57" w:rsidP="00FD132B">
            <w:pPr>
              <w:jc w:val="both"/>
            </w:pPr>
            <w:r w:rsidRPr="00281F57">
              <w:t>Industrijske stavbe in skladišča</w:t>
            </w:r>
          </w:p>
          <w:p w:rsidR="00281F57" w:rsidRPr="00281F57" w:rsidRDefault="00281F57" w:rsidP="00FD132B">
            <w:pPr>
              <w:jc w:val="both"/>
            </w:pPr>
            <w:r w:rsidRPr="00281F57">
              <w:t xml:space="preserve">   - industrijske stavbe</w:t>
            </w:r>
          </w:p>
          <w:p w:rsidR="00281F57" w:rsidRPr="00281F57" w:rsidRDefault="00281F57" w:rsidP="00FD132B">
            <w:pPr>
              <w:jc w:val="both"/>
              <w:rPr>
                <w:rFonts w:eastAsia="Gulim"/>
              </w:rPr>
            </w:pPr>
            <w:r w:rsidRPr="00281F57">
              <w:rPr>
                <w:rFonts w:eastAsia="Gulim"/>
              </w:rPr>
              <w:t xml:space="preserve">   - rezervoarji, silosi in skladišča</w:t>
            </w:r>
          </w:p>
        </w:tc>
        <w:tc>
          <w:tcPr>
            <w:tcW w:w="1442" w:type="dxa"/>
          </w:tcPr>
          <w:p w:rsidR="00281F57" w:rsidRPr="00281F57" w:rsidRDefault="00281F57" w:rsidP="00FD132B">
            <w:pPr>
              <w:ind w:right="254"/>
              <w:jc w:val="right"/>
            </w:pPr>
          </w:p>
          <w:p w:rsidR="00281F57" w:rsidRPr="00281F57" w:rsidRDefault="00281F57" w:rsidP="00FD132B">
            <w:pPr>
              <w:ind w:right="254"/>
              <w:jc w:val="right"/>
            </w:pPr>
            <w:r w:rsidRPr="00281F57">
              <w:t>0,70</w:t>
            </w:r>
          </w:p>
          <w:p w:rsidR="00281F57" w:rsidRPr="00281F57" w:rsidRDefault="00281F57" w:rsidP="00FD132B">
            <w:pPr>
              <w:ind w:right="254"/>
              <w:jc w:val="right"/>
            </w:pPr>
            <w:r w:rsidRPr="00281F57">
              <w:t>1,00</w:t>
            </w:r>
          </w:p>
        </w:tc>
        <w:tc>
          <w:tcPr>
            <w:tcW w:w="1978" w:type="dxa"/>
          </w:tcPr>
          <w:p w:rsidR="00281F57" w:rsidRPr="00281F57" w:rsidRDefault="00281F57" w:rsidP="00FD132B">
            <w:pPr>
              <w:ind w:right="256"/>
              <w:jc w:val="right"/>
            </w:pPr>
            <w:r w:rsidRPr="00281F57">
              <w:t>125</w:t>
            </w:r>
          </w:p>
          <w:p w:rsidR="00281F57" w:rsidRPr="00281F57" w:rsidRDefault="00281F57" w:rsidP="00FD132B">
            <w:pPr>
              <w:ind w:right="256"/>
              <w:jc w:val="right"/>
            </w:pPr>
            <w:r w:rsidRPr="00281F57">
              <w:t>12510</w:t>
            </w:r>
          </w:p>
          <w:p w:rsidR="00281F57" w:rsidRPr="00281F57" w:rsidRDefault="00281F57" w:rsidP="00FD132B">
            <w:pPr>
              <w:ind w:right="256"/>
              <w:jc w:val="right"/>
            </w:pPr>
            <w:r w:rsidRPr="00281F57">
              <w:t>12520</w:t>
            </w:r>
          </w:p>
        </w:tc>
      </w:tr>
      <w:tr w:rsidR="00281F57" w:rsidRPr="00281F57" w:rsidTr="00FD132B">
        <w:tc>
          <w:tcPr>
            <w:tcW w:w="5760" w:type="dxa"/>
          </w:tcPr>
          <w:p w:rsidR="00281F57" w:rsidRPr="00281F57" w:rsidRDefault="00281F57" w:rsidP="00FD132B">
            <w:pPr>
              <w:jc w:val="both"/>
            </w:pPr>
            <w:r w:rsidRPr="00281F57">
              <w:t>Stavbe splošnega družbenega pomena</w:t>
            </w:r>
          </w:p>
          <w:p w:rsidR="00281F57" w:rsidRPr="00281F57" w:rsidRDefault="00281F57" w:rsidP="00FD132B">
            <w:pPr>
              <w:jc w:val="both"/>
            </w:pPr>
            <w:r w:rsidRPr="00281F57">
              <w:t xml:space="preserve">   - stavbe za kulturo in razvedrilo</w:t>
            </w:r>
          </w:p>
          <w:p w:rsidR="00281F57" w:rsidRPr="00281F57" w:rsidRDefault="00281F57" w:rsidP="00FD132B">
            <w:pPr>
              <w:jc w:val="both"/>
            </w:pPr>
            <w:r w:rsidRPr="00281F57">
              <w:t xml:space="preserve">   - muzeji in knjižnice</w:t>
            </w:r>
          </w:p>
          <w:p w:rsidR="00281F57" w:rsidRPr="00281F57" w:rsidRDefault="00281F57" w:rsidP="00FD132B">
            <w:pPr>
              <w:jc w:val="both"/>
            </w:pPr>
            <w:r w:rsidRPr="00281F57">
              <w:t xml:space="preserve">   - stavbe za izobraževanje in znanstvenoraziskovalno delo</w:t>
            </w:r>
          </w:p>
          <w:p w:rsidR="00281F57" w:rsidRPr="00281F57" w:rsidRDefault="00281F57" w:rsidP="00FD132B">
            <w:pPr>
              <w:jc w:val="both"/>
            </w:pPr>
            <w:r w:rsidRPr="00281F57">
              <w:t xml:space="preserve">   - stavbe za zdravstvo</w:t>
            </w:r>
          </w:p>
          <w:p w:rsidR="00281F57" w:rsidRPr="00281F57" w:rsidRDefault="00281F57" w:rsidP="00FD132B">
            <w:pPr>
              <w:jc w:val="both"/>
            </w:pPr>
            <w:r w:rsidRPr="00281F57">
              <w:t xml:space="preserve">   - športne dvorane</w:t>
            </w:r>
          </w:p>
        </w:tc>
        <w:tc>
          <w:tcPr>
            <w:tcW w:w="1442" w:type="dxa"/>
          </w:tcPr>
          <w:p w:rsidR="00281F57" w:rsidRPr="00281F57" w:rsidRDefault="00281F57" w:rsidP="00FD132B">
            <w:pPr>
              <w:ind w:right="254"/>
              <w:jc w:val="right"/>
            </w:pPr>
          </w:p>
          <w:p w:rsidR="00281F57" w:rsidRPr="00281F57" w:rsidRDefault="00281F57" w:rsidP="00FD132B">
            <w:pPr>
              <w:ind w:right="254"/>
              <w:jc w:val="right"/>
            </w:pPr>
            <w:r w:rsidRPr="00281F57">
              <w:t>0,80</w:t>
            </w:r>
          </w:p>
          <w:p w:rsidR="00281F57" w:rsidRPr="00281F57" w:rsidRDefault="00281F57" w:rsidP="00FD132B">
            <w:pPr>
              <w:ind w:right="254"/>
              <w:jc w:val="right"/>
            </w:pPr>
            <w:r w:rsidRPr="00281F57">
              <w:t>0,80</w:t>
            </w:r>
          </w:p>
          <w:p w:rsidR="00281F57" w:rsidRPr="00281F57" w:rsidRDefault="00281F57" w:rsidP="00FD132B">
            <w:pPr>
              <w:ind w:right="254"/>
              <w:jc w:val="right"/>
            </w:pPr>
            <w:r w:rsidRPr="00281F57">
              <w:t>0,80</w:t>
            </w:r>
          </w:p>
          <w:p w:rsidR="00281F57" w:rsidRPr="00281F57" w:rsidRDefault="00281F57" w:rsidP="00FD132B">
            <w:pPr>
              <w:ind w:right="254"/>
              <w:jc w:val="right"/>
            </w:pPr>
          </w:p>
          <w:p w:rsidR="00281F57" w:rsidRPr="00281F57" w:rsidRDefault="00281F57" w:rsidP="00FD132B">
            <w:pPr>
              <w:ind w:right="254"/>
              <w:jc w:val="right"/>
            </w:pPr>
            <w:r w:rsidRPr="00281F57">
              <w:t>0,80</w:t>
            </w:r>
          </w:p>
          <w:p w:rsidR="00281F57" w:rsidRPr="00281F57" w:rsidRDefault="00281F57" w:rsidP="00FD132B">
            <w:pPr>
              <w:ind w:right="254"/>
              <w:jc w:val="right"/>
            </w:pPr>
            <w:r w:rsidRPr="00281F57">
              <w:t>0,80</w:t>
            </w:r>
          </w:p>
        </w:tc>
        <w:tc>
          <w:tcPr>
            <w:tcW w:w="1978" w:type="dxa"/>
          </w:tcPr>
          <w:p w:rsidR="00281F57" w:rsidRPr="00281F57" w:rsidRDefault="00281F57" w:rsidP="00FD132B">
            <w:pPr>
              <w:ind w:right="256"/>
              <w:jc w:val="right"/>
            </w:pPr>
            <w:r w:rsidRPr="00281F57">
              <w:t>126</w:t>
            </w:r>
          </w:p>
          <w:p w:rsidR="00281F57" w:rsidRPr="00281F57" w:rsidRDefault="00281F57" w:rsidP="00FD132B">
            <w:pPr>
              <w:ind w:right="256"/>
              <w:jc w:val="right"/>
            </w:pPr>
            <w:r w:rsidRPr="00281F57">
              <w:t>12610</w:t>
            </w:r>
          </w:p>
          <w:p w:rsidR="00281F57" w:rsidRPr="00281F57" w:rsidRDefault="00281F57" w:rsidP="00FD132B">
            <w:pPr>
              <w:ind w:right="256"/>
              <w:jc w:val="right"/>
            </w:pPr>
            <w:r w:rsidRPr="00281F57">
              <w:t>12620</w:t>
            </w:r>
          </w:p>
          <w:p w:rsidR="00281F57" w:rsidRPr="00281F57" w:rsidRDefault="00281F57" w:rsidP="00FD132B">
            <w:pPr>
              <w:ind w:right="256"/>
              <w:jc w:val="right"/>
            </w:pPr>
            <w:r w:rsidRPr="00281F57">
              <w:t>12630</w:t>
            </w:r>
          </w:p>
          <w:p w:rsidR="00281F57" w:rsidRPr="00281F57" w:rsidRDefault="00281F57" w:rsidP="00FD132B">
            <w:pPr>
              <w:ind w:right="256"/>
              <w:jc w:val="right"/>
            </w:pPr>
          </w:p>
          <w:p w:rsidR="00281F57" w:rsidRPr="00281F57" w:rsidRDefault="00281F57" w:rsidP="00FD132B">
            <w:pPr>
              <w:ind w:right="256"/>
              <w:jc w:val="right"/>
            </w:pPr>
            <w:r w:rsidRPr="00281F57">
              <w:t>12640</w:t>
            </w:r>
          </w:p>
          <w:p w:rsidR="00281F57" w:rsidRPr="00281F57" w:rsidRDefault="00281F57" w:rsidP="00FD132B">
            <w:pPr>
              <w:ind w:right="256"/>
              <w:jc w:val="right"/>
            </w:pPr>
            <w:r w:rsidRPr="00281F57">
              <w:t>12650</w:t>
            </w:r>
          </w:p>
        </w:tc>
      </w:tr>
      <w:tr w:rsidR="00281F57" w:rsidRPr="00281F57" w:rsidTr="00FD132B">
        <w:tc>
          <w:tcPr>
            <w:tcW w:w="5760" w:type="dxa"/>
          </w:tcPr>
          <w:p w:rsidR="00281F57" w:rsidRPr="00281F57" w:rsidRDefault="00281F57" w:rsidP="00FD132B">
            <w:pPr>
              <w:jc w:val="both"/>
            </w:pPr>
            <w:r w:rsidRPr="00281F57">
              <w:t>Druge nestanovanjske stavbe</w:t>
            </w:r>
          </w:p>
          <w:p w:rsidR="00281F57" w:rsidRPr="00281F57" w:rsidRDefault="00281F57" w:rsidP="00FD132B">
            <w:pPr>
              <w:jc w:val="both"/>
            </w:pPr>
            <w:r w:rsidRPr="00281F57">
              <w:t xml:space="preserve">   - stavbe za rastlinsko pridelavo</w:t>
            </w:r>
          </w:p>
          <w:p w:rsidR="00281F57" w:rsidRPr="00281F57" w:rsidRDefault="00281F57" w:rsidP="00FD132B">
            <w:pPr>
              <w:jc w:val="both"/>
            </w:pPr>
            <w:r w:rsidRPr="00281F57">
              <w:t xml:space="preserve">   - stavbe za rejo živali</w:t>
            </w:r>
          </w:p>
          <w:p w:rsidR="00281F57" w:rsidRPr="00281F57" w:rsidRDefault="00281F57" w:rsidP="00FD132B">
            <w:pPr>
              <w:jc w:val="both"/>
            </w:pPr>
            <w:r w:rsidRPr="00281F57">
              <w:lastRenderedPageBreak/>
              <w:t xml:space="preserve">   - stavbe za spravilo pridelka</w:t>
            </w:r>
          </w:p>
          <w:p w:rsidR="00281F57" w:rsidRPr="00281F57" w:rsidRDefault="00281F57" w:rsidP="00FD132B">
            <w:pPr>
              <w:jc w:val="both"/>
            </w:pPr>
            <w:r w:rsidRPr="00281F57">
              <w:t xml:space="preserve">   - druge nestanovanjske kmetijske stavbe</w:t>
            </w:r>
          </w:p>
          <w:p w:rsidR="00281F57" w:rsidRPr="00281F57" w:rsidRDefault="00281F57" w:rsidP="00FD132B">
            <w:pPr>
              <w:jc w:val="both"/>
            </w:pPr>
            <w:r w:rsidRPr="00281F57">
              <w:t xml:space="preserve">   - stavbe za opravljanje verskih obredov</w:t>
            </w:r>
          </w:p>
          <w:p w:rsidR="00281F57" w:rsidRPr="00281F57" w:rsidRDefault="00281F57" w:rsidP="00FD132B">
            <w:pPr>
              <w:jc w:val="both"/>
            </w:pPr>
            <w:r w:rsidRPr="00281F57">
              <w:t xml:space="preserve">   - pokopališke stavbe in spremljajoči objekti</w:t>
            </w:r>
          </w:p>
          <w:p w:rsidR="00281F57" w:rsidRPr="00281F57" w:rsidRDefault="00281F57" w:rsidP="00FD132B">
            <w:pPr>
              <w:jc w:val="both"/>
            </w:pPr>
            <w:r w:rsidRPr="00281F57">
              <w:t xml:space="preserve">   - kulturni spomeniki</w:t>
            </w:r>
          </w:p>
          <w:p w:rsidR="00281F57" w:rsidRPr="00281F57" w:rsidRDefault="00281F57" w:rsidP="00FD132B">
            <w:pPr>
              <w:jc w:val="both"/>
            </w:pPr>
            <w:r w:rsidRPr="00281F57">
              <w:t xml:space="preserve">   - druge nestanovanjske stavbe, ki niso uvrščene drugje</w:t>
            </w:r>
          </w:p>
        </w:tc>
        <w:tc>
          <w:tcPr>
            <w:tcW w:w="1442" w:type="dxa"/>
          </w:tcPr>
          <w:p w:rsidR="00281F57" w:rsidRPr="00281F57" w:rsidRDefault="00281F57" w:rsidP="00FD132B">
            <w:pPr>
              <w:ind w:right="254"/>
              <w:jc w:val="right"/>
            </w:pPr>
          </w:p>
          <w:p w:rsidR="00281F57" w:rsidRPr="00281F57" w:rsidRDefault="00281F57" w:rsidP="00FD132B">
            <w:pPr>
              <w:ind w:right="254"/>
              <w:jc w:val="right"/>
            </w:pPr>
            <w:r w:rsidRPr="00281F57">
              <w:t>0,70</w:t>
            </w:r>
          </w:p>
          <w:p w:rsidR="00281F57" w:rsidRPr="00281F57" w:rsidRDefault="00281F57" w:rsidP="00FD132B">
            <w:pPr>
              <w:ind w:right="254"/>
              <w:jc w:val="right"/>
            </w:pPr>
            <w:r w:rsidRPr="00281F57">
              <w:t>0,70</w:t>
            </w:r>
          </w:p>
          <w:p w:rsidR="00281F57" w:rsidRPr="00281F57" w:rsidRDefault="00281F57" w:rsidP="00FD132B">
            <w:pPr>
              <w:ind w:right="254"/>
              <w:jc w:val="right"/>
            </w:pPr>
            <w:r w:rsidRPr="00281F57">
              <w:lastRenderedPageBreak/>
              <w:t>0,70</w:t>
            </w:r>
          </w:p>
          <w:p w:rsidR="00281F57" w:rsidRPr="00281F57" w:rsidRDefault="00281F57" w:rsidP="00FD132B">
            <w:pPr>
              <w:ind w:right="254"/>
              <w:jc w:val="right"/>
            </w:pPr>
            <w:r w:rsidRPr="00281F57">
              <w:t>0,70</w:t>
            </w:r>
          </w:p>
          <w:p w:rsidR="00281F57" w:rsidRPr="00281F57" w:rsidRDefault="00281F57" w:rsidP="00FD132B">
            <w:pPr>
              <w:ind w:right="254"/>
              <w:jc w:val="right"/>
            </w:pPr>
            <w:r w:rsidRPr="00281F57">
              <w:t>0,70</w:t>
            </w:r>
          </w:p>
          <w:p w:rsidR="00281F57" w:rsidRPr="00281F57" w:rsidRDefault="00281F57" w:rsidP="00FD132B">
            <w:pPr>
              <w:ind w:right="254"/>
              <w:jc w:val="right"/>
            </w:pPr>
            <w:r w:rsidRPr="00281F57">
              <w:t>0,70</w:t>
            </w:r>
          </w:p>
          <w:p w:rsidR="00281F57" w:rsidRPr="00281F57" w:rsidRDefault="00281F57" w:rsidP="00FD132B">
            <w:pPr>
              <w:ind w:right="254"/>
              <w:jc w:val="right"/>
            </w:pPr>
            <w:r w:rsidRPr="00281F57">
              <w:t>0,70</w:t>
            </w:r>
          </w:p>
          <w:p w:rsidR="00281F57" w:rsidRPr="00281F57" w:rsidRDefault="00281F57" w:rsidP="00FD132B">
            <w:pPr>
              <w:ind w:right="254"/>
              <w:jc w:val="right"/>
            </w:pPr>
            <w:r w:rsidRPr="00281F57">
              <w:t>0,70</w:t>
            </w:r>
          </w:p>
        </w:tc>
        <w:tc>
          <w:tcPr>
            <w:tcW w:w="1978" w:type="dxa"/>
          </w:tcPr>
          <w:p w:rsidR="00281F57" w:rsidRPr="00281F57" w:rsidRDefault="00281F57" w:rsidP="00FD132B">
            <w:pPr>
              <w:ind w:right="256"/>
              <w:jc w:val="right"/>
            </w:pPr>
            <w:r w:rsidRPr="00281F57">
              <w:lastRenderedPageBreak/>
              <w:t>127</w:t>
            </w:r>
          </w:p>
          <w:p w:rsidR="00281F57" w:rsidRPr="00281F57" w:rsidRDefault="00281F57" w:rsidP="00FD132B">
            <w:pPr>
              <w:ind w:right="256"/>
              <w:jc w:val="right"/>
            </w:pPr>
            <w:r w:rsidRPr="00281F57">
              <w:t>12711</w:t>
            </w:r>
          </w:p>
          <w:p w:rsidR="00281F57" w:rsidRPr="00281F57" w:rsidRDefault="00281F57" w:rsidP="00FD132B">
            <w:pPr>
              <w:ind w:right="256"/>
              <w:jc w:val="right"/>
            </w:pPr>
            <w:r w:rsidRPr="00281F57">
              <w:t>12712</w:t>
            </w:r>
          </w:p>
          <w:p w:rsidR="00281F57" w:rsidRPr="00281F57" w:rsidRDefault="00281F57" w:rsidP="00FD132B">
            <w:pPr>
              <w:ind w:right="256"/>
              <w:jc w:val="right"/>
            </w:pPr>
            <w:r w:rsidRPr="00281F57">
              <w:lastRenderedPageBreak/>
              <w:t>12713</w:t>
            </w:r>
          </w:p>
          <w:p w:rsidR="00281F57" w:rsidRPr="00281F57" w:rsidRDefault="00281F57" w:rsidP="00FD132B">
            <w:pPr>
              <w:ind w:right="256"/>
              <w:jc w:val="right"/>
            </w:pPr>
            <w:r w:rsidRPr="00281F57">
              <w:t>12714</w:t>
            </w:r>
          </w:p>
          <w:p w:rsidR="00281F57" w:rsidRPr="00281F57" w:rsidRDefault="00281F57" w:rsidP="00FD132B">
            <w:pPr>
              <w:ind w:right="256"/>
              <w:jc w:val="right"/>
            </w:pPr>
            <w:r w:rsidRPr="00281F57">
              <w:t>12721</w:t>
            </w:r>
          </w:p>
          <w:p w:rsidR="00281F57" w:rsidRPr="00281F57" w:rsidRDefault="00281F57" w:rsidP="00FD132B">
            <w:pPr>
              <w:ind w:right="256"/>
              <w:jc w:val="right"/>
            </w:pPr>
            <w:r w:rsidRPr="00281F57">
              <w:t>12722</w:t>
            </w:r>
          </w:p>
          <w:p w:rsidR="00281F57" w:rsidRPr="00281F57" w:rsidRDefault="00281F57" w:rsidP="00FD132B">
            <w:pPr>
              <w:ind w:right="256"/>
              <w:jc w:val="right"/>
            </w:pPr>
            <w:r w:rsidRPr="00281F57">
              <w:t>12730</w:t>
            </w:r>
          </w:p>
          <w:p w:rsidR="00281F57" w:rsidRPr="00281F57" w:rsidRDefault="00281F57" w:rsidP="00FD132B">
            <w:pPr>
              <w:ind w:right="256"/>
              <w:jc w:val="right"/>
            </w:pPr>
            <w:r w:rsidRPr="00281F57">
              <w:t>12740</w:t>
            </w:r>
          </w:p>
        </w:tc>
      </w:tr>
    </w:tbl>
    <w:p w:rsidR="00281F57" w:rsidRPr="00281F57" w:rsidRDefault="00281F57" w:rsidP="00281F57">
      <w:pPr>
        <w:jc w:val="both"/>
        <w:rPr>
          <w:i/>
        </w:rPr>
      </w:pPr>
    </w:p>
    <w:p w:rsidR="00281F57" w:rsidRPr="00281F57" w:rsidRDefault="00B824F6" w:rsidP="00B824F6">
      <w:pPr>
        <w:jc w:val="both"/>
      </w:pPr>
      <w:r>
        <w:t xml:space="preserve">(3) </w:t>
      </w:r>
      <w:r w:rsidR="00281F57" w:rsidRPr="00281F57">
        <w:t>Za vse objekte, ki po klasifikaciji ne sodijo v nobeno od v tabeli navedenih postavk velja, da je faktor dejavnosti 1,00.</w:t>
      </w:r>
    </w:p>
    <w:p w:rsidR="00281F57" w:rsidRPr="00281F57" w:rsidRDefault="00281F57" w:rsidP="00281F57">
      <w:pPr>
        <w:jc w:val="center"/>
        <w:rPr>
          <w:b/>
        </w:rPr>
      </w:pPr>
      <w:r w:rsidRPr="00281F57">
        <w:rPr>
          <w:b/>
        </w:rPr>
        <w:t>11. člen</w:t>
      </w:r>
    </w:p>
    <w:p w:rsidR="00281F57" w:rsidRPr="00281F57" w:rsidRDefault="00281F57" w:rsidP="00281F57">
      <w:pPr>
        <w:jc w:val="center"/>
        <w:rPr>
          <w:b/>
        </w:rPr>
      </w:pPr>
      <w:r w:rsidRPr="00281F57">
        <w:rPr>
          <w:b/>
        </w:rPr>
        <w:t>(skupni in obračunski stroški)</w:t>
      </w:r>
    </w:p>
    <w:p w:rsidR="00281F57" w:rsidRPr="00281F57" w:rsidRDefault="00281F57" w:rsidP="00281F57">
      <w:pPr>
        <w:jc w:val="both"/>
      </w:pPr>
    </w:p>
    <w:p w:rsidR="00281F57" w:rsidRDefault="00281F57" w:rsidP="00281F57">
      <w:pPr>
        <w:jc w:val="both"/>
        <w:rPr>
          <w:i/>
        </w:rPr>
      </w:pPr>
      <w:r w:rsidRPr="00281F57">
        <w:t xml:space="preserve">Prikaz skupnih stroškov (Ss) in obračunskih stroškov (Os) obstoječe komunalne opreme je razviden iz preglednice 2. </w:t>
      </w:r>
    </w:p>
    <w:p w:rsidR="00281F57" w:rsidRDefault="00281F57" w:rsidP="00281F57">
      <w:pPr>
        <w:jc w:val="both"/>
        <w:rPr>
          <w:i/>
        </w:rPr>
      </w:pPr>
    </w:p>
    <w:p w:rsidR="00281F57" w:rsidRPr="00281F57" w:rsidRDefault="00281F57" w:rsidP="00281F57">
      <w:pPr>
        <w:jc w:val="both"/>
      </w:pPr>
      <w:r w:rsidRPr="00281F57">
        <w:rPr>
          <w:i/>
        </w:rPr>
        <w:t>Preglednica 2: Prikaz skupnih in obračunskih stroškov obstoječe opreme</w:t>
      </w:r>
    </w:p>
    <w:p w:rsidR="00281F57" w:rsidRPr="00281F57" w:rsidRDefault="00281F57" w:rsidP="00281F57">
      <w:pPr>
        <w:jc w:val="both"/>
      </w:pPr>
    </w:p>
    <w:tbl>
      <w:tblPr>
        <w:tblW w:w="9072"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701"/>
        <w:gridCol w:w="4600"/>
        <w:gridCol w:w="1417"/>
        <w:gridCol w:w="1354"/>
      </w:tblGrid>
      <w:tr w:rsidR="00281F57" w:rsidRPr="00281F57" w:rsidTr="00FD132B">
        <w:trPr>
          <w:trHeight w:val="255"/>
        </w:trPr>
        <w:tc>
          <w:tcPr>
            <w:tcW w:w="1701" w:type="dxa"/>
            <w:tcBorders>
              <w:top w:val="single" w:sz="12" w:space="0" w:color="auto"/>
              <w:bottom w:val="single" w:sz="12" w:space="0" w:color="auto"/>
            </w:tcBorders>
            <w:shd w:val="clear" w:color="auto" w:fill="E0E0E0"/>
            <w:noWrap/>
            <w:vAlign w:val="bottom"/>
          </w:tcPr>
          <w:p w:rsidR="00281F57" w:rsidRPr="00281F57" w:rsidRDefault="00281F57" w:rsidP="00FD132B">
            <w:pPr>
              <w:jc w:val="center"/>
              <w:rPr>
                <w:b/>
                <w:bCs/>
              </w:rPr>
            </w:pPr>
            <w:r w:rsidRPr="00281F57">
              <w:rPr>
                <w:b/>
                <w:bCs/>
              </w:rPr>
              <w:t>Komunalna oprema</w:t>
            </w:r>
          </w:p>
        </w:tc>
        <w:tc>
          <w:tcPr>
            <w:tcW w:w="4678" w:type="dxa"/>
            <w:tcBorders>
              <w:top w:val="single" w:sz="12" w:space="0" w:color="auto"/>
              <w:bottom w:val="single" w:sz="12" w:space="0" w:color="auto"/>
            </w:tcBorders>
            <w:shd w:val="clear" w:color="auto" w:fill="E0E0E0"/>
          </w:tcPr>
          <w:p w:rsidR="00281F57" w:rsidRPr="00281F57" w:rsidRDefault="00281F57" w:rsidP="00FD132B">
            <w:pPr>
              <w:jc w:val="center"/>
              <w:rPr>
                <w:b/>
                <w:bCs/>
              </w:rPr>
            </w:pPr>
            <w:r w:rsidRPr="00281F57">
              <w:rPr>
                <w:b/>
                <w:bCs/>
              </w:rPr>
              <w:t>Obračunsko območje</w:t>
            </w:r>
          </w:p>
        </w:tc>
        <w:tc>
          <w:tcPr>
            <w:tcW w:w="1417" w:type="dxa"/>
            <w:tcBorders>
              <w:top w:val="single" w:sz="12" w:space="0" w:color="auto"/>
              <w:bottom w:val="single" w:sz="12" w:space="0" w:color="auto"/>
            </w:tcBorders>
            <w:shd w:val="clear" w:color="auto" w:fill="E0E0E0"/>
            <w:noWrap/>
            <w:vAlign w:val="bottom"/>
          </w:tcPr>
          <w:p w:rsidR="00281F57" w:rsidRPr="00281F57" w:rsidRDefault="00281F57" w:rsidP="00FD132B">
            <w:pPr>
              <w:jc w:val="center"/>
              <w:rPr>
                <w:b/>
                <w:bCs/>
              </w:rPr>
            </w:pPr>
            <w:r w:rsidRPr="00281F57">
              <w:rPr>
                <w:b/>
                <w:bCs/>
              </w:rPr>
              <w:t xml:space="preserve">Skupni stroški </w:t>
            </w:r>
          </w:p>
          <w:p w:rsidR="00281F57" w:rsidRPr="00281F57" w:rsidRDefault="00281F57" w:rsidP="00FD132B">
            <w:pPr>
              <w:jc w:val="center"/>
              <w:rPr>
                <w:b/>
                <w:bCs/>
              </w:rPr>
            </w:pPr>
            <w:r w:rsidRPr="00281F57">
              <w:rPr>
                <w:b/>
                <w:bCs/>
              </w:rPr>
              <w:t>v EUR</w:t>
            </w:r>
          </w:p>
        </w:tc>
        <w:tc>
          <w:tcPr>
            <w:tcW w:w="1276" w:type="dxa"/>
            <w:tcBorders>
              <w:top w:val="single" w:sz="12" w:space="0" w:color="auto"/>
              <w:bottom w:val="single" w:sz="12" w:space="0" w:color="auto"/>
            </w:tcBorders>
            <w:shd w:val="clear" w:color="auto" w:fill="E0E0E0"/>
            <w:noWrap/>
            <w:vAlign w:val="bottom"/>
          </w:tcPr>
          <w:p w:rsidR="00281F57" w:rsidRPr="00281F57" w:rsidRDefault="00281F57" w:rsidP="00FD132B">
            <w:pPr>
              <w:jc w:val="center"/>
              <w:rPr>
                <w:b/>
                <w:bCs/>
              </w:rPr>
            </w:pPr>
            <w:r w:rsidRPr="00281F57">
              <w:rPr>
                <w:b/>
                <w:bCs/>
              </w:rPr>
              <w:t>Obračunski stroški v EUR</w:t>
            </w:r>
          </w:p>
        </w:tc>
      </w:tr>
      <w:tr w:rsidR="00281F57" w:rsidRPr="00281F57" w:rsidTr="00FD132B">
        <w:trPr>
          <w:trHeight w:val="255"/>
        </w:trPr>
        <w:tc>
          <w:tcPr>
            <w:tcW w:w="1701" w:type="dxa"/>
            <w:tcBorders>
              <w:top w:val="single" w:sz="12" w:space="0" w:color="auto"/>
            </w:tcBorders>
            <w:shd w:val="clear" w:color="auto" w:fill="auto"/>
            <w:noWrap/>
            <w:vAlign w:val="center"/>
          </w:tcPr>
          <w:p w:rsidR="00281F57" w:rsidRPr="00281F57" w:rsidRDefault="00281F57" w:rsidP="00FD132B">
            <w:r w:rsidRPr="00281F57">
              <w:t>Vodovod</w:t>
            </w:r>
          </w:p>
        </w:tc>
        <w:tc>
          <w:tcPr>
            <w:tcW w:w="4678" w:type="dxa"/>
            <w:tcBorders>
              <w:top w:val="single" w:sz="12" w:space="0" w:color="auto"/>
            </w:tcBorders>
          </w:tcPr>
          <w:p w:rsidR="00281F57" w:rsidRPr="00281F57" w:rsidRDefault="00281F57" w:rsidP="00FD132B">
            <w:pPr>
              <w:jc w:val="right"/>
            </w:pPr>
            <w:r w:rsidRPr="00281F57">
              <w:t>VOD – vodovodno omrežje</w:t>
            </w:r>
          </w:p>
        </w:tc>
        <w:tc>
          <w:tcPr>
            <w:tcW w:w="1417" w:type="dxa"/>
            <w:tcBorders>
              <w:top w:val="single" w:sz="12" w:space="0" w:color="auto"/>
            </w:tcBorders>
            <w:shd w:val="clear" w:color="auto" w:fill="auto"/>
            <w:noWrap/>
            <w:vAlign w:val="bottom"/>
          </w:tcPr>
          <w:p w:rsidR="00281F57" w:rsidRPr="00281F57" w:rsidRDefault="00281F57" w:rsidP="00FD132B">
            <w:pPr>
              <w:jc w:val="right"/>
            </w:pPr>
            <w:r w:rsidRPr="00281F57">
              <w:t>19.147.812</w:t>
            </w:r>
          </w:p>
        </w:tc>
        <w:tc>
          <w:tcPr>
            <w:tcW w:w="1276" w:type="dxa"/>
            <w:tcBorders>
              <w:top w:val="single" w:sz="12" w:space="0" w:color="auto"/>
            </w:tcBorders>
            <w:shd w:val="clear" w:color="auto" w:fill="auto"/>
            <w:noWrap/>
            <w:vAlign w:val="bottom"/>
          </w:tcPr>
          <w:p w:rsidR="00281F57" w:rsidRPr="00281F57" w:rsidRDefault="00281F57" w:rsidP="00FD132B">
            <w:pPr>
              <w:jc w:val="right"/>
            </w:pPr>
            <w:r w:rsidRPr="00281F57">
              <w:t>14.621.269</w:t>
            </w:r>
          </w:p>
        </w:tc>
      </w:tr>
      <w:tr w:rsidR="00281F57" w:rsidRPr="00281F57" w:rsidTr="00FD132B">
        <w:trPr>
          <w:trHeight w:val="204"/>
        </w:trPr>
        <w:tc>
          <w:tcPr>
            <w:tcW w:w="1701" w:type="dxa"/>
            <w:shd w:val="clear" w:color="auto" w:fill="auto"/>
            <w:noWrap/>
            <w:vAlign w:val="bottom"/>
          </w:tcPr>
          <w:p w:rsidR="00281F57" w:rsidRPr="00281F57" w:rsidRDefault="00281F57" w:rsidP="00FD132B">
            <w:r w:rsidRPr="00281F57">
              <w:t>Kanalizacija</w:t>
            </w:r>
          </w:p>
        </w:tc>
        <w:tc>
          <w:tcPr>
            <w:tcW w:w="4678" w:type="dxa"/>
          </w:tcPr>
          <w:p w:rsidR="00281F57" w:rsidRPr="00281F57" w:rsidRDefault="00281F57" w:rsidP="00FD132B">
            <w:pPr>
              <w:jc w:val="right"/>
            </w:pPr>
            <w:r w:rsidRPr="00281F57">
              <w:t>KAN – kanalizacijsko omrežje</w:t>
            </w:r>
          </w:p>
        </w:tc>
        <w:tc>
          <w:tcPr>
            <w:tcW w:w="1417" w:type="dxa"/>
            <w:shd w:val="clear" w:color="auto" w:fill="auto"/>
            <w:noWrap/>
            <w:vAlign w:val="bottom"/>
          </w:tcPr>
          <w:p w:rsidR="00281F57" w:rsidRPr="00281F57" w:rsidRDefault="00281F57" w:rsidP="00FD132B">
            <w:pPr>
              <w:jc w:val="right"/>
            </w:pPr>
            <w:r w:rsidRPr="00281F57">
              <w:t>43.296.681</w:t>
            </w:r>
          </w:p>
        </w:tc>
        <w:tc>
          <w:tcPr>
            <w:tcW w:w="1276" w:type="dxa"/>
            <w:shd w:val="clear" w:color="auto" w:fill="auto"/>
            <w:noWrap/>
            <w:vAlign w:val="bottom"/>
          </w:tcPr>
          <w:p w:rsidR="00281F57" w:rsidRPr="00281F57" w:rsidRDefault="00281F57" w:rsidP="00FD132B">
            <w:pPr>
              <w:jc w:val="right"/>
            </w:pPr>
            <w:r w:rsidRPr="00281F57">
              <w:t>21.833.128</w:t>
            </w:r>
          </w:p>
        </w:tc>
      </w:tr>
      <w:tr w:rsidR="00281F57" w:rsidRPr="00281F57" w:rsidTr="00FD132B">
        <w:trPr>
          <w:trHeight w:val="255"/>
        </w:trPr>
        <w:tc>
          <w:tcPr>
            <w:tcW w:w="1701" w:type="dxa"/>
            <w:vMerge w:val="restart"/>
            <w:shd w:val="clear" w:color="auto" w:fill="auto"/>
            <w:noWrap/>
            <w:vAlign w:val="center"/>
          </w:tcPr>
          <w:p w:rsidR="00281F57" w:rsidRPr="00281F57" w:rsidRDefault="00281F57" w:rsidP="00FD132B">
            <w:r w:rsidRPr="00281F57">
              <w:t>Ceste</w:t>
            </w:r>
          </w:p>
        </w:tc>
        <w:tc>
          <w:tcPr>
            <w:tcW w:w="4678" w:type="dxa"/>
          </w:tcPr>
          <w:p w:rsidR="00281F57" w:rsidRPr="00281F57" w:rsidRDefault="00281F57" w:rsidP="00FD132B">
            <w:pPr>
              <w:jc w:val="right"/>
            </w:pPr>
            <w:r w:rsidRPr="00281F57">
              <w:t>CE1 – cestno omrežje v starem mestnem jedru</w:t>
            </w:r>
          </w:p>
        </w:tc>
        <w:tc>
          <w:tcPr>
            <w:tcW w:w="1417" w:type="dxa"/>
            <w:shd w:val="clear" w:color="auto" w:fill="auto"/>
            <w:noWrap/>
            <w:vAlign w:val="bottom"/>
          </w:tcPr>
          <w:p w:rsidR="00281F57" w:rsidRPr="00281F57" w:rsidRDefault="00281F57" w:rsidP="00FD132B">
            <w:pPr>
              <w:jc w:val="right"/>
              <w:rPr>
                <w:iCs/>
              </w:rPr>
            </w:pPr>
            <w:r w:rsidRPr="00281F57">
              <w:rPr>
                <w:iCs/>
              </w:rPr>
              <w:t>4.109.055</w:t>
            </w:r>
          </w:p>
        </w:tc>
        <w:tc>
          <w:tcPr>
            <w:tcW w:w="1276" w:type="dxa"/>
            <w:shd w:val="clear" w:color="auto" w:fill="auto"/>
            <w:noWrap/>
            <w:vAlign w:val="bottom"/>
          </w:tcPr>
          <w:p w:rsidR="00281F57" w:rsidRPr="00281F57" w:rsidRDefault="00281F57" w:rsidP="00FD132B">
            <w:pPr>
              <w:jc w:val="right"/>
            </w:pPr>
            <w:r w:rsidRPr="00281F57">
              <w:t>1.488.751</w:t>
            </w:r>
          </w:p>
        </w:tc>
      </w:tr>
      <w:tr w:rsidR="00281F57" w:rsidRPr="00281F57" w:rsidTr="00FD132B">
        <w:trPr>
          <w:trHeight w:val="255"/>
        </w:trPr>
        <w:tc>
          <w:tcPr>
            <w:tcW w:w="1701" w:type="dxa"/>
            <w:vMerge/>
            <w:shd w:val="clear" w:color="auto" w:fill="auto"/>
            <w:noWrap/>
            <w:vAlign w:val="center"/>
          </w:tcPr>
          <w:p w:rsidR="00281F57" w:rsidRPr="00281F57" w:rsidRDefault="00281F57" w:rsidP="00FD132B"/>
        </w:tc>
        <w:tc>
          <w:tcPr>
            <w:tcW w:w="4678" w:type="dxa"/>
          </w:tcPr>
          <w:p w:rsidR="00281F57" w:rsidRPr="00281F57" w:rsidRDefault="00281F57" w:rsidP="00BD3F5C">
            <w:pPr>
              <w:jc w:val="right"/>
            </w:pPr>
            <w:r w:rsidRPr="00281F57">
              <w:t xml:space="preserve">CE2 – cestno omrežje </w:t>
            </w:r>
            <w:r w:rsidR="00BD3F5C">
              <w:t>naselja</w:t>
            </w:r>
            <w:r w:rsidRPr="00281F57">
              <w:t xml:space="preserve"> Ptuj, razen starega mestnega jedra</w:t>
            </w:r>
          </w:p>
        </w:tc>
        <w:tc>
          <w:tcPr>
            <w:tcW w:w="1417" w:type="dxa"/>
            <w:shd w:val="clear" w:color="auto" w:fill="auto"/>
            <w:noWrap/>
            <w:vAlign w:val="bottom"/>
          </w:tcPr>
          <w:p w:rsidR="00281F57" w:rsidRPr="00281F57" w:rsidRDefault="00281F57" w:rsidP="00FD132B">
            <w:pPr>
              <w:jc w:val="right"/>
              <w:rPr>
                <w:iCs/>
              </w:rPr>
            </w:pPr>
            <w:r w:rsidRPr="00281F57">
              <w:rPr>
                <w:iCs/>
              </w:rPr>
              <w:t>84.878.344</w:t>
            </w:r>
          </w:p>
        </w:tc>
        <w:tc>
          <w:tcPr>
            <w:tcW w:w="1276" w:type="dxa"/>
            <w:shd w:val="clear" w:color="auto" w:fill="auto"/>
            <w:noWrap/>
            <w:vAlign w:val="bottom"/>
          </w:tcPr>
          <w:p w:rsidR="00281F57" w:rsidRPr="00281F57" w:rsidRDefault="00281F57" w:rsidP="00FD132B">
            <w:pPr>
              <w:jc w:val="right"/>
            </w:pPr>
            <w:r w:rsidRPr="00281F57">
              <w:t>80.634.427</w:t>
            </w:r>
          </w:p>
        </w:tc>
      </w:tr>
      <w:tr w:rsidR="00281F57" w:rsidRPr="00281F57" w:rsidTr="00FD132B">
        <w:trPr>
          <w:trHeight w:val="255"/>
        </w:trPr>
        <w:tc>
          <w:tcPr>
            <w:tcW w:w="1701" w:type="dxa"/>
            <w:vMerge/>
            <w:shd w:val="clear" w:color="auto" w:fill="auto"/>
            <w:noWrap/>
            <w:vAlign w:val="bottom"/>
          </w:tcPr>
          <w:p w:rsidR="00281F57" w:rsidRPr="00281F57" w:rsidRDefault="00281F57" w:rsidP="00FD132B"/>
        </w:tc>
        <w:tc>
          <w:tcPr>
            <w:tcW w:w="4678" w:type="dxa"/>
          </w:tcPr>
          <w:p w:rsidR="00281F57" w:rsidRPr="00281F57" w:rsidRDefault="00281F57" w:rsidP="00FD132B">
            <w:pPr>
              <w:jc w:val="right"/>
            </w:pPr>
            <w:r w:rsidRPr="00281F57">
              <w:t>CE3 – cestno omrežje v ostalih naseljih</w:t>
            </w:r>
          </w:p>
        </w:tc>
        <w:tc>
          <w:tcPr>
            <w:tcW w:w="1417" w:type="dxa"/>
            <w:shd w:val="clear" w:color="auto" w:fill="auto"/>
            <w:noWrap/>
            <w:vAlign w:val="bottom"/>
          </w:tcPr>
          <w:p w:rsidR="00281F57" w:rsidRPr="00281F57" w:rsidRDefault="00281F57" w:rsidP="00FD132B">
            <w:pPr>
              <w:jc w:val="right"/>
              <w:rPr>
                <w:iCs/>
              </w:rPr>
            </w:pPr>
            <w:r w:rsidRPr="00281F57">
              <w:rPr>
                <w:iCs/>
              </w:rPr>
              <w:t>30.316.076</w:t>
            </w:r>
          </w:p>
        </w:tc>
        <w:tc>
          <w:tcPr>
            <w:tcW w:w="1276" w:type="dxa"/>
            <w:shd w:val="clear" w:color="auto" w:fill="auto"/>
            <w:noWrap/>
            <w:vAlign w:val="bottom"/>
          </w:tcPr>
          <w:p w:rsidR="00281F57" w:rsidRPr="00281F57" w:rsidRDefault="00281F57" w:rsidP="00FD132B">
            <w:pPr>
              <w:jc w:val="right"/>
            </w:pPr>
            <w:r w:rsidRPr="00281F57">
              <w:t>28.127.867</w:t>
            </w:r>
          </w:p>
        </w:tc>
      </w:tr>
      <w:tr w:rsidR="00281F57" w:rsidRPr="00281F57" w:rsidTr="00FD132B">
        <w:trPr>
          <w:trHeight w:val="255"/>
        </w:trPr>
        <w:tc>
          <w:tcPr>
            <w:tcW w:w="1701" w:type="dxa"/>
            <w:shd w:val="clear" w:color="auto" w:fill="auto"/>
            <w:noWrap/>
            <w:vAlign w:val="bottom"/>
          </w:tcPr>
          <w:p w:rsidR="00281F57" w:rsidRPr="00281F57" w:rsidRDefault="00281F57" w:rsidP="00FD132B">
            <w:r w:rsidRPr="00281F57">
              <w:t>Javne površine</w:t>
            </w:r>
          </w:p>
        </w:tc>
        <w:tc>
          <w:tcPr>
            <w:tcW w:w="4678" w:type="dxa"/>
          </w:tcPr>
          <w:p w:rsidR="00281F57" w:rsidRPr="00281F57" w:rsidRDefault="00281F57" w:rsidP="00FD132B">
            <w:pPr>
              <w:jc w:val="right"/>
            </w:pPr>
            <w:r w:rsidRPr="00281F57">
              <w:t xml:space="preserve">JAV – javne površine </w:t>
            </w:r>
          </w:p>
        </w:tc>
        <w:tc>
          <w:tcPr>
            <w:tcW w:w="1417" w:type="dxa"/>
            <w:shd w:val="clear" w:color="auto" w:fill="auto"/>
            <w:noWrap/>
            <w:vAlign w:val="bottom"/>
          </w:tcPr>
          <w:p w:rsidR="00281F57" w:rsidRPr="00281F57" w:rsidRDefault="00281F57" w:rsidP="00FD132B">
            <w:pPr>
              <w:jc w:val="right"/>
            </w:pPr>
            <w:r w:rsidRPr="00281F57">
              <w:t>16.340.734</w:t>
            </w:r>
          </w:p>
        </w:tc>
        <w:tc>
          <w:tcPr>
            <w:tcW w:w="1276" w:type="dxa"/>
            <w:shd w:val="clear" w:color="auto" w:fill="auto"/>
            <w:noWrap/>
            <w:vAlign w:val="bottom"/>
          </w:tcPr>
          <w:p w:rsidR="00281F57" w:rsidRPr="00281F57" w:rsidRDefault="00281F57" w:rsidP="00FD132B">
            <w:pPr>
              <w:jc w:val="right"/>
            </w:pPr>
            <w:r w:rsidRPr="00281F57">
              <w:t>14.590.641</w:t>
            </w:r>
          </w:p>
        </w:tc>
      </w:tr>
    </w:tbl>
    <w:p w:rsidR="00281F57" w:rsidRPr="00281F57" w:rsidRDefault="00281F57" w:rsidP="00281F57">
      <w:pPr>
        <w:jc w:val="center"/>
      </w:pPr>
    </w:p>
    <w:p w:rsidR="00281F57" w:rsidRPr="00281F57" w:rsidRDefault="00281F57" w:rsidP="00281F57">
      <w:pPr>
        <w:jc w:val="center"/>
        <w:rPr>
          <w:b/>
        </w:rPr>
      </w:pPr>
      <w:r w:rsidRPr="00281F57">
        <w:rPr>
          <w:b/>
        </w:rPr>
        <w:t>12. člen</w:t>
      </w:r>
    </w:p>
    <w:p w:rsidR="00281F57" w:rsidRPr="00281F57" w:rsidRDefault="00281F57" w:rsidP="00281F57">
      <w:pPr>
        <w:jc w:val="center"/>
        <w:rPr>
          <w:b/>
        </w:rPr>
      </w:pPr>
      <w:r w:rsidRPr="00281F57">
        <w:rPr>
          <w:b/>
        </w:rPr>
        <w:t>(stroški opremljanja na enoto parcele in enoto neto tlorisne površine objekta)</w:t>
      </w:r>
    </w:p>
    <w:p w:rsidR="00281F57" w:rsidRPr="00281F57" w:rsidRDefault="00281F57" w:rsidP="00281F57">
      <w:pPr>
        <w:jc w:val="center"/>
      </w:pPr>
    </w:p>
    <w:p w:rsidR="00281F57" w:rsidRPr="00281F57" w:rsidRDefault="00281F57" w:rsidP="00281F57">
      <w:pPr>
        <w:jc w:val="both"/>
      </w:pPr>
      <w:r w:rsidRPr="00281F57">
        <w:t>Stroški opremljanja m</w:t>
      </w:r>
      <w:r w:rsidRPr="00281F57">
        <w:rPr>
          <w:vertAlign w:val="superscript"/>
        </w:rPr>
        <w:t>2</w:t>
      </w:r>
      <w:r w:rsidRPr="00281F57">
        <w:t xml:space="preserve"> parcele in neto tlorisne površine objektov se obračunajo z upoštevanjem preglednice 3, pri čemer se za določitev območja opremljanja s posamezno komunalno opremo smiselno upoštevajo določila 10. člena tega odloka in grafične priloge programa opremljanja.</w:t>
      </w:r>
    </w:p>
    <w:p w:rsidR="00281F57" w:rsidRPr="00281F57" w:rsidRDefault="00281F57" w:rsidP="00281F57"/>
    <w:p w:rsidR="00281F57" w:rsidRPr="00281F57" w:rsidRDefault="00281F57" w:rsidP="00281F57">
      <w:pPr>
        <w:rPr>
          <w:i/>
        </w:rPr>
      </w:pPr>
      <w:r w:rsidRPr="00281F57">
        <w:rPr>
          <w:i/>
        </w:rPr>
        <w:t>Preglednica 3: Določitev Cp</w:t>
      </w:r>
      <w:r w:rsidRPr="00281F57">
        <w:rPr>
          <w:i/>
          <w:vertAlign w:val="subscript"/>
        </w:rPr>
        <w:t>ij</w:t>
      </w:r>
      <w:r w:rsidRPr="00281F57">
        <w:rPr>
          <w:i/>
        </w:rPr>
        <w:t xml:space="preserve"> in Ct</w:t>
      </w:r>
      <w:r w:rsidRPr="00281F57">
        <w:rPr>
          <w:i/>
          <w:vertAlign w:val="subscript"/>
        </w:rPr>
        <w:t>ij</w:t>
      </w:r>
      <w:r w:rsidRPr="00281F57">
        <w:rPr>
          <w:i/>
        </w:rPr>
        <w:t xml:space="preserve"> za posamezno vrsto komunalne opreme </w:t>
      </w:r>
    </w:p>
    <w:p w:rsidR="00281F57" w:rsidRPr="00281F57" w:rsidRDefault="00281F57" w:rsidP="00281F57"/>
    <w:tbl>
      <w:tblPr>
        <w:tblW w:w="9072"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701"/>
        <w:gridCol w:w="4678"/>
        <w:gridCol w:w="1417"/>
        <w:gridCol w:w="1276"/>
      </w:tblGrid>
      <w:tr w:rsidR="00281F57" w:rsidRPr="00281F57" w:rsidTr="00FD132B">
        <w:trPr>
          <w:trHeight w:val="255"/>
        </w:trPr>
        <w:tc>
          <w:tcPr>
            <w:tcW w:w="1701" w:type="dxa"/>
            <w:tcBorders>
              <w:top w:val="single" w:sz="12" w:space="0" w:color="auto"/>
              <w:bottom w:val="single" w:sz="12" w:space="0" w:color="auto"/>
            </w:tcBorders>
            <w:shd w:val="clear" w:color="auto" w:fill="E0E0E0"/>
            <w:noWrap/>
            <w:vAlign w:val="bottom"/>
          </w:tcPr>
          <w:p w:rsidR="00281F57" w:rsidRPr="00281F57" w:rsidRDefault="00281F57" w:rsidP="00FD132B">
            <w:pPr>
              <w:jc w:val="center"/>
              <w:rPr>
                <w:b/>
                <w:bCs/>
              </w:rPr>
            </w:pPr>
            <w:r w:rsidRPr="00281F57">
              <w:rPr>
                <w:b/>
                <w:bCs/>
              </w:rPr>
              <w:t>Komunalna oprema</w:t>
            </w:r>
          </w:p>
        </w:tc>
        <w:tc>
          <w:tcPr>
            <w:tcW w:w="4678" w:type="dxa"/>
            <w:tcBorders>
              <w:top w:val="single" w:sz="12" w:space="0" w:color="auto"/>
              <w:bottom w:val="single" w:sz="12" w:space="0" w:color="auto"/>
            </w:tcBorders>
            <w:shd w:val="clear" w:color="auto" w:fill="E0E0E0"/>
          </w:tcPr>
          <w:p w:rsidR="00281F57" w:rsidRPr="00281F57" w:rsidRDefault="00281F57" w:rsidP="00FD132B">
            <w:pPr>
              <w:jc w:val="center"/>
              <w:rPr>
                <w:b/>
                <w:bCs/>
              </w:rPr>
            </w:pPr>
            <w:r w:rsidRPr="00281F57">
              <w:rPr>
                <w:b/>
                <w:bCs/>
              </w:rPr>
              <w:t>Obračunsko območje</w:t>
            </w:r>
          </w:p>
        </w:tc>
        <w:tc>
          <w:tcPr>
            <w:tcW w:w="1417" w:type="dxa"/>
            <w:tcBorders>
              <w:top w:val="single" w:sz="12" w:space="0" w:color="auto"/>
              <w:bottom w:val="single" w:sz="12" w:space="0" w:color="auto"/>
            </w:tcBorders>
            <w:shd w:val="clear" w:color="auto" w:fill="E0E0E0"/>
            <w:noWrap/>
            <w:vAlign w:val="bottom"/>
          </w:tcPr>
          <w:p w:rsidR="00281F57" w:rsidRPr="00281F57" w:rsidRDefault="00281F57" w:rsidP="00FD132B">
            <w:pPr>
              <w:jc w:val="center"/>
              <w:rPr>
                <w:b/>
                <w:bCs/>
              </w:rPr>
            </w:pPr>
            <w:r w:rsidRPr="00281F57">
              <w:rPr>
                <w:b/>
                <w:bCs/>
              </w:rPr>
              <w:t xml:space="preserve">Cp </w:t>
            </w:r>
          </w:p>
          <w:p w:rsidR="00281F57" w:rsidRPr="00281F57" w:rsidRDefault="00281F57" w:rsidP="00FD132B">
            <w:pPr>
              <w:jc w:val="center"/>
              <w:rPr>
                <w:b/>
                <w:bCs/>
              </w:rPr>
            </w:pPr>
            <w:r w:rsidRPr="00281F57">
              <w:rPr>
                <w:b/>
                <w:bCs/>
              </w:rPr>
              <w:t>(v EUR/m</w:t>
            </w:r>
            <w:r w:rsidRPr="00281F57">
              <w:rPr>
                <w:b/>
                <w:bCs/>
                <w:vertAlign w:val="superscript"/>
              </w:rPr>
              <w:t>2</w:t>
            </w:r>
            <w:r w:rsidRPr="00281F57">
              <w:rPr>
                <w:b/>
                <w:bCs/>
              </w:rPr>
              <w:t>)</w:t>
            </w:r>
          </w:p>
        </w:tc>
        <w:tc>
          <w:tcPr>
            <w:tcW w:w="1276" w:type="dxa"/>
            <w:tcBorders>
              <w:top w:val="single" w:sz="12" w:space="0" w:color="auto"/>
              <w:bottom w:val="single" w:sz="12" w:space="0" w:color="auto"/>
            </w:tcBorders>
            <w:shd w:val="clear" w:color="auto" w:fill="E0E0E0"/>
            <w:noWrap/>
            <w:vAlign w:val="bottom"/>
          </w:tcPr>
          <w:p w:rsidR="00281F57" w:rsidRPr="00281F57" w:rsidRDefault="00281F57" w:rsidP="00FD132B">
            <w:pPr>
              <w:jc w:val="center"/>
              <w:rPr>
                <w:b/>
                <w:bCs/>
              </w:rPr>
            </w:pPr>
            <w:r w:rsidRPr="00281F57">
              <w:rPr>
                <w:b/>
                <w:bCs/>
              </w:rPr>
              <w:t>Ct</w:t>
            </w:r>
          </w:p>
          <w:p w:rsidR="00281F57" w:rsidRPr="00281F57" w:rsidRDefault="00281F57" w:rsidP="00FD132B">
            <w:pPr>
              <w:jc w:val="center"/>
              <w:rPr>
                <w:b/>
                <w:bCs/>
              </w:rPr>
            </w:pPr>
            <w:r w:rsidRPr="00281F57">
              <w:rPr>
                <w:b/>
                <w:bCs/>
              </w:rPr>
              <w:t>(v EUR/m</w:t>
            </w:r>
            <w:r w:rsidRPr="00281F57">
              <w:rPr>
                <w:b/>
                <w:bCs/>
                <w:vertAlign w:val="superscript"/>
              </w:rPr>
              <w:t>2</w:t>
            </w:r>
            <w:r w:rsidRPr="00281F57">
              <w:rPr>
                <w:b/>
                <w:bCs/>
              </w:rPr>
              <w:t>)</w:t>
            </w:r>
          </w:p>
        </w:tc>
      </w:tr>
      <w:tr w:rsidR="00281F57" w:rsidRPr="00281F57" w:rsidTr="00FD132B">
        <w:trPr>
          <w:trHeight w:val="255"/>
        </w:trPr>
        <w:tc>
          <w:tcPr>
            <w:tcW w:w="1701" w:type="dxa"/>
            <w:tcBorders>
              <w:top w:val="single" w:sz="12" w:space="0" w:color="auto"/>
            </w:tcBorders>
            <w:shd w:val="clear" w:color="auto" w:fill="auto"/>
            <w:noWrap/>
            <w:vAlign w:val="center"/>
          </w:tcPr>
          <w:p w:rsidR="00281F57" w:rsidRPr="00281F57" w:rsidRDefault="00281F57" w:rsidP="00FD132B">
            <w:r w:rsidRPr="00281F57">
              <w:t>Vodovod</w:t>
            </w:r>
          </w:p>
        </w:tc>
        <w:tc>
          <w:tcPr>
            <w:tcW w:w="4678" w:type="dxa"/>
            <w:tcBorders>
              <w:top w:val="single" w:sz="12" w:space="0" w:color="auto"/>
            </w:tcBorders>
          </w:tcPr>
          <w:p w:rsidR="00281F57" w:rsidRPr="00281F57" w:rsidRDefault="00281F57" w:rsidP="00FD132B">
            <w:pPr>
              <w:jc w:val="right"/>
            </w:pPr>
            <w:r w:rsidRPr="00281F57">
              <w:t>VOD – vodovodno omrežje</w:t>
            </w:r>
          </w:p>
        </w:tc>
        <w:tc>
          <w:tcPr>
            <w:tcW w:w="1417" w:type="dxa"/>
            <w:tcBorders>
              <w:top w:val="single" w:sz="12" w:space="0" w:color="auto"/>
            </w:tcBorders>
            <w:shd w:val="clear" w:color="auto" w:fill="auto"/>
            <w:noWrap/>
            <w:vAlign w:val="bottom"/>
          </w:tcPr>
          <w:p w:rsidR="00281F57" w:rsidRPr="00281F57" w:rsidRDefault="00281F57" w:rsidP="00FD132B">
            <w:pPr>
              <w:jc w:val="right"/>
            </w:pPr>
            <w:r w:rsidRPr="00281F57">
              <w:t>1,37</w:t>
            </w:r>
          </w:p>
        </w:tc>
        <w:tc>
          <w:tcPr>
            <w:tcW w:w="1276" w:type="dxa"/>
            <w:tcBorders>
              <w:top w:val="single" w:sz="12" w:space="0" w:color="auto"/>
            </w:tcBorders>
            <w:shd w:val="clear" w:color="auto" w:fill="auto"/>
            <w:noWrap/>
            <w:vAlign w:val="bottom"/>
          </w:tcPr>
          <w:p w:rsidR="00281F57" w:rsidRPr="00281F57" w:rsidRDefault="00281F57" w:rsidP="00FD132B">
            <w:pPr>
              <w:jc w:val="right"/>
            </w:pPr>
            <w:r w:rsidRPr="00281F57">
              <w:t>4,79</w:t>
            </w:r>
          </w:p>
        </w:tc>
      </w:tr>
      <w:tr w:rsidR="00281F57" w:rsidRPr="00281F57" w:rsidTr="00FD132B">
        <w:trPr>
          <w:trHeight w:val="204"/>
        </w:trPr>
        <w:tc>
          <w:tcPr>
            <w:tcW w:w="1701" w:type="dxa"/>
            <w:shd w:val="clear" w:color="auto" w:fill="auto"/>
            <w:noWrap/>
            <w:vAlign w:val="bottom"/>
          </w:tcPr>
          <w:p w:rsidR="00281F57" w:rsidRPr="00281F57" w:rsidRDefault="00281F57" w:rsidP="00FD132B">
            <w:r w:rsidRPr="00281F57">
              <w:t>Kanalizacija</w:t>
            </w:r>
          </w:p>
        </w:tc>
        <w:tc>
          <w:tcPr>
            <w:tcW w:w="4678" w:type="dxa"/>
          </w:tcPr>
          <w:p w:rsidR="00281F57" w:rsidRPr="00281F57" w:rsidRDefault="00281F57" w:rsidP="00FD132B">
            <w:pPr>
              <w:jc w:val="right"/>
            </w:pPr>
            <w:r w:rsidRPr="00281F57">
              <w:t>KAN – kanalizacijsko omrežje</w:t>
            </w:r>
          </w:p>
        </w:tc>
        <w:tc>
          <w:tcPr>
            <w:tcW w:w="1417" w:type="dxa"/>
            <w:shd w:val="clear" w:color="auto" w:fill="auto"/>
            <w:noWrap/>
            <w:vAlign w:val="bottom"/>
          </w:tcPr>
          <w:p w:rsidR="00281F57" w:rsidRPr="00281F57" w:rsidRDefault="00281F57" w:rsidP="00FD132B">
            <w:pPr>
              <w:jc w:val="right"/>
            </w:pPr>
            <w:r w:rsidRPr="00281F57">
              <w:t>2,51</w:t>
            </w:r>
          </w:p>
        </w:tc>
        <w:tc>
          <w:tcPr>
            <w:tcW w:w="1276" w:type="dxa"/>
            <w:shd w:val="clear" w:color="auto" w:fill="auto"/>
            <w:noWrap/>
            <w:vAlign w:val="bottom"/>
          </w:tcPr>
          <w:p w:rsidR="00281F57" w:rsidRPr="00281F57" w:rsidRDefault="00281F57" w:rsidP="00FD132B">
            <w:pPr>
              <w:jc w:val="right"/>
            </w:pPr>
            <w:r w:rsidRPr="00281F57">
              <w:t>8,23</w:t>
            </w:r>
          </w:p>
        </w:tc>
      </w:tr>
      <w:tr w:rsidR="00281F57" w:rsidRPr="00281F57" w:rsidTr="00FD132B">
        <w:trPr>
          <w:trHeight w:val="255"/>
        </w:trPr>
        <w:tc>
          <w:tcPr>
            <w:tcW w:w="1701" w:type="dxa"/>
            <w:vMerge w:val="restart"/>
            <w:shd w:val="clear" w:color="auto" w:fill="auto"/>
            <w:noWrap/>
            <w:vAlign w:val="center"/>
          </w:tcPr>
          <w:p w:rsidR="00281F57" w:rsidRPr="00281F57" w:rsidRDefault="00281F57" w:rsidP="00FD132B">
            <w:r w:rsidRPr="00281F57">
              <w:t>Ceste</w:t>
            </w:r>
          </w:p>
        </w:tc>
        <w:tc>
          <w:tcPr>
            <w:tcW w:w="4678" w:type="dxa"/>
          </w:tcPr>
          <w:p w:rsidR="00281F57" w:rsidRPr="00281F57" w:rsidRDefault="00281F57" w:rsidP="00FD132B">
            <w:pPr>
              <w:jc w:val="right"/>
            </w:pPr>
            <w:r w:rsidRPr="00281F57">
              <w:t>CE1 – cestno omrežje v starem mestnem jedru</w:t>
            </w:r>
          </w:p>
        </w:tc>
        <w:tc>
          <w:tcPr>
            <w:tcW w:w="1417" w:type="dxa"/>
            <w:shd w:val="clear" w:color="auto" w:fill="auto"/>
            <w:noWrap/>
            <w:vAlign w:val="bottom"/>
          </w:tcPr>
          <w:p w:rsidR="00281F57" w:rsidRPr="00281F57" w:rsidRDefault="00281F57" w:rsidP="00FD132B">
            <w:pPr>
              <w:jc w:val="right"/>
            </w:pPr>
            <w:r w:rsidRPr="00281F57">
              <w:t>8,44</w:t>
            </w:r>
          </w:p>
        </w:tc>
        <w:tc>
          <w:tcPr>
            <w:tcW w:w="1276" w:type="dxa"/>
            <w:shd w:val="clear" w:color="auto" w:fill="auto"/>
            <w:noWrap/>
            <w:vAlign w:val="bottom"/>
          </w:tcPr>
          <w:p w:rsidR="00281F57" w:rsidRPr="00281F57" w:rsidRDefault="00281F57" w:rsidP="00FD132B">
            <w:pPr>
              <w:jc w:val="right"/>
            </w:pPr>
            <w:r w:rsidRPr="00281F57">
              <w:t>8,87</w:t>
            </w:r>
          </w:p>
        </w:tc>
      </w:tr>
      <w:tr w:rsidR="00281F57" w:rsidRPr="00281F57" w:rsidTr="00FD132B">
        <w:trPr>
          <w:trHeight w:val="255"/>
        </w:trPr>
        <w:tc>
          <w:tcPr>
            <w:tcW w:w="1701" w:type="dxa"/>
            <w:vMerge/>
            <w:shd w:val="clear" w:color="auto" w:fill="auto"/>
            <w:noWrap/>
            <w:vAlign w:val="center"/>
          </w:tcPr>
          <w:p w:rsidR="00281F57" w:rsidRPr="00281F57" w:rsidRDefault="00281F57" w:rsidP="00FD132B"/>
        </w:tc>
        <w:tc>
          <w:tcPr>
            <w:tcW w:w="4678" w:type="dxa"/>
          </w:tcPr>
          <w:p w:rsidR="00281F57" w:rsidRPr="00281F57" w:rsidRDefault="00281F57" w:rsidP="00BD3F5C">
            <w:pPr>
              <w:jc w:val="right"/>
            </w:pPr>
            <w:r w:rsidRPr="00281F57">
              <w:t xml:space="preserve">CE2 – cestno omrežje </w:t>
            </w:r>
            <w:r w:rsidR="00BD3F5C">
              <w:t>naselja</w:t>
            </w:r>
            <w:r w:rsidRPr="00281F57">
              <w:t xml:space="preserve"> Ptuj, razen starega mestnega jedra</w:t>
            </w:r>
          </w:p>
        </w:tc>
        <w:tc>
          <w:tcPr>
            <w:tcW w:w="1417" w:type="dxa"/>
            <w:shd w:val="clear" w:color="auto" w:fill="auto"/>
            <w:noWrap/>
            <w:vAlign w:val="bottom"/>
          </w:tcPr>
          <w:p w:rsidR="00281F57" w:rsidRPr="00281F57" w:rsidRDefault="00281F57" w:rsidP="00FD132B">
            <w:pPr>
              <w:jc w:val="right"/>
            </w:pPr>
            <w:r w:rsidRPr="00281F57">
              <w:t>10,86</w:t>
            </w:r>
          </w:p>
        </w:tc>
        <w:tc>
          <w:tcPr>
            <w:tcW w:w="1276" w:type="dxa"/>
            <w:shd w:val="clear" w:color="auto" w:fill="auto"/>
            <w:noWrap/>
            <w:vAlign w:val="bottom"/>
          </w:tcPr>
          <w:p w:rsidR="00281F57" w:rsidRPr="00281F57" w:rsidRDefault="00281F57" w:rsidP="00FD132B">
            <w:pPr>
              <w:jc w:val="right"/>
            </w:pPr>
            <w:r w:rsidRPr="00281F57">
              <w:t>36,24</w:t>
            </w:r>
          </w:p>
        </w:tc>
      </w:tr>
      <w:tr w:rsidR="00281F57" w:rsidRPr="00281F57" w:rsidTr="00FD132B">
        <w:trPr>
          <w:trHeight w:val="255"/>
        </w:trPr>
        <w:tc>
          <w:tcPr>
            <w:tcW w:w="1701" w:type="dxa"/>
            <w:vMerge/>
            <w:shd w:val="clear" w:color="auto" w:fill="auto"/>
            <w:noWrap/>
            <w:vAlign w:val="bottom"/>
          </w:tcPr>
          <w:p w:rsidR="00281F57" w:rsidRPr="00281F57" w:rsidRDefault="00281F57" w:rsidP="00FD132B"/>
        </w:tc>
        <w:tc>
          <w:tcPr>
            <w:tcW w:w="4678" w:type="dxa"/>
          </w:tcPr>
          <w:p w:rsidR="00281F57" w:rsidRPr="00281F57" w:rsidRDefault="00281F57" w:rsidP="00FD132B">
            <w:pPr>
              <w:jc w:val="right"/>
            </w:pPr>
            <w:r w:rsidRPr="00281F57">
              <w:t>CE3 – cestno omrežje v ostalih naseljih</w:t>
            </w:r>
          </w:p>
        </w:tc>
        <w:tc>
          <w:tcPr>
            <w:tcW w:w="1417" w:type="dxa"/>
            <w:shd w:val="clear" w:color="auto" w:fill="auto"/>
            <w:noWrap/>
            <w:vAlign w:val="bottom"/>
          </w:tcPr>
          <w:p w:rsidR="00281F57" w:rsidRPr="00281F57" w:rsidRDefault="00281F57" w:rsidP="00FD132B">
            <w:pPr>
              <w:jc w:val="right"/>
            </w:pPr>
            <w:r w:rsidRPr="00281F57">
              <w:t>8,67</w:t>
            </w:r>
          </w:p>
        </w:tc>
        <w:tc>
          <w:tcPr>
            <w:tcW w:w="1276" w:type="dxa"/>
            <w:shd w:val="clear" w:color="auto" w:fill="auto"/>
            <w:noWrap/>
            <w:vAlign w:val="bottom"/>
          </w:tcPr>
          <w:p w:rsidR="00281F57" w:rsidRPr="00281F57" w:rsidRDefault="00281F57" w:rsidP="00FD132B">
            <w:pPr>
              <w:jc w:val="right"/>
            </w:pPr>
            <w:r w:rsidRPr="00281F57">
              <w:t>40,69</w:t>
            </w:r>
          </w:p>
        </w:tc>
      </w:tr>
      <w:tr w:rsidR="00281F57" w:rsidRPr="00281F57" w:rsidTr="00FD132B">
        <w:trPr>
          <w:trHeight w:val="255"/>
        </w:trPr>
        <w:tc>
          <w:tcPr>
            <w:tcW w:w="1701" w:type="dxa"/>
            <w:shd w:val="clear" w:color="auto" w:fill="auto"/>
            <w:noWrap/>
            <w:vAlign w:val="bottom"/>
          </w:tcPr>
          <w:p w:rsidR="00281F57" w:rsidRPr="00281F57" w:rsidRDefault="00281F57" w:rsidP="00FD132B">
            <w:r w:rsidRPr="00281F57">
              <w:t>Javne površine</w:t>
            </w:r>
          </w:p>
        </w:tc>
        <w:tc>
          <w:tcPr>
            <w:tcW w:w="4678" w:type="dxa"/>
          </w:tcPr>
          <w:p w:rsidR="00281F57" w:rsidRPr="00281F57" w:rsidRDefault="00281F57" w:rsidP="00FD132B">
            <w:pPr>
              <w:jc w:val="right"/>
            </w:pPr>
            <w:r w:rsidRPr="00281F57">
              <w:t xml:space="preserve">JAV – javne površine </w:t>
            </w:r>
          </w:p>
        </w:tc>
        <w:tc>
          <w:tcPr>
            <w:tcW w:w="1417" w:type="dxa"/>
            <w:shd w:val="clear" w:color="auto" w:fill="auto"/>
            <w:noWrap/>
            <w:vAlign w:val="bottom"/>
          </w:tcPr>
          <w:p w:rsidR="00281F57" w:rsidRPr="00281F57" w:rsidRDefault="00281F57" w:rsidP="00FD132B">
            <w:pPr>
              <w:jc w:val="right"/>
            </w:pPr>
            <w:r w:rsidRPr="00281F57">
              <w:t>1,92</w:t>
            </w:r>
          </w:p>
        </w:tc>
        <w:tc>
          <w:tcPr>
            <w:tcW w:w="1276" w:type="dxa"/>
            <w:shd w:val="clear" w:color="auto" w:fill="auto"/>
            <w:noWrap/>
            <w:vAlign w:val="bottom"/>
          </w:tcPr>
          <w:p w:rsidR="00281F57" w:rsidRPr="00281F57" w:rsidRDefault="00281F57" w:rsidP="00FD132B">
            <w:pPr>
              <w:jc w:val="right"/>
            </w:pPr>
            <w:r w:rsidRPr="00281F57">
              <w:t>5,95</w:t>
            </w:r>
          </w:p>
        </w:tc>
      </w:tr>
    </w:tbl>
    <w:p w:rsidR="00281F57" w:rsidRPr="00281F57" w:rsidRDefault="00281F57" w:rsidP="00281F57">
      <w:pPr>
        <w:jc w:val="both"/>
      </w:pPr>
    </w:p>
    <w:p w:rsidR="00281F57" w:rsidRPr="00281F57" w:rsidRDefault="00281F57" w:rsidP="00281F57">
      <w:pPr>
        <w:jc w:val="center"/>
        <w:rPr>
          <w:b/>
        </w:rPr>
      </w:pPr>
      <w:smartTag w:uri="urn:schemas-microsoft-com:office:smarttags" w:element="stockticker">
        <w:r w:rsidRPr="00281F57">
          <w:rPr>
            <w:b/>
          </w:rPr>
          <w:t>III</w:t>
        </w:r>
      </w:smartTag>
      <w:r w:rsidRPr="00281F57">
        <w:rPr>
          <w:b/>
        </w:rPr>
        <w:t>. IZRAČUN KOMUNALNEGA PRISPEVKA</w:t>
      </w:r>
    </w:p>
    <w:p w:rsidR="00281F57" w:rsidRPr="00281F57" w:rsidRDefault="00281F57" w:rsidP="00281F57">
      <w:pPr>
        <w:jc w:val="center"/>
        <w:rPr>
          <w:b/>
        </w:rPr>
      </w:pPr>
    </w:p>
    <w:p w:rsidR="00281F57" w:rsidRPr="00281F57" w:rsidRDefault="00281F57" w:rsidP="00281F57">
      <w:pPr>
        <w:jc w:val="center"/>
        <w:rPr>
          <w:b/>
        </w:rPr>
      </w:pPr>
      <w:r w:rsidRPr="00281F57">
        <w:rPr>
          <w:b/>
        </w:rPr>
        <w:t>13. člen</w:t>
      </w:r>
    </w:p>
    <w:p w:rsidR="00281F57" w:rsidRPr="00281F57" w:rsidRDefault="00281F57" w:rsidP="00281F57">
      <w:pPr>
        <w:jc w:val="center"/>
        <w:rPr>
          <w:b/>
        </w:rPr>
      </w:pPr>
      <w:r w:rsidRPr="00281F57">
        <w:rPr>
          <w:b/>
        </w:rPr>
        <w:t>(izračun komunalnega prispevka)</w:t>
      </w:r>
    </w:p>
    <w:p w:rsidR="00281F57" w:rsidRPr="00281F57" w:rsidRDefault="00281F57" w:rsidP="00281F57">
      <w:pPr>
        <w:jc w:val="center"/>
      </w:pPr>
    </w:p>
    <w:p w:rsidR="00281F57" w:rsidRPr="00281F57" w:rsidRDefault="00281F57" w:rsidP="00281F57">
      <w:pPr>
        <w:jc w:val="both"/>
      </w:pPr>
      <w:r w:rsidRPr="00281F57">
        <w:t>(1) Komunalni prispevek se izračuna tako, da se na podlagi obračunskih območij ugotovi, na katero vrsto komunalne opreme lahko zavezanec priključi svoj objekt oz. mu je omogočena uporaba določene vrste komunalne opreme. Za vsako posamezno vrsto komunalne opreme posebej se izračuna komunalni prispevek, pri čemer se uporabi naslednja formula za izračun:</w:t>
      </w:r>
    </w:p>
    <w:p w:rsidR="00281F57" w:rsidRPr="00281F57" w:rsidRDefault="00281F57" w:rsidP="00281F57">
      <w:pPr>
        <w:jc w:val="both"/>
      </w:pPr>
    </w:p>
    <w:p w:rsidR="00281F57" w:rsidRPr="00281F57" w:rsidRDefault="00281F57" w:rsidP="00281F57">
      <w:pPr>
        <w:jc w:val="center"/>
      </w:pPr>
      <w:r w:rsidRPr="00281F57">
        <w:t>KP</w:t>
      </w:r>
      <w:r w:rsidRPr="00281F57">
        <w:rPr>
          <w:vertAlign w:val="subscript"/>
        </w:rPr>
        <w:t>ij</w:t>
      </w:r>
      <w:r w:rsidRPr="00281F57">
        <w:t xml:space="preserve"> = A</w:t>
      </w:r>
      <w:r w:rsidRPr="00281F57">
        <w:rPr>
          <w:vertAlign w:val="subscript"/>
        </w:rPr>
        <w:t>parcela</w:t>
      </w:r>
      <w:r w:rsidRPr="00281F57">
        <w:t xml:space="preserve"> × Cp</w:t>
      </w:r>
      <w:r w:rsidRPr="00281F57">
        <w:rPr>
          <w:vertAlign w:val="subscript"/>
        </w:rPr>
        <w:t>ij</w:t>
      </w:r>
      <w:r w:rsidRPr="00281F57">
        <w:t xml:space="preserve"> × Dp  +  K</w:t>
      </w:r>
      <w:r w:rsidRPr="00281F57">
        <w:rPr>
          <w:vertAlign w:val="subscript"/>
        </w:rPr>
        <w:t>dejavnost</w:t>
      </w:r>
      <w:r w:rsidRPr="00281F57">
        <w:t xml:space="preserve"> × A</w:t>
      </w:r>
      <w:r w:rsidRPr="00281F57">
        <w:rPr>
          <w:vertAlign w:val="subscript"/>
        </w:rPr>
        <w:t>tlorisna</w:t>
      </w:r>
      <w:r w:rsidRPr="00281F57">
        <w:t xml:space="preserve"> × Ct</w:t>
      </w:r>
      <w:r w:rsidRPr="00281F57">
        <w:rPr>
          <w:vertAlign w:val="subscript"/>
        </w:rPr>
        <w:t>ij</w:t>
      </w:r>
      <w:r w:rsidRPr="00281F57">
        <w:t xml:space="preserve"> × Dt</w:t>
      </w:r>
    </w:p>
    <w:p w:rsidR="00281F57" w:rsidRPr="00281F57" w:rsidRDefault="00281F57" w:rsidP="00281F57">
      <w:pPr>
        <w:jc w:val="both"/>
      </w:pPr>
    </w:p>
    <w:p w:rsidR="00281F57" w:rsidRPr="00281F57" w:rsidRDefault="00281F57" w:rsidP="00281F57">
      <w:pPr>
        <w:jc w:val="both"/>
      </w:pPr>
      <w:r w:rsidRPr="00281F57">
        <w:t>(2) V tem odloku uporabljene kratice imajo naslednji pomen:</w:t>
      </w:r>
    </w:p>
    <w:p w:rsidR="00281F57" w:rsidRPr="00281F57" w:rsidRDefault="00281F57" w:rsidP="00281F57">
      <w:pPr>
        <w:jc w:val="both"/>
      </w:pPr>
    </w:p>
    <w:p w:rsidR="00281F57" w:rsidRPr="00281F57" w:rsidRDefault="00281F57" w:rsidP="00281F57">
      <w:pPr>
        <w:jc w:val="both"/>
      </w:pPr>
      <w:proofErr w:type="spellStart"/>
      <w:r w:rsidRPr="00281F57">
        <w:t>KP</w:t>
      </w:r>
      <w:r w:rsidRPr="00281F57">
        <w:rPr>
          <w:vertAlign w:val="subscript"/>
        </w:rPr>
        <w:t>ij</w:t>
      </w:r>
      <w:proofErr w:type="spellEnd"/>
      <w:r w:rsidRPr="00281F57">
        <w:tab/>
      </w:r>
      <w:r w:rsidRPr="00281F57">
        <w:tab/>
        <w:t>znesek komunalnega prispevka, ki pripada posamezni vrsti komunalne</w:t>
      </w:r>
      <w:r w:rsidRPr="00281F57">
        <w:tab/>
      </w:r>
      <w:r w:rsidRPr="00281F57">
        <w:tab/>
      </w:r>
      <w:r w:rsidRPr="00281F57">
        <w:tab/>
      </w:r>
      <w:r w:rsidR="00B824F6">
        <w:tab/>
      </w:r>
      <w:r w:rsidRPr="00281F57">
        <w:t>opreme na posameznem obračunskem območju</w:t>
      </w:r>
    </w:p>
    <w:p w:rsidR="00281F57" w:rsidRPr="00281F57" w:rsidRDefault="00281F57" w:rsidP="00281F57">
      <w:pPr>
        <w:jc w:val="both"/>
      </w:pPr>
      <w:r w:rsidRPr="00281F57">
        <w:t>A</w:t>
      </w:r>
      <w:r w:rsidRPr="00281F57">
        <w:rPr>
          <w:vertAlign w:val="subscript"/>
        </w:rPr>
        <w:t>parcela</w:t>
      </w:r>
      <w:r w:rsidRPr="00281F57">
        <w:tab/>
      </w:r>
      <w:r w:rsidRPr="00281F57">
        <w:tab/>
        <w:t>površina parcele</w:t>
      </w:r>
    </w:p>
    <w:p w:rsidR="00281F57" w:rsidRPr="00281F57" w:rsidRDefault="00281F57" w:rsidP="00281F57">
      <w:pPr>
        <w:ind w:left="1410" w:hanging="1410"/>
        <w:jc w:val="both"/>
      </w:pPr>
      <w:r w:rsidRPr="00281F57">
        <w:t>A</w:t>
      </w:r>
      <w:r w:rsidRPr="00281F57">
        <w:rPr>
          <w:vertAlign w:val="subscript"/>
        </w:rPr>
        <w:t>tlorisna</w:t>
      </w:r>
      <w:r w:rsidRPr="00281F57">
        <w:tab/>
      </w:r>
      <w:r w:rsidRPr="00281F57">
        <w:tab/>
        <w:t>neto tlorisna površina objekta je seštevek vseh tlorisnih površin objekta in se izračuna po standardu SIST ISO 9836</w:t>
      </w:r>
    </w:p>
    <w:p w:rsidR="00281F57" w:rsidRPr="00281F57" w:rsidRDefault="00281F57" w:rsidP="00281F57">
      <w:pPr>
        <w:jc w:val="both"/>
      </w:pPr>
      <w:r w:rsidRPr="00281F57">
        <w:t>Dp</w:t>
      </w:r>
      <w:r w:rsidRPr="00281F57">
        <w:tab/>
      </w:r>
      <w:r w:rsidRPr="00281F57">
        <w:tab/>
        <w:t>delež parcele pri izračunu komunalnega prispevka</w:t>
      </w:r>
    </w:p>
    <w:p w:rsidR="00281F57" w:rsidRPr="00281F57" w:rsidRDefault="00281F57" w:rsidP="00281F57">
      <w:pPr>
        <w:ind w:left="1410" w:hanging="1410"/>
        <w:jc w:val="both"/>
      </w:pPr>
      <w:r w:rsidRPr="00281F57">
        <w:t>Dt</w:t>
      </w:r>
      <w:r w:rsidRPr="00281F57">
        <w:tab/>
      </w:r>
      <w:r w:rsidRPr="00281F57">
        <w:tab/>
        <w:t>delež neto tlorisne površine objekta pri izračunu komunalnega prispevka</w:t>
      </w:r>
    </w:p>
    <w:p w:rsidR="00281F57" w:rsidRPr="00281F57" w:rsidRDefault="00281F57" w:rsidP="00281F57">
      <w:pPr>
        <w:jc w:val="both"/>
      </w:pPr>
      <w:r w:rsidRPr="00281F57">
        <w:t>K</w:t>
      </w:r>
      <w:r w:rsidRPr="00281F57">
        <w:rPr>
          <w:vertAlign w:val="subscript"/>
        </w:rPr>
        <w:t>dejavnost</w:t>
      </w:r>
      <w:r w:rsidRPr="00281F57">
        <w:tab/>
        <w:t>faktor dejavnosti</w:t>
      </w:r>
    </w:p>
    <w:p w:rsidR="00281F57" w:rsidRPr="00281F57" w:rsidRDefault="00281F57" w:rsidP="00281F57">
      <w:pPr>
        <w:ind w:left="1410" w:hanging="1410"/>
      </w:pPr>
      <w:r w:rsidRPr="00281F57">
        <w:t>Cp</w:t>
      </w:r>
      <w:r w:rsidRPr="00281F57">
        <w:rPr>
          <w:vertAlign w:val="subscript"/>
        </w:rPr>
        <w:t>ij</w:t>
      </w:r>
      <w:r w:rsidRPr="00281F57">
        <w:tab/>
      </w:r>
      <w:r w:rsidRPr="00281F57">
        <w:tab/>
        <w:t>obračunski stroški, preračunani na m</w:t>
      </w:r>
      <w:r w:rsidRPr="00281F57">
        <w:rPr>
          <w:vertAlign w:val="superscript"/>
        </w:rPr>
        <w:t>2</w:t>
      </w:r>
      <w:r w:rsidRPr="00281F57">
        <w:t xml:space="preserve"> parcele na obračunskem območju za posamezno vrsto komunalne opreme</w:t>
      </w:r>
    </w:p>
    <w:p w:rsidR="00281F57" w:rsidRPr="00281F57" w:rsidRDefault="00281F57" w:rsidP="00281F57">
      <w:pPr>
        <w:ind w:left="1410" w:hanging="1410"/>
      </w:pPr>
      <w:r w:rsidRPr="00281F57">
        <w:t>Ct</w:t>
      </w:r>
      <w:r w:rsidRPr="00281F57">
        <w:rPr>
          <w:vertAlign w:val="subscript"/>
        </w:rPr>
        <w:t>ij</w:t>
      </w:r>
      <w:r w:rsidRPr="00281F57">
        <w:tab/>
        <w:t>obračunski stroški, preračunani na m</w:t>
      </w:r>
      <w:r w:rsidRPr="00281F57">
        <w:rPr>
          <w:vertAlign w:val="superscript"/>
        </w:rPr>
        <w:t>2</w:t>
      </w:r>
      <w:r w:rsidRPr="00281F57">
        <w:t xml:space="preserve"> neto tlorisne površine objekta na obračunskem območju za posamezno vrsto komunalne opreme</w:t>
      </w:r>
    </w:p>
    <w:p w:rsidR="00281F57" w:rsidRPr="00281F57" w:rsidRDefault="00281F57" w:rsidP="00281F57">
      <w:pPr>
        <w:ind w:left="1410" w:hanging="1410"/>
      </w:pPr>
      <w:r w:rsidRPr="00281F57">
        <w:t>i</w:t>
      </w:r>
      <w:r w:rsidRPr="00281F57">
        <w:tab/>
      </w:r>
      <w:r w:rsidRPr="00281F57">
        <w:tab/>
        <w:t>posamezna vrsta komunalne opreme</w:t>
      </w:r>
    </w:p>
    <w:p w:rsidR="00281F57" w:rsidRPr="00281F57" w:rsidRDefault="00281F57" w:rsidP="00281F57">
      <w:pPr>
        <w:ind w:left="1410" w:hanging="1410"/>
      </w:pPr>
      <w:r w:rsidRPr="00281F57">
        <w:t>j</w:t>
      </w:r>
      <w:r w:rsidRPr="00281F57">
        <w:tab/>
      </w:r>
      <w:r w:rsidRPr="00281F57">
        <w:tab/>
        <w:t>posamezno obračunsko območje.</w:t>
      </w:r>
    </w:p>
    <w:p w:rsidR="00281F57" w:rsidRPr="00281F57" w:rsidRDefault="00281F57" w:rsidP="00281F57">
      <w:pPr>
        <w:jc w:val="both"/>
        <w:rPr>
          <w:b/>
        </w:rPr>
      </w:pPr>
    </w:p>
    <w:p w:rsidR="00281F57" w:rsidRPr="00281F57" w:rsidRDefault="00281F57" w:rsidP="00281F57">
      <w:pPr>
        <w:jc w:val="center"/>
        <w:rPr>
          <w:b/>
        </w:rPr>
      </w:pPr>
      <w:r w:rsidRPr="00281F57">
        <w:rPr>
          <w:b/>
        </w:rPr>
        <w:t>14. člen</w:t>
      </w:r>
    </w:p>
    <w:p w:rsidR="00281F57" w:rsidRPr="00281F57" w:rsidRDefault="00281F57" w:rsidP="00281F57">
      <w:pPr>
        <w:jc w:val="center"/>
        <w:rPr>
          <w:b/>
        </w:rPr>
      </w:pPr>
      <w:r w:rsidRPr="00281F57">
        <w:rPr>
          <w:b/>
        </w:rPr>
        <w:t>(indeksiranje stroškov opremljanja)</w:t>
      </w:r>
    </w:p>
    <w:p w:rsidR="00281F57" w:rsidRPr="00281F57" w:rsidRDefault="00281F57" w:rsidP="00281F57">
      <w:pPr>
        <w:jc w:val="center"/>
      </w:pPr>
    </w:p>
    <w:p w:rsidR="00281F57" w:rsidRPr="00281F57" w:rsidRDefault="00281F57" w:rsidP="00281F57">
      <w:pPr>
        <w:jc w:val="both"/>
      </w:pPr>
      <w:r w:rsidRPr="00281F57">
        <w:t>(1) Stroški opremljanja m</w:t>
      </w:r>
      <w:r w:rsidRPr="00281F57">
        <w:rPr>
          <w:vertAlign w:val="superscript"/>
        </w:rPr>
        <w:t>2</w:t>
      </w:r>
      <w:r w:rsidRPr="00281F57">
        <w:t xml:space="preserve"> parcele (Cp</w:t>
      </w:r>
      <w:r w:rsidRPr="00281F57">
        <w:rPr>
          <w:vertAlign w:val="subscript"/>
        </w:rPr>
        <w:t>ij</w:t>
      </w:r>
      <w:r w:rsidRPr="00281F57">
        <w:t>) in stroški opremljanja m</w:t>
      </w:r>
      <w:r w:rsidRPr="00281F57">
        <w:rPr>
          <w:vertAlign w:val="superscript"/>
        </w:rPr>
        <w:t>2</w:t>
      </w:r>
      <w:r w:rsidRPr="00281F57">
        <w:t xml:space="preserve"> neto tlorisne površine objektov (Ct</w:t>
      </w:r>
      <w:r w:rsidRPr="00281F57">
        <w:rPr>
          <w:vertAlign w:val="subscript"/>
        </w:rPr>
        <w:t>ij</w:t>
      </w:r>
      <w:r w:rsidRPr="00281F57">
        <w:t>) s posamezno vrsto komunalne opreme na posameznem obračunskem območju  se pri odmeri komunalnega prispevka indeksirajo ob uporabi povprečnega letnega indeksa cen, ki ga objavlja Združenje za gradbeništvo v okviru Gospodarske zbornice Slovenije, pod »Gradbena dela – ostala nizka gradnja«.</w:t>
      </w:r>
    </w:p>
    <w:p w:rsidR="00281F57" w:rsidRPr="00281F57" w:rsidRDefault="00281F57" w:rsidP="00281F57">
      <w:pPr>
        <w:jc w:val="both"/>
      </w:pPr>
    </w:p>
    <w:p w:rsidR="00281F57" w:rsidRPr="00281F57" w:rsidRDefault="00281F57" w:rsidP="00281F57">
      <w:pPr>
        <w:jc w:val="both"/>
      </w:pPr>
      <w:r w:rsidRPr="00281F57">
        <w:t>(2) Indeksiranje stroškov opremljanja na enoto mere se izvede na naslednji način:</w:t>
      </w:r>
    </w:p>
    <w:p w:rsidR="00281F57" w:rsidRPr="00281F57" w:rsidRDefault="00281F57" w:rsidP="00281F57">
      <w:pPr>
        <w:jc w:val="both"/>
      </w:pPr>
    </w:p>
    <w:p w:rsidR="00281F57" w:rsidRPr="00281F57" w:rsidRDefault="00281F57" w:rsidP="00281F57">
      <w:pPr>
        <w:jc w:val="center"/>
      </w:pPr>
      <w:r w:rsidRPr="00281F57">
        <w:t>Cp</w:t>
      </w:r>
      <w:r w:rsidRPr="00281F57">
        <w:rPr>
          <w:vertAlign w:val="subscript"/>
        </w:rPr>
        <w:t>ij</w:t>
      </w:r>
      <w:r w:rsidRPr="00281F57">
        <w:t xml:space="preserve"> =  Cp</w:t>
      </w:r>
      <w:r w:rsidRPr="00281F57">
        <w:rPr>
          <w:vertAlign w:val="subscript"/>
        </w:rPr>
        <w:t>ij iz 12. člena odloka</w:t>
      </w:r>
      <w:r w:rsidRPr="00281F57">
        <w:t xml:space="preserve"> x faktor indeksacije</w:t>
      </w:r>
    </w:p>
    <w:p w:rsidR="00281F57" w:rsidRPr="00281F57" w:rsidRDefault="00281F57" w:rsidP="00281F57">
      <w:pPr>
        <w:jc w:val="center"/>
      </w:pPr>
      <w:r w:rsidRPr="00281F57">
        <w:t>oz.</w:t>
      </w:r>
    </w:p>
    <w:p w:rsidR="00281F57" w:rsidRPr="00281F57" w:rsidRDefault="00281F57" w:rsidP="00281F57">
      <w:pPr>
        <w:jc w:val="center"/>
      </w:pPr>
      <w:r w:rsidRPr="00281F57">
        <w:t>Ct</w:t>
      </w:r>
      <w:r w:rsidRPr="00281F57">
        <w:rPr>
          <w:vertAlign w:val="subscript"/>
        </w:rPr>
        <w:t>ij</w:t>
      </w:r>
      <w:r w:rsidRPr="00281F57">
        <w:t xml:space="preserve"> =  Ct</w:t>
      </w:r>
      <w:r w:rsidRPr="00281F57">
        <w:rPr>
          <w:vertAlign w:val="subscript"/>
        </w:rPr>
        <w:t>ij iz 12. člena odloka</w:t>
      </w:r>
      <w:r w:rsidRPr="00281F57">
        <w:t xml:space="preserve"> x faktor indeksacije</w:t>
      </w:r>
    </w:p>
    <w:p w:rsidR="00281F57" w:rsidRDefault="00281F57" w:rsidP="00281F57">
      <w:pPr>
        <w:jc w:val="both"/>
      </w:pPr>
    </w:p>
    <w:p w:rsidR="00281F57" w:rsidRPr="00281F57" w:rsidRDefault="00281F57" w:rsidP="00281F57">
      <w:pPr>
        <w:jc w:val="both"/>
      </w:pPr>
    </w:p>
    <w:p w:rsidR="00281F57" w:rsidRDefault="00281F57" w:rsidP="00281F57">
      <w:pPr>
        <w:jc w:val="both"/>
      </w:pPr>
    </w:p>
    <w:p w:rsidR="00647A9E" w:rsidRDefault="00647A9E" w:rsidP="00281F57">
      <w:pPr>
        <w:jc w:val="both"/>
      </w:pPr>
    </w:p>
    <w:p w:rsidR="00647A9E" w:rsidRPr="00281F57" w:rsidRDefault="00647A9E" w:rsidP="00281F57">
      <w:pPr>
        <w:jc w:val="both"/>
      </w:pPr>
    </w:p>
    <w:p w:rsidR="00281F57" w:rsidRPr="00281F57" w:rsidRDefault="00281F57" w:rsidP="00281F57">
      <w:pPr>
        <w:jc w:val="center"/>
        <w:rPr>
          <w:b/>
        </w:rPr>
      </w:pPr>
      <w:r w:rsidRPr="00281F57">
        <w:rPr>
          <w:b/>
          <w:bCs/>
        </w:rPr>
        <w:lastRenderedPageBreak/>
        <w:t>15. člen</w:t>
      </w:r>
    </w:p>
    <w:p w:rsidR="00281F57" w:rsidRPr="00281F57" w:rsidRDefault="00281F57" w:rsidP="00281F57">
      <w:pPr>
        <w:autoSpaceDE w:val="0"/>
        <w:autoSpaceDN w:val="0"/>
        <w:adjustRightInd w:val="0"/>
        <w:jc w:val="center"/>
        <w:rPr>
          <w:b/>
        </w:rPr>
      </w:pPr>
      <w:r w:rsidRPr="00281F57">
        <w:rPr>
          <w:b/>
        </w:rPr>
        <w:t xml:space="preserve">(izračun celotnega komunalnega prispevka) </w:t>
      </w:r>
    </w:p>
    <w:p w:rsidR="00281F57" w:rsidRPr="00281F57" w:rsidRDefault="00281F57" w:rsidP="00281F57">
      <w:pPr>
        <w:autoSpaceDE w:val="0"/>
        <w:autoSpaceDN w:val="0"/>
        <w:adjustRightInd w:val="0"/>
        <w:jc w:val="center"/>
      </w:pPr>
    </w:p>
    <w:p w:rsidR="00281F57" w:rsidRPr="00281F57" w:rsidRDefault="00281F57" w:rsidP="00281F57">
      <w:pPr>
        <w:autoSpaceDE w:val="0"/>
        <w:autoSpaceDN w:val="0"/>
        <w:adjustRightInd w:val="0"/>
        <w:jc w:val="both"/>
      </w:pPr>
      <w:r w:rsidRPr="00281F57">
        <w:t xml:space="preserve">(1) Skupni komunalni prispevek se izračuna kot vsota vseh komunalnih prispevkov za posamezne vrste komunalne opreme na naslednji način: </w:t>
      </w:r>
    </w:p>
    <w:p w:rsidR="00281F57" w:rsidRPr="00281F57" w:rsidRDefault="00281F57" w:rsidP="00281F57">
      <w:pPr>
        <w:autoSpaceDE w:val="0"/>
        <w:autoSpaceDN w:val="0"/>
        <w:adjustRightInd w:val="0"/>
        <w:jc w:val="both"/>
      </w:pPr>
    </w:p>
    <w:p w:rsidR="00281F57" w:rsidRPr="00281F57" w:rsidRDefault="00281F57" w:rsidP="00281F57">
      <w:pPr>
        <w:autoSpaceDE w:val="0"/>
        <w:autoSpaceDN w:val="0"/>
        <w:adjustRightInd w:val="0"/>
        <w:jc w:val="center"/>
      </w:pPr>
      <w:r w:rsidRPr="00281F57">
        <w:t>KP = Σ KP</w:t>
      </w:r>
      <w:r w:rsidRPr="00281F57">
        <w:rPr>
          <w:vertAlign w:val="subscript"/>
        </w:rPr>
        <w:t>ij</w:t>
      </w:r>
    </w:p>
    <w:p w:rsidR="00281F57" w:rsidRPr="00281F57" w:rsidRDefault="00281F57" w:rsidP="00281F57">
      <w:pPr>
        <w:autoSpaceDE w:val="0"/>
        <w:autoSpaceDN w:val="0"/>
        <w:adjustRightInd w:val="0"/>
        <w:jc w:val="both"/>
      </w:pPr>
    </w:p>
    <w:p w:rsidR="00281F57" w:rsidRDefault="00281F57" w:rsidP="00281F57">
      <w:pPr>
        <w:autoSpaceDE w:val="0"/>
        <w:autoSpaceDN w:val="0"/>
        <w:adjustRightInd w:val="0"/>
        <w:jc w:val="both"/>
      </w:pPr>
      <w:r w:rsidRPr="00281F57">
        <w:rPr>
          <w:shd w:val="clear" w:color="auto" w:fill="FFFFFF"/>
        </w:rPr>
        <w:t>(</w:t>
      </w:r>
      <w:r w:rsidRPr="00281F57">
        <w:t>2) Seštevek zneskov je komunalni prispevek, ki se ga odmeri zavezancu.</w:t>
      </w:r>
    </w:p>
    <w:p w:rsidR="00281F57" w:rsidRDefault="00281F57" w:rsidP="00281F57">
      <w:pPr>
        <w:autoSpaceDE w:val="0"/>
        <w:autoSpaceDN w:val="0"/>
        <w:adjustRightInd w:val="0"/>
        <w:jc w:val="both"/>
      </w:pPr>
    </w:p>
    <w:p w:rsidR="00281F57" w:rsidRPr="00281F57" w:rsidRDefault="00281F57" w:rsidP="00281F57">
      <w:pPr>
        <w:autoSpaceDE w:val="0"/>
        <w:autoSpaceDN w:val="0"/>
        <w:adjustRightInd w:val="0"/>
        <w:jc w:val="center"/>
        <w:rPr>
          <w:b/>
        </w:rPr>
      </w:pPr>
      <w:r w:rsidRPr="00281F57">
        <w:rPr>
          <w:b/>
        </w:rPr>
        <w:t>16. člen</w:t>
      </w:r>
    </w:p>
    <w:p w:rsidR="00281F57" w:rsidRPr="00281F57" w:rsidRDefault="00B824F6" w:rsidP="00281F57">
      <w:pPr>
        <w:jc w:val="center"/>
        <w:rPr>
          <w:b/>
        </w:rPr>
      </w:pPr>
      <w:r>
        <w:rPr>
          <w:b/>
        </w:rPr>
        <w:t>(p</w:t>
      </w:r>
      <w:r w:rsidR="00281F57" w:rsidRPr="00281F57">
        <w:rPr>
          <w:b/>
        </w:rPr>
        <w:t>osebni primeri obračuna komunalnega prispevka)</w:t>
      </w:r>
    </w:p>
    <w:p w:rsidR="00281F57" w:rsidRPr="00281F57" w:rsidRDefault="00281F57" w:rsidP="00281F57">
      <w:pPr>
        <w:jc w:val="center"/>
      </w:pPr>
    </w:p>
    <w:p w:rsidR="00281F57" w:rsidRPr="00281F57" w:rsidRDefault="00281F57" w:rsidP="00281F57">
      <w:pPr>
        <w:jc w:val="both"/>
      </w:pPr>
      <w:r w:rsidRPr="00281F57">
        <w:t>(1) V primeru spremembe namembnosti oziroma vrste obstoječega objekta, gradnje novega objekta na mestu prej odstranjenega obstoječega objekta ali spremembe obstoječega objekta (nadzidave, dozidave, rekonstrukcije ipd.) se za izračun komunalnega prispevka upošteva razliko med novim in starim stanjem objekta. V kolikor je vrednost pozitivna, se za objekt obračuna komunalni prispevek, v nasprotnem primeru pa se izda odločba z navedbo, da je komunalni prispevek že poravnan.</w:t>
      </w:r>
    </w:p>
    <w:p w:rsidR="00281F57" w:rsidRPr="00281F57" w:rsidRDefault="00281F57" w:rsidP="00281F57">
      <w:pPr>
        <w:jc w:val="both"/>
      </w:pPr>
    </w:p>
    <w:p w:rsidR="00281F57" w:rsidRPr="00281F57" w:rsidRDefault="00281F57" w:rsidP="00281F57">
      <w:pPr>
        <w:jc w:val="both"/>
      </w:pPr>
      <w:r w:rsidRPr="00281F57">
        <w:t xml:space="preserve">Komunalni prispevek se izračuna na naslednji način </w:t>
      </w:r>
    </w:p>
    <w:p w:rsidR="00281F57" w:rsidRPr="00281F57" w:rsidRDefault="00281F57" w:rsidP="00281F57">
      <w:pPr>
        <w:jc w:val="both"/>
        <w:rPr>
          <w:vertAlign w:val="subscript"/>
        </w:rPr>
      </w:pPr>
      <w:r w:rsidRPr="00281F57">
        <w:t>KP</w:t>
      </w:r>
      <w:r w:rsidRPr="00281F57">
        <w:rPr>
          <w:vertAlign w:val="subscript"/>
        </w:rPr>
        <w:t>i</w:t>
      </w:r>
      <w:r w:rsidRPr="00281F57">
        <w:t xml:space="preserve"> = KP</w:t>
      </w:r>
      <w:r w:rsidRPr="00281F57">
        <w:rPr>
          <w:vertAlign w:val="subscript"/>
        </w:rPr>
        <w:t>novo stanje objekta</w:t>
      </w:r>
      <w:r w:rsidRPr="00281F57">
        <w:t xml:space="preserve"> - KP</w:t>
      </w:r>
      <w:r w:rsidRPr="00281F57">
        <w:rPr>
          <w:vertAlign w:val="subscript"/>
        </w:rPr>
        <w:t>staro stanje objekta</w:t>
      </w:r>
    </w:p>
    <w:p w:rsidR="00281F57" w:rsidRPr="00281F57" w:rsidRDefault="00281F57" w:rsidP="00281F57">
      <w:pPr>
        <w:jc w:val="both"/>
      </w:pPr>
    </w:p>
    <w:p w:rsidR="00281F57" w:rsidRPr="00281F57" w:rsidRDefault="00281F57" w:rsidP="00281F57">
      <w:pPr>
        <w:jc w:val="both"/>
      </w:pPr>
      <w:r w:rsidRPr="00281F57">
        <w:t>(2) V primeru legalizacije obstoječega objekta se komunalni prispevek zanj obračuna enako kot za novogradnjo.</w:t>
      </w:r>
    </w:p>
    <w:p w:rsidR="00281F57" w:rsidRPr="00281F57" w:rsidRDefault="00281F57" w:rsidP="00281F57">
      <w:pPr>
        <w:jc w:val="both"/>
      </w:pPr>
    </w:p>
    <w:p w:rsidR="00281F57" w:rsidRPr="00281F57" w:rsidRDefault="00281F57" w:rsidP="00281F57">
      <w:pPr>
        <w:autoSpaceDE w:val="0"/>
        <w:autoSpaceDN w:val="0"/>
        <w:adjustRightInd w:val="0"/>
        <w:jc w:val="both"/>
      </w:pPr>
      <w:r w:rsidRPr="00281F57">
        <w:t>(3) Če o plačilu komunalnega prispevka dokumentacija ne obstaja, se šteje, da so lastniki vseh zgradb, zgrajenih pred letom 1967 in vseh zgradb, ki jim je bilo gradbeno dovoljenje izdano do uveljavitve tega odloka, plačali komunalni prispevek za vso infrastrukturo, zgrajeno na lokaciji, na katero je objekt že bil priključen ob uveljavitvi tega odloka. Za vso javno infrastrukturo, na katero se objekt priključuje na novo, zavezanec plača komunalni prispevek po veljavnem odloku.</w:t>
      </w:r>
    </w:p>
    <w:p w:rsidR="00281F57" w:rsidRPr="00281F57" w:rsidRDefault="00281F57" w:rsidP="00281F57">
      <w:pPr>
        <w:jc w:val="both"/>
      </w:pPr>
    </w:p>
    <w:p w:rsidR="00281F57" w:rsidRPr="00281F57" w:rsidRDefault="00281F57" w:rsidP="00281F57">
      <w:pPr>
        <w:jc w:val="both"/>
      </w:pPr>
      <w:r w:rsidRPr="00281F57">
        <w:t>(4) V primeru gradnje novega objekta na mestu prej odstranjenega obstoječega objekta, je breme dokazovanja že plačanih obveznosti iz naslova komunalnega prispevka na strani investitorja. Investitor mora ob tem tudi  predložiti projekt za odstranitev starega objekta. Ta je lahko sestavni del projekta za pridobitev gradbenega dovoljenja (PGD) novega objekta, v nasprotnem primeru (da ga investitor predloži kot samostojen dokument) pa mora investitor projektu za odstranitev objekta predložiti tudi gradbeno dovoljenje za odstranitev objekta.</w:t>
      </w:r>
    </w:p>
    <w:p w:rsidR="00281F57" w:rsidRPr="00281F57" w:rsidRDefault="00281F57" w:rsidP="00281F57">
      <w:pPr>
        <w:jc w:val="both"/>
      </w:pPr>
    </w:p>
    <w:p w:rsidR="00281F57" w:rsidRPr="00281F57" w:rsidRDefault="00281F57" w:rsidP="00281F57">
      <w:pPr>
        <w:jc w:val="both"/>
      </w:pPr>
      <w:r w:rsidRPr="00281F57">
        <w:t>(5) Komunalni prispevek za novozgrajeno komunalno opremo se lahko na območju, kjer je bila taka investicija izvedena oz. se izvaja, odmeri na podlagi posebnega programa opremljanja, ki je bil sprejet posebej samo za to komunalno opremo in samo za to območje, in na njem temelječega odloka, ki opredeljuje skupne in obračunske stroške ter ostale parametre, potrebne za odmero.</w:t>
      </w:r>
    </w:p>
    <w:p w:rsidR="00281F57" w:rsidRDefault="00281F57" w:rsidP="00281F57">
      <w:pPr>
        <w:jc w:val="both"/>
      </w:pPr>
    </w:p>
    <w:p w:rsidR="00281F57" w:rsidRDefault="00281F57" w:rsidP="00281F57">
      <w:pPr>
        <w:jc w:val="both"/>
      </w:pPr>
    </w:p>
    <w:p w:rsidR="00281F57" w:rsidRDefault="00281F57" w:rsidP="00281F57">
      <w:pPr>
        <w:jc w:val="both"/>
      </w:pPr>
    </w:p>
    <w:p w:rsidR="00281F57" w:rsidRDefault="00281F57" w:rsidP="00281F57">
      <w:pPr>
        <w:jc w:val="both"/>
      </w:pPr>
    </w:p>
    <w:p w:rsidR="00281F57" w:rsidRDefault="00281F57" w:rsidP="00281F57">
      <w:pPr>
        <w:jc w:val="both"/>
      </w:pPr>
    </w:p>
    <w:p w:rsidR="00281F57" w:rsidRPr="00281F57" w:rsidRDefault="00281F57" w:rsidP="00281F57">
      <w:pPr>
        <w:jc w:val="both"/>
      </w:pPr>
    </w:p>
    <w:p w:rsidR="00281F57" w:rsidRPr="00281F57" w:rsidRDefault="00281F57" w:rsidP="00281F57">
      <w:pPr>
        <w:jc w:val="center"/>
        <w:rPr>
          <w:b/>
        </w:rPr>
      </w:pPr>
      <w:r w:rsidRPr="00281F57">
        <w:rPr>
          <w:b/>
        </w:rPr>
        <w:lastRenderedPageBreak/>
        <w:t>IV. ODMERA KOMUNALNEGA PRISPEVKA</w:t>
      </w:r>
    </w:p>
    <w:p w:rsidR="00281F57" w:rsidRPr="00281F57" w:rsidRDefault="00281F57" w:rsidP="00281F57">
      <w:pPr>
        <w:jc w:val="center"/>
        <w:rPr>
          <w:b/>
        </w:rPr>
      </w:pPr>
    </w:p>
    <w:p w:rsidR="00281F57" w:rsidRPr="00281F57" w:rsidRDefault="00281F57" w:rsidP="00281F57">
      <w:pPr>
        <w:jc w:val="center"/>
        <w:rPr>
          <w:b/>
        </w:rPr>
      </w:pPr>
      <w:r w:rsidRPr="00281F57">
        <w:rPr>
          <w:b/>
        </w:rPr>
        <w:t>17. člen</w:t>
      </w:r>
    </w:p>
    <w:p w:rsidR="00281F57" w:rsidRPr="00281F57" w:rsidRDefault="00281F57" w:rsidP="00281F57">
      <w:pPr>
        <w:jc w:val="center"/>
        <w:rPr>
          <w:b/>
        </w:rPr>
      </w:pPr>
      <w:r w:rsidRPr="00281F57">
        <w:rPr>
          <w:b/>
        </w:rPr>
        <w:t>(odmera komunalnega prispevka)</w:t>
      </w:r>
    </w:p>
    <w:p w:rsidR="00281F57" w:rsidRPr="00281F57" w:rsidRDefault="00281F57" w:rsidP="00281F57">
      <w:pPr>
        <w:jc w:val="both"/>
      </w:pPr>
    </w:p>
    <w:p w:rsidR="00281F57" w:rsidRPr="00281F57" w:rsidRDefault="00281F57" w:rsidP="00281F57">
      <w:pPr>
        <w:jc w:val="both"/>
      </w:pPr>
      <w:r w:rsidRPr="00281F57">
        <w:t>(1) Komunalni prispevek odmeri pristojni organ občine z odločbo na zahtevo zavezanca ali po uradni dolžnosti.</w:t>
      </w:r>
    </w:p>
    <w:p w:rsidR="00281F57" w:rsidRPr="00281F57" w:rsidRDefault="00281F57" w:rsidP="00281F57">
      <w:pPr>
        <w:jc w:val="both"/>
      </w:pPr>
    </w:p>
    <w:p w:rsidR="00281F57" w:rsidRPr="00281F57" w:rsidRDefault="00281F57" w:rsidP="00281F57">
      <w:pPr>
        <w:jc w:val="both"/>
      </w:pPr>
      <w:r w:rsidRPr="00281F57">
        <w:t>(2) Če se postopek odmere komunalnega prispevka začne na zahtevo zavezanca iz prejšnjega odstavka, mora biti zahtevi priložen tisti del projekta za pridobitev gradbenega dovoljenja, ki je potreben za odmero komunalnega prispevka. Če se komunalni prispevek odmerja zaradi izboljšanja opremljenosti stavbnega zemljišča se lahko za vhodne podatke uporabi tudi uradne evidence.</w:t>
      </w:r>
    </w:p>
    <w:p w:rsidR="00281F57" w:rsidRPr="00281F57" w:rsidRDefault="00281F57" w:rsidP="00281F57">
      <w:pPr>
        <w:jc w:val="both"/>
      </w:pPr>
    </w:p>
    <w:p w:rsidR="00281F57" w:rsidRPr="00281F57" w:rsidRDefault="00281F57" w:rsidP="00281F57">
      <w:pPr>
        <w:jc w:val="both"/>
      </w:pPr>
      <w:r w:rsidRPr="00281F57">
        <w:t>(3) Če se postopek odmere komunalnega prispevka začne po uradni dolžnosti, potem ko občina od upravne enote prejme obvestilo o popolnosti vloge za pridobitev gradbenega dovoljenja, mora biti obvestilu upravne enote priložen tisti del projekta za pridobitev gradbenega dovoljenja, ki je potreben za odmero komunalnega prispevka.</w:t>
      </w:r>
    </w:p>
    <w:p w:rsidR="00281F57" w:rsidRPr="00281F57" w:rsidRDefault="00281F57" w:rsidP="00281F57">
      <w:pPr>
        <w:jc w:val="center"/>
      </w:pPr>
    </w:p>
    <w:p w:rsidR="00281F57" w:rsidRPr="00281F57" w:rsidRDefault="00281F57" w:rsidP="00281F57">
      <w:pPr>
        <w:jc w:val="center"/>
        <w:rPr>
          <w:b/>
        </w:rPr>
      </w:pPr>
      <w:r w:rsidRPr="00281F57">
        <w:rPr>
          <w:b/>
        </w:rPr>
        <w:t>18. člen</w:t>
      </w:r>
    </w:p>
    <w:p w:rsidR="00281F57" w:rsidRPr="00281F57" w:rsidRDefault="00281F57" w:rsidP="00281F57">
      <w:pPr>
        <w:jc w:val="center"/>
        <w:rPr>
          <w:b/>
        </w:rPr>
      </w:pPr>
      <w:r w:rsidRPr="00281F57">
        <w:rPr>
          <w:b/>
        </w:rPr>
        <w:t>(izdaja odločbe o odmeri)</w:t>
      </w:r>
    </w:p>
    <w:p w:rsidR="00281F57" w:rsidRPr="00281F57" w:rsidRDefault="00281F57" w:rsidP="00281F57">
      <w:pPr>
        <w:jc w:val="both"/>
      </w:pPr>
    </w:p>
    <w:p w:rsidR="00281F57" w:rsidRPr="00281F57" w:rsidRDefault="00281F57" w:rsidP="00281F57">
      <w:pPr>
        <w:jc w:val="both"/>
      </w:pPr>
      <w:r w:rsidRPr="00281F57">
        <w:t xml:space="preserve">(1) Rok za izdajo odločbe je 15 dni po prejemu popolne vloge. </w:t>
      </w:r>
    </w:p>
    <w:p w:rsidR="00281F57" w:rsidRPr="00281F57" w:rsidRDefault="00281F57" w:rsidP="00281F57">
      <w:pPr>
        <w:jc w:val="both"/>
      </w:pPr>
    </w:p>
    <w:p w:rsidR="00281F57" w:rsidRPr="00281F57" w:rsidRDefault="00281F57" w:rsidP="00281F57">
      <w:pPr>
        <w:jc w:val="both"/>
      </w:pPr>
      <w:r w:rsidRPr="00281F57">
        <w:t>(2) Zoper odločbo o odmeri komunalnega prispevka je dovoljena pritožba, o kateri odloča župan. Rok za odločitev o pritožbi je 30 dni.</w:t>
      </w:r>
    </w:p>
    <w:p w:rsidR="00281F57" w:rsidRPr="00281F57" w:rsidRDefault="00281F57" w:rsidP="00281F57">
      <w:pPr>
        <w:jc w:val="both"/>
      </w:pPr>
    </w:p>
    <w:p w:rsidR="00281F57" w:rsidRPr="00281F57" w:rsidRDefault="00281F57" w:rsidP="00281F57">
      <w:pPr>
        <w:jc w:val="center"/>
        <w:rPr>
          <w:b/>
        </w:rPr>
      </w:pPr>
      <w:r w:rsidRPr="00281F57">
        <w:rPr>
          <w:b/>
        </w:rPr>
        <w:t>19. člen</w:t>
      </w:r>
    </w:p>
    <w:p w:rsidR="00281F57" w:rsidRPr="00281F57" w:rsidRDefault="00281F57" w:rsidP="00281F57">
      <w:pPr>
        <w:jc w:val="center"/>
        <w:rPr>
          <w:b/>
        </w:rPr>
      </w:pPr>
      <w:r w:rsidRPr="00281F57">
        <w:rPr>
          <w:b/>
        </w:rPr>
        <w:t>(pogodba o opremljanju)</w:t>
      </w:r>
    </w:p>
    <w:p w:rsidR="00281F57" w:rsidRPr="00281F57" w:rsidRDefault="00281F57" w:rsidP="00281F57">
      <w:pPr>
        <w:jc w:val="both"/>
      </w:pPr>
    </w:p>
    <w:p w:rsidR="00281F57" w:rsidRPr="00281F57" w:rsidRDefault="00281F57" w:rsidP="00281F57">
      <w:pPr>
        <w:jc w:val="both"/>
      </w:pPr>
      <w:r w:rsidRPr="00281F57">
        <w:t>Če se občina in investitor dogovorita, da bo investitor sam, na lastne stroške, delno ali v celoti zgradil komunalno opremo na neopremljenem ali delno opremljenem zemljišču, se ta dogovor sklene s pogodbo o opremljanju, v kateri se natančno opredelijo pogodbene obveznosti obeh pogodbenih strank. S pogodbo se določi predvsem rok zgraditve in priključitve objekta na komunalno opremo.</w:t>
      </w:r>
    </w:p>
    <w:p w:rsidR="00281F57" w:rsidRPr="00281F57" w:rsidRDefault="00281F57" w:rsidP="00281F57">
      <w:pPr>
        <w:jc w:val="center"/>
      </w:pPr>
    </w:p>
    <w:p w:rsidR="00281F57" w:rsidRPr="00281F57" w:rsidRDefault="00281F57" w:rsidP="00281F57">
      <w:pPr>
        <w:jc w:val="center"/>
        <w:rPr>
          <w:b/>
        </w:rPr>
      </w:pPr>
      <w:r w:rsidRPr="00281F57">
        <w:rPr>
          <w:b/>
        </w:rPr>
        <w:t>20. člen</w:t>
      </w:r>
    </w:p>
    <w:p w:rsidR="00281F57" w:rsidRPr="00281F57" w:rsidRDefault="00281F57" w:rsidP="00281F57">
      <w:pPr>
        <w:jc w:val="center"/>
        <w:rPr>
          <w:b/>
        </w:rPr>
      </w:pPr>
      <w:r w:rsidRPr="00281F57">
        <w:rPr>
          <w:b/>
        </w:rPr>
        <w:t>(plačilo komunalnega prispevka)</w:t>
      </w:r>
    </w:p>
    <w:p w:rsidR="00281F57" w:rsidRPr="00281F57" w:rsidRDefault="00281F57" w:rsidP="00281F57"/>
    <w:p w:rsidR="00281F57" w:rsidRPr="00281F57" w:rsidRDefault="00281F57" w:rsidP="00281F57">
      <w:pPr>
        <w:jc w:val="both"/>
      </w:pPr>
      <w:r w:rsidRPr="00281F57">
        <w:t>(1) Zavezanec za plačilo komunalnega prispevka mora plačati komunalni prispevek v enkratnem znesku v roku 30 dni po pravnomočnosti odločbe, razen če ni na vlogi zavezanca navedeno drugače. V tem primeru se podrobnosti glede plačila navedejo na odločbi.</w:t>
      </w:r>
    </w:p>
    <w:p w:rsidR="00281F57" w:rsidRPr="00281F57" w:rsidRDefault="00281F57" w:rsidP="00281F57">
      <w:pPr>
        <w:jc w:val="both"/>
      </w:pPr>
    </w:p>
    <w:p w:rsidR="00281F57" w:rsidRPr="00281F57" w:rsidRDefault="00281F57" w:rsidP="00281F57">
      <w:pPr>
        <w:jc w:val="both"/>
      </w:pPr>
      <w:r w:rsidRPr="00281F57">
        <w:t xml:space="preserve">(2) Komunalni prispevek se lahko </w:t>
      </w:r>
      <w:r w:rsidRPr="00281F57">
        <w:rPr>
          <w:rStyle w:val="highlight"/>
        </w:rPr>
        <w:t>odmeri</w:t>
      </w:r>
      <w:r w:rsidRPr="00281F57">
        <w:t xml:space="preserve"> kot </w:t>
      </w:r>
      <w:r w:rsidRPr="00281F57">
        <w:rPr>
          <w:rStyle w:val="highlight"/>
        </w:rPr>
        <w:t>obročno</w:t>
      </w:r>
      <w:r w:rsidRPr="00281F57">
        <w:t xml:space="preserve"> plačilo v največ </w:t>
      </w:r>
      <w:r w:rsidR="002C6839" w:rsidRPr="002C6839">
        <w:rPr>
          <w:i/>
        </w:rPr>
        <w:t>24</w:t>
      </w:r>
      <w:r w:rsidRPr="00281F57">
        <w:t xml:space="preserve"> mesečnih obrokih, vendar mora zavezanec za plačilo še pred pravnomočnostjo izdane odločbe podati na občino pisno prošnjo z navedbo števila obrokov oziroma navedeno označiti na vlogi za izdajo odločbe o odmeri komunalnega prispevka. V primeru priklopa obstoječega objekta na kanalizacijsko omrežje je za fizične osebe možno plačilo na največ 36 obrokov.</w:t>
      </w:r>
    </w:p>
    <w:p w:rsidR="00281F57" w:rsidRPr="00281F57" w:rsidRDefault="00281F57" w:rsidP="00281F57">
      <w:pPr>
        <w:jc w:val="both"/>
      </w:pPr>
    </w:p>
    <w:p w:rsidR="00281F57" w:rsidRPr="00281F57" w:rsidRDefault="00281F57" w:rsidP="00281F57">
      <w:pPr>
        <w:jc w:val="both"/>
        <w:rPr>
          <w:color w:val="FF0000"/>
        </w:rPr>
      </w:pPr>
      <w:r w:rsidRPr="00281F57">
        <w:rPr>
          <w:color w:val="000000" w:themeColor="text1"/>
        </w:rPr>
        <w:lastRenderedPageBreak/>
        <w:t>(3) Potrdilo o plačanem komunalnem prispevku, se v primeru obročnega plačila, lahko izda po plačilu prvega obroka.</w:t>
      </w:r>
    </w:p>
    <w:p w:rsidR="00281F57" w:rsidRPr="00281F57" w:rsidRDefault="00281F57" w:rsidP="00281F57">
      <w:pPr>
        <w:jc w:val="both"/>
      </w:pPr>
    </w:p>
    <w:p w:rsidR="00281F57" w:rsidRPr="00281F57" w:rsidRDefault="00281F57" w:rsidP="00281F57">
      <w:pPr>
        <w:jc w:val="both"/>
      </w:pPr>
      <w:r w:rsidRPr="00281F57">
        <w:t>(4) Če je zavezanec plačal komunalni prispevek, pri pristojnem organu upravne enote pa ne vloži zahteve za izdajo gradbenega dovoljenja ali mu gradbeno dovoljenje ni izdano oziroma je prenehalo veljati, je upravičen do vračila komunalnega prispevka v nerevaloriziranem znesku. Vračilo plačanega komunalnega prispevka se na vlogo zavezanca izvede v roku 30 dni od pravnomočnosti odločbe o vračilu. Zavezanec mora k vlogi priložiti ustrezno dokazilo, iz katerega je razvidno, da ni vložil vloge za izdajo gradbenega dovoljenja ali da mu gradbeno dovoljenje ni bilo izdano ali da mu je gradbeno dovoljenje prenehalo veljati, vendar le v primeru, če si pristojni organ občine tega dokazila ne more pridobiti sam po uradni dolžnosti.</w:t>
      </w:r>
    </w:p>
    <w:p w:rsidR="00281F57" w:rsidRPr="00281F57" w:rsidRDefault="00281F57" w:rsidP="00281F57">
      <w:pPr>
        <w:jc w:val="center"/>
      </w:pPr>
    </w:p>
    <w:p w:rsidR="00281F57" w:rsidRPr="00281F57" w:rsidRDefault="00281F57" w:rsidP="00281F57">
      <w:pPr>
        <w:jc w:val="center"/>
        <w:rPr>
          <w:b/>
        </w:rPr>
      </w:pPr>
      <w:r w:rsidRPr="00281F57">
        <w:rPr>
          <w:b/>
        </w:rPr>
        <w:t>21. člen</w:t>
      </w:r>
    </w:p>
    <w:p w:rsidR="00281F57" w:rsidRPr="00281F57" w:rsidRDefault="00281F57" w:rsidP="00281F57">
      <w:pPr>
        <w:jc w:val="center"/>
        <w:rPr>
          <w:b/>
        </w:rPr>
      </w:pPr>
      <w:r w:rsidRPr="00281F57">
        <w:rPr>
          <w:b/>
        </w:rPr>
        <w:t>(stroški priključevanja)</w:t>
      </w:r>
    </w:p>
    <w:p w:rsidR="00281F57" w:rsidRPr="00281F57" w:rsidRDefault="00281F57" w:rsidP="00281F57">
      <w:pPr>
        <w:jc w:val="center"/>
      </w:pPr>
    </w:p>
    <w:p w:rsidR="00281F57" w:rsidRPr="00281F57" w:rsidRDefault="00281F57" w:rsidP="00281F57">
      <w:pPr>
        <w:jc w:val="both"/>
      </w:pPr>
      <w:r w:rsidRPr="00281F57">
        <w:t>Šteje se, da so s plačilom komunalnega prispevka poravnani vsi stroški priključevanja objekta na komunalno opremo, razen gradnje tistih delov priključkov, ki so v zasebni lasti. Stroški izvedbe priključkov niso predmet odmere komunalnega prispevka in v celoti bremenijo investitorja oz. lastnika objekta.</w:t>
      </w:r>
    </w:p>
    <w:p w:rsidR="00281F57" w:rsidRPr="00281F57" w:rsidRDefault="00281F57" w:rsidP="00281F57">
      <w:pPr>
        <w:jc w:val="center"/>
      </w:pPr>
    </w:p>
    <w:p w:rsidR="00281F57" w:rsidRPr="00281F57" w:rsidRDefault="00281F57" w:rsidP="00281F57">
      <w:pPr>
        <w:jc w:val="center"/>
        <w:rPr>
          <w:b/>
        </w:rPr>
      </w:pPr>
      <w:r w:rsidRPr="00281F57">
        <w:rPr>
          <w:b/>
        </w:rPr>
        <w:t>V. OPROSTITVE IN OLAJŠAVE PLAČILA KOMUNALNEGA PRISPEVKA</w:t>
      </w:r>
    </w:p>
    <w:p w:rsidR="00281F57" w:rsidRPr="00281F57" w:rsidRDefault="00281F57" w:rsidP="00281F57">
      <w:pPr>
        <w:jc w:val="both"/>
        <w:rPr>
          <w:b/>
        </w:rPr>
      </w:pPr>
    </w:p>
    <w:p w:rsidR="00281F57" w:rsidRPr="00281F57" w:rsidRDefault="00281F57" w:rsidP="00281F57">
      <w:pPr>
        <w:jc w:val="center"/>
        <w:rPr>
          <w:b/>
        </w:rPr>
      </w:pPr>
      <w:r w:rsidRPr="00281F57">
        <w:rPr>
          <w:b/>
        </w:rPr>
        <w:t>22. člen</w:t>
      </w:r>
    </w:p>
    <w:p w:rsidR="00281F57" w:rsidRPr="00281F57" w:rsidRDefault="00281F57" w:rsidP="00281F57">
      <w:pPr>
        <w:jc w:val="center"/>
        <w:rPr>
          <w:b/>
        </w:rPr>
      </w:pPr>
      <w:r w:rsidRPr="00281F57">
        <w:rPr>
          <w:b/>
        </w:rPr>
        <w:t>(oprostitve in olajšave plačila komunalnega prispevka)</w:t>
      </w:r>
    </w:p>
    <w:p w:rsidR="00281F57" w:rsidRPr="00281F57" w:rsidRDefault="00281F57" w:rsidP="00281F57">
      <w:pPr>
        <w:jc w:val="both"/>
      </w:pPr>
    </w:p>
    <w:p w:rsidR="00281F57" w:rsidRPr="00281F57" w:rsidRDefault="00281F57" w:rsidP="00281F57">
      <w:pPr>
        <w:jc w:val="both"/>
      </w:pPr>
      <w:r w:rsidRPr="00281F57">
        <w:t>(1) Komunalni prispevek se ne plača za gradnjo gospodarske javne infrastrukture.</w:t>
      </w:r>
    </w:p>
    <w:p w:rsidR="00281F57" w:rsidRPr="00281F57" w:rsidRDefault="00281F57" w:rsidP="00281F57">
      <w:pPr>
        <w:jc w:val="both"/>
      </w:pPr>
    </w:p>
    <w:p w:rsidR="00281F57" w:rsidRPr="00281F57" w:rsidRDefault="00281F57" w:rsidP="00281F57">
      <w:pPr>
        <w:jc w:val="both"/>
      </w:pPr>
      <w:r w:rsidRPr="00281F57">
        <w:t xml:space="preserve">(2) Komunalni prispevek se ne plača za gradnjo neprofitnih stanovanj in posameznih vrst stavb za izobraževanje (oznaka 1263 v CC-SI), znanstveno-raziskovalno delo (oznaka 1263 v CC-SI) in zdravstvo (oznaka 1264 v CC-SI) po predpisih </w:t>
      </w:r>
      <w:r w:rsidRPr="00281F57">
        <w:rPr>
          <w:rStyle w:val="highlight"/>
        </w:rPr>
        <w:t>o</w:t>
      </w:r>
      <w:r w:rsidRPr="00281F57">
        <w:t xml:space="preserve"> uvedbi in uporabi enotne klasifikacije vrst </w:t>
      </w:r>
      <w:r w:rsidRPr="00281F57">
        <w:rPr>
          <w:rStyle w:val="highlight"/>
        </w:rPr>
        <w:t>objektov.</w:t>
      </w:r>
    </w:p>
    <w:p w:rsidR="00281F57" w:rsidRPr="00281F57" w:rsidRDefault="00281F57" w:rsidP="00281F57">
      <w:pPr>
        <w:jc w:val="both"/>
      </w:pPr>
    </w:p>
    <w:p w:rsidR="00281F57" w:rsidRDefault="00281F57" w:rsidP="00281F57">
      <w:pPr>
        <w:jc w:val="both"/>
      </w:pPr>
      <w:r w:rsidRPr="00281F57">
        <w:t>(3) Komunalni prispevek se ne plača v primerih, ko je zavezanec za plačilo Mestna občina Ptuj. Če je Mestna občina Ptuj solastnica obstoječe zgradbe ali soinvestitorka nove zgradbe se komunalni prispevek ne plača v enakem deležu, kot je delež občine v skupni površini objekta.</w:t>
      </w:r>
    </w:p>
    <w:p w:rsidR="00F66D80" w:rsidRDefault="00F66D80" w:rsidP="00281F57">
      <w:pPr>
        <w:jc w:val="both"/>
      </w:pPr>
    </w:p>
    <w:p w:rsidR="00F66D80" w:rsidRPr="00281F57" w:rsidRDefault="00F66D80" w:rsidP="00281F57">
      <w:pPr>
        <w:jc w:val="both"/>
      </w:pPr>
      <w:r>
        <w:t>(4)</w:t>
      </w:r>
      <w:r w:rsidRPr="00F66D80">
        <w:t xml:space="preserve"> Komunalni prispevek se oprosti v višini </w:t>
      </w:r>
      <w:r>
        <w:t>50</w:t>
      </w:r>
      <w:r w:rsidRPr="00F66D80">
        <w:t xml:space="preserve"> % za industrijske stavbe (oznaka 1251 v CC-SI). </w:t>
      </w:r>
      <w:r>
        <w:t>Mestna občina Ptuj</w:t>
      </w:r>
      <w:r w:rsidRPr="00F66D80">
        <w:t xml:space="preserve"> nadomešča oproščena sredstva v enaki višini iz nenamenskih prihodkov občinskega proračuna.</w:t>
      </w:r>
    </w:p>
    <w:p w:rsidR="00281F57" w:rsidRPr="00281F57" w:rsidRDefault="00281F57" w:rsidP="00281F57">
      <w:pPr>
        <w:jc w:val="both"/>
      </w:pPr>
    </w:p>
    <w:p w:rsidR="00281F57" w:rsidRPr="00281F57" w:rsidRDefault="00F66D80" w:rsidP="00281F57">
      <w:pPr>
        <w:jc w:val="both"/>
      </w:pPr>
      <w:r>
        <w:t>(5</w:t>
      </w:r>
      <w:r w:rsidR="00281F57" w:rsidRPr="00281F57">
        <w:t xml:space="preserve">) Investitor, ki je v roku zadnjih 15 let od dneva vloge za odmero komunalnega prispevka vlagal lastna sredstva v izgradnjo javne komunalne opreme na območju Mestne občine Ptuj, lahko ob predložitvi ustreznega pisnega dokazila uveljavlja znižanje komunalnega prispevka za javno komunalno opremo, na katero se vložek nanaša do višine svojega revaloriziranega vložka. Kot dokazilo o lastnem vlaganju v posamezno komunalno opremo velja tudi dokazilo o plačanem krajevnem samoprispevku, če so bila zbrana sredstva namenjena izgradnji komunalne opreme. Dokazila so prenosljiva samo iz staršev na otroka oz. partnerja in se jih lahko uveljavlja samo enkrat. </w:t>
      </w:r>
    </w:p>
    <w:p w:rsidR="00281F57" w:rsidRPr="00281F57" w:rsidRDefault="00281F57" w:rsidP="00281F57">
      <w:pPr>
        <w:jc w:val="both"/>
      </w:pPr>
    </w:p>
    <w:p w:rsidR="00281F57" w:rsidRPr="00281F57" w:rsidRDefault="00281F57" w:rsidP="00281F57">
      <w:pPr>
        <w:jc w:val="center"/>
        <w:rPr>
          <w:b/>
        </w:rPr>
      </w:pPr>
      <w:r w:rsidRPr="00281F57">
        <w:br w:type="page"/>
      </w:r>
      <w:r w:rsidRPr="00281F57">
        <w:rPr>
          <w:b/>
        </w:rPr>
        <w:lastRenderedPageBreak/>
        <w:t>VI. PREHODNE IN KONČNE DOLOČBE</w:t>
      </w:r>
    </w:p>
    <w:p w:rsidR="00281F57" w:rsidRPr="00281F57" w:rsidRDefault="00281F57" w:rsidP="00281F57">
      <w:pPr>
        <w:jc w:val="center"/>
        <w:rPr>
          <w:b/>
        </w:rPr>
      </w:pPr>
    </w:p>
    <w:p w:rsidR="00281F57" w:rsidRPr="00281F57" w:rsidRDefault="00281F57" w:rsidP="00281F57">
      <w:pPr>
        <w:jc w:val="center"/>
        <w:rPr>
          <w:b/>
        </w:rPr>
      </w:pPr>
      <w:r w:rsidRPr="00281F57">
        <w:rPr>
          <w:b/>
        </w:rPr>
        <w:t>23. člen</w:t>
      </w:r>
    </w:p>
    <w:p w:rsidR="00281F57" w:rsidRPr="00281F57" w:rsidRDefault="00281F57" w:rsidP="00281F57">
      <w:pPr>
        <w:jc w:val="center"/>
        <w:rPr>
          <w:b/>
        </w:rPr>
      </w:pPr>
      <w:r w:rsidRPr="00281F57">
        <w:rPr>
          <w:b/>
        </w:rPr>
        <w:t>(obravnava že prejetih vlog za odmero komunalnega prispevka)</w:t>
      </w:r>
    </w:p>
    <w:p w:rsidR="00281F57" w:rsidRPr="00281F57" w:rsidRDefault="00281F57" w:rsidP="00281F57">
      <w:pPr>
        <w:jc w:val="both"/>
      </w:pPr>
    </w:p>
    <w:p w:rsidR="00281F57" w:rsidRPr="00281F57" w:rsidRDefault="00281F57" w:rsidP="00281F57">
      <w:pPr>
        <w:jc w:val="both"/>
      </w:pPr>
      <w:r w:rsidRPr="00281F57">
        <w:t>Postopki za odmero komunalnega prispevka, začeti pred veljavnostjo tega odloka, se končajo po do tedaj veljavnih predpisih samo v kolikor bi bil tak izračun za stranko ugodnejši. V nasprotnem primeru se uporabijo določila tega odloka.</w:t>
      </w:r>
    </w:p>
    <w:p w:rsidR="00281F57" w:rsidRPr="00281F57" w:rsidRDefault="00281F57" w:rsidP="00281F57">
      <w:pPr>
        <w:jc w:val="both"/>
      </w:pPr>
    </w:p>
    <w:p w:rsidR="00281F57" w:rsidRPr="00281F57" w:rsidRDefault="00281F57" w:rsidP="00281F57">
      <w:pPr>
        <w:jc w:val="center"/>
        <w:rPr>
          <w:b/>
        </w:rPr>
      </w:pPr>
      <w:r w:rsidRPr="00281F57">
        <w:rPr>
          <w:b/>
        </w:rPr>
        <w:t>24. člen</w:t>
      </w:r>
    </w:p>
    <w:p w:rsidR="00281F57" w:rsidRPr="00281F57" w:rsidRDefault="00281F57" w:rsidP="00281F57">
      <w:pPr>
        <w:jc w:val="center"/>
        <w:rPr>
          <w:b/>
        </w:rPr>
      </w:pPr>
      <w:r w:rsidRPr="00281F57">
        <w:rPr>
          <w:b/>
        </w:rPr>
        <w:t>(prenehanje veljavnosti)</w:t>
      </w:r>
    </w:p>
    <w:p w:rsidR="00281F57" w:rsidRPr="00281F57" w:rsidRDefault="00281F57" w:rsidP="00281F57">
      <w:pPr>
        <w:jc w:val="both"/>
      </w:pPr>
    </w:p>
    <w:p w:rsidR="00281F57" w:rsidRPr="00281F57" w:rsidRDefault="00281F57" w:rsidP="00281F57">
      <w:pPr>
        <w:jc w:val="both"/>
      </w:pPr>
      <w:r w:rsidRPr="00281F57">
        <w:t xml:space="preserve">Z uveljavitvijo tega odloka prenehata Odlok o komunalnem prispevku </w:t>
      </w:r>
      <w:r>
        <w:t xml:space="preserve">Mestne občine Ptuj </w:t>
      </w:r>
      <w:r w:rsidRPr="00281F57">
        <w:t>(Uradni vestnik Mestne občine Ptuj, št. 9/07, 14/07, 8/12 in 7/14) in Odlok o programu opremljanja zemljišč za gradnjo na območju Mestne občine Ptuj (Uradni vestnik Mestne občine Ptuj, št. 9/07, 14/07, 8/12 in 7/14).</w:t>
      </w:r>
    </w:p>
    <w:p w:rsidR="00281F57" w:rsidRPr="00281F57" w:rsidRDefault="00281F57" w:rsidP="00281F57">
      <w:pPr>
        <w:jc w:val="center"/>
        <w:rPr>
          <w:b/>
        </w:rPr>
      </w:pPr>
      <w:r w:rsidRPr="00281F57">
        <w:rPr>
          <w:b/>
        </w:rPr>
        <w:t>25. člen</w:t>
      </w:r>
    </w:p>
    <w:p w:rsidR="00281F57" w:rsidRPr="00281F57" w:rsidRDefault="00281F57" w:rsidP="00281F57">
      <w:pPr>
        <w:jc w:val="center"/>
        <w:rPr>
          <w:b/>
        </w:rPr>
      </w:pPr>
      <w:r w:rsidRPr="00281F57">
        <w:rPr>
          <w:b/>
        </w:rPr>
        <w:t>(začetek veljavnosti)</w:t>
      </w:r>
    </w:p>
    <w:p w:rsidR="00281F57" w:rsidRPr="00281F57" w:rsidRDefault="00281F57" w:rsidP="00281F57">
      <w:pPr>
        <w:jc w:val="both"/>
      </w:pPr>
    </w:p>
    <w:p w:rsidR="00281F57" w:rsidRPr="00281F57" w:rsidRDefault="00281F57" w:rsidP="00281F57">
      <w:pPr>
        <w:jc w:val="both"/>
      </w:pPr>
      <w:r w:rsidRPr="00281F57">
        <w:t>Ta odlok začne veljati petnajsti dan po objavi v Uradnem vestniku Mestne občine Ptuj.</w:t>
      </w:r>
    </w:p>
    <w:p w:rsidR="00281F57" w:rsidRPr="00281F57" w:rsidRDefault="00281F57" w:rsidP="00281F57">
      <w:pPr>
        <w:jc w:val="both"/>
      </w:pPr>
    </w:p>
    <w:p w:rsidR="00281F57" w:rsidRPr="00281F57" w:rsidRDefault="00281F57" w:rsidP="00281F57">
      <w:pPr>
        <w:ind w:left="4956" w:firstLine="708"/>
        <w:jc w:val="both"/>
      </w:pPr>
    </w:p>
    <w:p w:rsidR="00281F57" w:rsidRPr="00281F57" w:rsidRDefault="00281F57" w:rsidP="00281F57">
      <w:pPr>
        <w:jc w:val="both"/>
      </w:pPr>
      <w:r w:rsidRPr="00281F57">
        <w:t xml:space="preserve">Številka: </w:t>
      </w:r>
      <w:r>
        <w:t>007-7/2015</w:t>
      </w:r>
      <w:r w:rsidRPr="00281F57">
        <w:tab/>
      </w:r>
      <w:r w:rsidRPr="00281F57">
        <w:tab/>
      </w:r>
      <w:r w:rsidRPr="00281F57">
        <w:tab/>
      </w:r>
      <w:r w:rsidRPr="00281F57">
        <w:tab/>
      </w:r>
      <w:r w:rsidRPr="00281F57">
        <w:tab/>
      </w:r>
      <w:r w:rsidRPr="00281F57">
        <w:tab/>
      </w:r>
      <w:r w:rsidRPr="00281F57">
        <w:tab/>
      </w:r>
      <w:r>
        <w:tab/>
      </w:r>
    </w:p>
    <w:p w:rsidR="00281F57" w:rsidRPr="00281F57" w:rsidRDefault="00281F57" w:rsidP="00281F57">
      <w:r w:rsidRPr="00281F57">
        <w:t xml:space="preserve">Datum: </w:t>
      </w:r>
      <w:r w:rsidRPr="00281F57">
        <w:tab/>
      </w:r>
      <w:r w:rsidRPr="00281F57">
        <w:tab/>
      </w:r>
      <w:r w:rsidRPr="00281F57">
        <w:tab/>
      </w:r>
      <w:r w:rsidRPr="00281F57">
        <w:tab/>
      </w:r>
      <w:r w:rsidRPr="00281F57">
        <w:tab/>
      </w:r>
      <w:r w:rsidRPr="00281F57">
        <w:tab/>
      </w:r>
      <w:r w:rsidRPr="00281F57">
        <w:tab/>
      </w:r>
      <w:r>
        <w:tab/>
        <w:t xml:space="preserve">     </w:t>
      </w:r>
    </w:p>
    <w:p w:rsidR="00482B3B" w:rsidRPr="00281F57" w:rsidRDefault="00482B3B" w:rsidP="00482B3B">
      <w:r w:rsidRPr="00281F57">
        <w:rPr>
          <w:b/>
          <w:bCs/>
        </w:rPr>
        <w:t>______________________________________________________________________________</w:t>
      </w:r>
    </w:p>
    <w:p w:rsidR="001F689A" w:rsidRPr="00281F57" w:rsidRDefault="001F689A" w:rsidP="004E4396">
      <w:pPr>
        <w:rPr>
          <w:b/>
        </w:rPr>
      </w:pPr>
    </w:p>
    <w:p w:rsidR="00482B3B" w:rsidRPr="00281F57" w:rsidRDefault="00482B3B" w:rsidP="001C32EE">
      <w:pPr>
        <w:jc w:val="center"/>
        <w:rPr>
          <w:b/>
        </w:rPr>
      </w:pPr>
      <w:r w:rsidRPr="00281F57">
        <w:rPr>
          <w:b/>
        </w:rPr>
        <w:t>Obrazložitev</w:t>
      </w:r>
      <w:r w:rsidR="00C3181B" w:rsidRPr="00281F57">
        <w:rPr>
          <w:b/>
        </w:rPr>
        <w:t>:</w:t>
      </w:r>
    </w:p>
    <w:p w:rsidR="00E54104" w:rsidRPr="00281F57" w:rsidRDefault="00E54104" w:rsidP="00CB3812">
      <w:pPr>
        <w:jc w:val="both"/>
      </w:pPr>
    </w:p>
    <w:p w:rsidR="002C6839" w:rsidRDefault="00F3760B" w:rsidP="001A1949">
      <w:pPr>
        <w:jc w:val="both"/>
      </w:pPr>
      <w:r>
        <w:t xml:space="preserve">Mestni svet Mestne občine Ptuj je osnutek Odloka </w:t>
      </w:r>
      <w:r w:rsidRPr="00F3760B">
        <w:t>o programu opremljanja in merilih za odmero komunalnega prispevka za območje Mestne občine Ptuj</w:t>
      </w:r>
      <w:r>
        <w:t>, potrdil na svoji 10. redni seji, v mesecu septembru. Glede na to, da pripomb ali predlogov glede same vsebine osnutka ni bilo, smo pripravili predlog pred</w:t>
      </w:r>
      <w:r w:rsidR="002C6839">
        <w:t xml:space="preserve">metnega odloka v enaki vsebini, z izjemo popravka v drugem odstavku 20. člena, kjer smo najvišje število mesečnih obrokov pri obročnem plačilu komunalnega prispevka, spremenili iz 12 na 24 obrokov. </w:t>
      </w:r>
    </w:p>
    <w:p w:rsidR="002C6839" w:rsidRDefault="002C6839" w:rsidP="001A1949">
      <w:pPr>
        <w:jc w:val="both"/>
      </w:pPr>
    </w:p>
    <w:p w:rsidR="00B0512C" w:rsidRDefault="002C6839" w:rsidP="001A1949">
      <w:pPr>
        <w:jc w:val="both"/>
      </w:pPr>
      <w:r>
        <w:t>Najvišje možno število mesečnih obrokov v primeru priključitve na kanalizacijo, sicer ostaja enako, kot je v trenutno veljavnem odloku (36).</w:t>
      </w:r>
      <w:r w:rsidR="00617440">
        <w:t xml:space="preserve"> </w:t>
      </w:r>
    </w:p>
    <w:p w:rsidR="00B0512C" w:rsidRDefault="00B0512C" w:rsidP="000C610A">
      <w:pPr>
        <w:jc w:val="both"/>
      </w:pPr>
    </w:p>
    <w:p w:rsidR="00CB3812" w:rsidRPr="00281F57" w:rsidRDefault="00CB3812" w:rsidP="00CB3812">
      <w:pPr>
        <w:jc w:val="both"/>
      </w:pPr>
      <w:r w:rsidRPr="00281F57">
        <w:t xml:space="preserve">Na podlagi navedenega predlagam Mestnemu svetu Mestne občine Ptuj </w:t>
      </w:r>
      <w:r w:rsidR="0007359E" w:rsidRPr="00281F57">
        <w:t xml:space="preserve">v obravnavo in </w:t>
      </w:r>
      <w:r w:rsidRPr="00281F57">
        <w:t xml:space="preserve">sprejem </w:t>
      </w:r>
      <w:r w:rsidR="00F3760B">
        <w:t>predlog</w:t>
      </w:r>
      <w:r w:rsidR="00F60E21" w:rsidRPr="00281F57">
        <w:t xml:space="preserve"> </w:t>
      </w:r>
      <w:r w:rsidR="00B0512C" w:rsidRPr="00B0512C">
        <w:t>Odloka o programu opremljanja in merilih za odmero komunalnega prispevka za območje Mestne občine Ptuj</w:t>
      </w:r>
      <w:r w:rsidRPr="00281F57">
        <w:t>.</w:t>
      </w:r>
    </w:p>
    <w:p w:rsidR="0023701B" w:rsidRPr="00281F57" w:rsidRDefault="0023701B" w:rsidP="00482B3B"/>
    <w:p w:rsidR="00482B3B" w:rsidRPr="00281F57" w:rsidRDefault="00281F57" w:rsidP="00482B3B">
      <w:r>
        <w:t>Pripravil</w:t>
      </w:r>
      <w:r w:rsidR="00B0512C">
        <w:t>a</w:t>
      </w:r>
      <w:r w:rsidR="00482B3B" w:rsidRPr="00281F57">
        <w:t>:</w:t>
      </w:r>
      <w:r w:rsidR="00482B3B" w:rsidRPr="00281F57">
        <w:tab/>
      </w:r>
      <w:r w:rsidR="00482B3B" w:rsidRPr="00281F57">
        <w:tab/>
      </w:r>
      <w:r w:rsidR="00482B3B" w:rsidRPr="00281F57">
        <w:tab/>
      </w:r>
      <w:r w:rsidR="00482B3B" w:rsidRPr="00281F57">
        <w:tab/>
      </w:r>
      <w:r w:rsidR="00482B3B" w:rsidRPr="00281F57">
        <w:tab/>
      </w:r>
    </w:p>
    <w:p w:rsidR="00B0512C" w:rsidRPr="00846F4F" w:rsidRDefault="00B0512C" w:rsidP="00482B3B">
      <w:pPr>
        <w:pStyle w:val="Telobesedila"/>
        <w:rPr>
          <w:rFonts w:ascii="Times New Roman" w:hAnsi="Times New Roman"/>
          <w:szCs w:val="24"/>
        </w:rPr>
      </w:pPr>
      <w:r w:rsidRPr="00B0512C">
        <w:rPr>
          <w:rFonts w:ascii="Times New Roman" w:hAnsi="Times New Roman"/>
          <w:szCs w:val="24"/>
        </w:rPr>
        <w:t>Adela Ferme</w:t>
      </w:r>
    </w:p>
    <w:p w:rsidR="00482B3B" w:rsidRPr="00281F57" w:rsidRDefault="00482B3B" w:rsidP="00482B3B">
      <w:pPr>
        <w:pStyle w:val="Telobesedila"/>
        <w:rPr>
          <w:rFonts w:ascii="Times New Roman" w:hAnsi="Times New Roman"/>
          <w:b/>
          <w:szCs w:val="24"/>
        </w:rPr>
      </w:pPr>
      <w:r w:rsidRPr="00281F57">
        <w:rPr>
          <w:rFonts w:ascii="Times New Roman" w:hAnsi="Times New Roman"/>
          <w:b/>
          <w:szCs w:val="24"/>
        </w:rPr>
        <w:t xml:space="preserve">                                                                                                               </w:t>
      </w:r>
      <w:r w:rsidR="00281F57">
        <w:rPr>
          <w:rFonts w:ascii="Times New Roman" w:hAnsi="Times New Roman"/>
          <w:b/>
          <w:szCs w:val="24"/>
        </w:rPr>
        <w:t xml:space="preserve"> Miran SENČAR</w:t>
      </w:r>
      <w:r w:rsidRPr="00281F57">
        <w:rPr>
          <w:rFonts w:ascii="Times New Roman" w:hAnsi="Times New Roman"/>
          <w:b/>
          <w:szCs w:val="24"/>
        </w:rPr>
        <w:t>,</w:t>
      </w:r>
    </w:p>
    <w:p w:rsidR="00482B3B" w:rsidRPr="00281F57" w:rsidRDefault="00482B3B" w:rsidP="00482B3B">
      <w:pPr>
        <w:pStyle w:val="Telobesedila"/>
        <w:rPr>
          <w:rFonts w:ascii="Times New Roman" w:hAnsi="Times New Roman"/>
          <w:szCs w:val="24"/>
        </w:rPr>
      </w:pPr>
      <w:r w:rsidRPr="00281F57">
        <w:rPr>
          <w:rFonts w:ascii="Times New Roman" w:hAnsi="Times New Roman"/>
          <w:b/>
          <w:szCs w:val="24"/>
        </w:rPr>
        <w:t xml:space="preserve">                                                                                                         župan Mestne občine Ptuj</w:t>
      </w:r>
    </w:p>
    <w:p w:rsidR="004E5B01" w:rsidRPr="00281F57" w:rsidRDefault="004E5B01">
      <w:pPr>
        <w:jc w:val="both"/>
      </w:pPr>
    </w:p>
    <w:sectPr w:rsidR="004E5B01" w:rsidRPr="00281F57" w:rsidSect="006D3DCC">
      <w:footerReference w:type="default" r:id="rId10"/>
      <w:headerReference w:type="first" r:id="rId11"/>
      <w:footerReference w:type="first" r:id="rId12"/>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EAF" w:rsidRDefault="00DB1EAF">
      <w:r>
        <w:separator/>
      </w:r>
    </w:p>
  </w:endnote>
  <w:endnote w:type="continuationSeparator" w:id="0">
    <w:p w:rsidR="00DB1EAF" w:rsidRDefault="00DB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EE"/>
    <w:family w:val="swiss"/>
    <w:pitch w:val="variable"/>
    <w:sig w:usb0="20002A87" w:usb1="00000000" w:usb2="00000000"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MT">
    <w:altName w:val="Times New Roman"/>
    <w:panose1 w:val="00000000000000000000"/>
    <w:charset w:val="00"/>
    <w:family w:val="auto"/>
    <w:notTrueType/>
    <w:pitch w:val="default"/>
    <w:sig w:usb0="00000007" w:usb1="00000000" w:usb2="00000000" w:usb3="00000000" w:csb0="00000003"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C4" w:rsidRDefault="00366EC4"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C4" w:rsidRDefault="00366EC4"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EAF" w:rsidRDefault="00DB1EAF">
      <w:r>
        <w:separator/>
      </w:r>
    </w:p>
  </w:footnote>
  <w:footnote w:type="continuationSeparator" w:id="0">
    <w:p w:rsidR="00DB1EAF" w:rsidRDefault="00DB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366EC4" w:rsidTr="00984A2E">
      <w:tc>
        <w:tcPr>
          <w:tcW w:w="3228" w:type="dxa"/>
        </w:tcPr>
        <w:p w:rsidR="00366EC4" w:rsidRPr="00984A2E" w:rsidRDefault="00366EC4" w:rsidP="00984A2E">
          <w:pPr>
            <w:pBdr>
              <w:bottom w:val="single" w:sz="12" w:space="1" w:color="999999"/>
            </w:pBdr>
            <w:jc w:val="center"/>
            <w:rPr>
              <w:b/>
              <w:i/>
            </w:rPr>
          </w:pPr>
          <w:r>
            <w:rPr>
              <w:noProof/>
            </w:rPr>
            <w:drawing>
              <wp:inline distT="0" distB="0" distL="0" distR="0">
                <wp:extent cx="467995" cy="57785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7995" cy="577850"/>
                        </a:xfrm>
                        <a:prstGeom prst="rect">
                          <a:avLst/>
                        </a:prstGeom>
                        <a:noFill/>
                        <a:ln w="9525">
                          <a:noFill/>
                          <a:miter lim="800000"/>
                          <a:headEnd/>
                          <a:tailEnd/>
                        </a:ln>
                      </pic:spPr>
                    </pic:pic>
                  </a:graphicData>
                </a:graphic>
              </wp:inline>
            </w:drawing>
          </w:r>
        </w:p>
        <w:p w:rsidR="00366EC4" w:rsidRDefault="00366EC4" w:rsidP="00984A2E">
          <w:pPr>
            <w:pBdr>
              <w:bottom w:val="single" w:sz="12" w:space="1" w:color="999999"/>
            </w:pBdr>
          </w:pPr>
        </w:p>
        <w:p w:rsidR="00366EC4" w:rsidRPr="00984A2E" w:rsidRDefault="00366EC4" w:rsidP="00984A2E">
          <w:pPr>
            <w:pBdr>
              <w:bottom w:val="single" w:sz="12" w:space="1" w:color="999999"/>
            </w:pBdr>
            <w:jc w:val="center"/>
            <w:rPr>
              <w:b/>
              <w:sz w:val="22"/>
            </w:rPr>
          </w:pPr>
          <w:r w:rsidRPr="00984A2E">
            <w:rPr>
              <w:b/>
              <w:sz w:val="22"/>
            </w:rPr>
            <w:t>MESTNA OBČINA PTUJ</w:t>
          </w:r>
        </w:p>
        <w:p w:rsidR="00366EC4" w:rsidRPr="00984A2E" w:rsidRDefault="00366EC4" w:rsidP="00984A2E">
          <w:pPr>
            <w:pBdr>
              <w:bottom w:val="single" w:sz="12" w:space="1" w:color="999999"/>
            </w:pBdr>
            <w:jc w:val="center"/>
            <w:rPr>
              <w:sz w:val="22"/>
            </w:rPr>
          </w:pPr>
          <w:r w:rsidRPr="00984A2E">
            <w:rPr>
              <w:sz w:val="22"/>
            </w:rPr>
            <w:t>ŽUPAN</w:t>
          </w:r>
        </w:p>
        <w:p w:rsidR="00366EC4" w:rsidRPr="00984A2E" w:rsidRDefault="00366EC4" w:rsidP="00984A2E">
          <w:pPr>
            <w:pBdr>
              <w:bottom w:val="single" w:sz="12" w:space="1" w:color="999999"/>
            </w:pBdr>
            <w:rPr>
              <w:sz w:val="22"/>
            </w:rPr>
          </w:pPr>
        </w:p>
        <w:p w:rsidR="00366EC4" w:rsidRPr="00984A2E" w:rsidRDefault="00366EC4" w:rsidP="00984A2E">
          <w:pPr>
            <w:jc w:val="center"/>
            <w:rPr>
              <w:sz w:val="22"/>
            </w:rPr>
          </w:pPr>
        </w:p>
      </w:tc>
      <w:tc>
        <w:tcPr>
          <w:tcW w:w="6394" w:type="dxa"/>
        </w:tcPr>
        <w:p w:rsidR="00366EC4" w:rsidRDefault="00366EC4" w:rsidP="006D3DCC">
          <w:pPr>
            <w:pStyle w:val="Glava"/>
          </w:pPr>
        </w:p>
      </w:tc>
    </w:tr>
  </w:tbl>
  <w:p w:rsidR="00366EC4" w:rsidRDefault="00366EC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DDB"/>
    <w:multiLevelType w:val="hybridMultilevel"/>
    <w:tmpl w:val="CD4A123C"/>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175F27"/>
    <w:multiLevelType w:val="hybridMultilevel"/>
    <w:tmpl w:val="3DDE01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F9C78B3"/>
    <w:multiLevelType w:val="hybridMultilevel"/>
    <w:tmpl w:val="6EC4D460"/>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477C3B"/>
    <w:multiLevelType w:val="hybridMultilevel"/>
    <w:tmpl w:val="75B88144"/>
    <w:lvl w:ilvl="0" w:tplc="EB082A84">
      <w:start w:val="621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7930B05"/>
    <w:multiLevelType w:val="hybridMultilevel"/>
    <w:tmpl w:val="8C54E08C"/>
    <w:lvl w:ilvl="0" w:tplc="0D26E498">
      <w:start w:val="3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E6F49A4"/>
    <w:multiLevelType w:val="hybridMultilevel"/>
    <w:tmpl w:val="B43E63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F215B7A"/>
    <w:multiLevelType w:val="hybridMultilevel"/>
    <w:tmpl w:val="368CE69C"/>
    <w:lvl w:ilvl="0" w:tplc="40AED3DC">
      <w:start w:val="36"/>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3A076A4"/>
    <w:multiLevelType w:val="hybridMultilevel"/>
    <w:tmpl w:val="93C2E4F6"/>
    <w:lvl w:ilvl="0" w:tplc="0D26E498">
      <w:start w:val="3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61D7002"/>
    <w:multiLevelType w:val="hybridMultilevel"/>
    <w:tmpl w:val="B878642E"/>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C1E338A"/>
    <w:multiLevelType w:val="hybridMultilevel"/>
    <w:tmpl w:val="E5C8CE30"/>
    <w:lvl w:ilvl="0" w:tplc="56A67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04619B1"/>
    <w:multiLevelType w:val="hybridMultilevel"/>
    <w:tmpl w:val="9BC69FC6"/>
    <w:lvl w:ilvl="0" w:tplc="EB082A84">
      <w:start w:val="621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4DD4AA2"/>
    <w:multiLevelType w:val="hybridMultilevel"/>
    <w:tmpl w:val="EB92E76E"/>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DF75DDF"/>
    <w:multiLevelType w:val="hybridMultilevel"/>
    <w:tmpl w:val="62C6E1A0"/>
    <w:lvl w:ilvl="0" w:tplc="BFD4BE8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1F16D46"/>
    <w:multiLevelType w:val="hybridMultilevel"/>
    <w:tmpl w:val="B2CCD9FC"/>
    <w:lvl w:ilvl="0" w:tplc="BFD4BE8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55108FD"/>
    <w:multiLevelType w:val="hybridMultilevel"/>
    <w:tmpl w:val="20CA2A08"/>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AA26BE3"/>
    <w:multiLevelType w:val="hybridMultilevel"/>
    <w:tmpl w:val="7BC83206"/>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63C4B6F"/>
    <w:multiLevelType w:val="hybridMultilevel"/>
    <w:tmpl w:val="35E63A98"/>
    <w:lvl w:ilvl="0" w:tplc="EB082A84">
      <w:start w:val="621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CA249CA"/>
    <w:multiLevelType w:val="hybridMultilevel"/>
    <w:tmpl w:val="464C280A"/>
    <w:lvl w:ilvl="0" w:tplc="BFD4BE8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7037099"/>
    <w:multiLevelType w:val="hybridMultilevel"/>
    <w:tmpl w:val="EB18B1B2"/>
    <w:lvl w:ilvl="0" w:tplc="EB082A84">
      <w:start w:val="621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88C6F13"/>
    <w:multiLevelType w:val="hybridMultilevel"/>
    <w:tmpl w:val="1706C84A"/>
    <w:lvl w:ilvl="0" w:tplc="6DF8363E">
      <w:start w:val="3"/>
      <w:numFmt w:val="bullet"/>
      <w:lvlText w:val="-"/>
      <w:lvlJc w:val="left"/>
      <w:pPr>
        <w:tabs>
          <w:tab w:val="num" w:pos="720"/>
        </w:tabs>
        <w:ind w:left="720" w:hanging="360"/>
      </w:pPr>
      <w:rPr>
        <w:rFonts w:ascii="Myriad Pro" w:eastAsia="Times New Roman" w:hAnsi="Myriad Pro"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7C33715B"/>
    <w:multiLevelType w:val="hybridMultilevel"/>
    <w:tmpl w:val="40DA80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7"/>
  </w:num>
  <w:num w:numId="3">
    <w:abstractNumId w:val="2"/>
  </w:num>
  <w:num w:numId="4">
    <w:abstractNumId w:val="11"/>
  </w:num>
  <w:num w:numId="5">
    <w:abstractNumId w:val="0"/>
  </w:num>
  <w:num w:numId="6">
    <w:abstractNumId w:val="8"/>
  </w:num>
  <w:num w:numId="7">
    <w:abstractNumId w:val="14"/>
  </w:num>
  <w:num w:numId="8">
    <w:abstractNumId w:val="15"/>
  </w:num>
  <w:num w:numId="9">
    <w:abstractNumId w:val="10"/>
  </w:num>
  <w:num w:numId="10">
    <w:abstractNumId w:val="20"/>
  </w:num>
  <w:num w:numId="11">
    <w:abstractNumId w:val="1"/>
  </w:num>
  <w:num w:numId="12">
    <w:abstractNumId w:val="13"/>
  </w:num>
  <w:num w:numId="13">
    <w:abstractNumId w:val="16"/>
  </w:num>
  <w:num w:numId="14">
    <w:abstractNumId w:val="18"/>
  </w:num>
  <w:num w:numId="15">
    <w:abstractNumId w:val="5"/>
  </w:num>
  <w:num w:numId="16">
    <w:abstractNumId w:val="3"/>
  </w:num>
  <w:num w:numId="17">
    <w:abstractNumId w:val="12"/>
  </w:num>
  <w:num w:numId="18">
    <w:abstractNumId w:val="4"/>
  </w:num>
  <w:num w:numId="19">
    <w:abstractNumId w:val="7"/>
  </w:num>
  <w:num w:numId="20">
    <w:abstractNumId w:val="6"/>
  </w:num>
  <w:num w:numId="2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0B0A"/>
    <w:rsid w:val="00000BE5"/>
    <w:rsid w:val="000014C4"/>
    <w:rsid w:val="00003D1F"/>
    <w:rsid w:val="00005299"/>
    <w:rsid w:val="00017F7C"/>
    <w:rsid w:val="00020A02"/>
    <w:rsid w:val="00023F07"/>
    <w:rsid w:val="000249FA"/>
    <w:rsid w:val="0003024A"/>
    <w:rsid w:val="0004740E"/>
    <w:rsid w:val="00050B26"/>
    <w:rsid w:val="00054915"/>
    <w:rsid w:val="00054B0C"/>
    <w:rsid w:val="00064A6D"/>
    <w:rsid w:val="000657AC"/>
    <w:rsid w:val="00071237"/>
    <w:rsid w:val="0007299A"/>
    <w:rsid w:val="0007359E"/>
    <w:rsid w:val="00075AA8"/>
    <w:rsid w:val="00084966"/>
    <w:rsid w:val="0008574F"/>
    <w:rsid w:val="000900BE"/>
    <w:rsid w:val="000A3B87"/>
    <w:rsid w:val="000A6911"/>
    <w:rsid w:val="000A73D8"/>
    <w:rsid w:val="000B1E20"/>
    <w:rsid w:val="000B2C5D"/>
    <w:rsid w:val="000B42BA"/>
    <w:rsid w:val="000B7B2D"/>
    <w:rsid w:val="000C5657"/>
    <w:rsid w:val="000C5F90"/>
    <w:rsid w:val="000C610A"/>
    <w:rsid w:val="000D3F55"/>
    <w:rsid w:val="000D410A"/>
    <w:rsid w:val="000E42C3"/>
    <w:rsid w:val="000F3066"/>
    <w:rsid w:val="000F4848"/>
    <w:rsid w:val="000F52E0"/>
    <w:rsid w:val="00100064"/>
    <w:rsid w:val="00110903"/>
    <w:rsid w:val="00115E8F"/>
    <w:rsid w:val="00121967"/>
    <w:rsid w:val="00123C26"/>
    <w:rsid w:val="001254DC"/>
    <w:rsid w:val="001268B6"/>
    <w:rsid w:val="00130C39"/>
    <w:rsid w:val="0013471A"/>
    <w:rsid w:val="00137851"/>
    <w:rsid w:val="00141135"/>
    <w:rsid w:val="00143621"/>
    <w:rsid w:val="001464B7"/>
    <w:rsid w:val="001560BC"/>
    <w:rsid w:val="0016328D"/>
    <w:rsid w:val="00170C96"/>
    <w:rsid w:val="00172160"/>
    <w:rsid w:val="001774E1"/>
    <w:rsid w:val="00182ED6"/>
    <w:rsid w:val="001843A8"/>
    <w:rsid w:val="00194ADA"/>
    <w:rsid w:val="001A1949"/>
    <w:rsid w:val="001A3B69"/>
    <w:rsid w:val="001B2633"/>
    <w:rsid w:val="001C13C9"/>
    <w:rsid w:val="001C32EE"/>
    <w:rsid w:val="001C661E"/>
    <w:rsid w:val="001E3937"/>
    <w:rsid w:val="001E3CB8"/>
    <w:rsid w:val="001E6B55"/>
    <w:rsid w:val="001F3535"/>
    <w:rsid w:val="001F56DA"/>
    <w:rsid w:val="001F588D"/>
    <w:rsid w:val="001F6629"/>
    <w:rsid w:val="001F689A"/>
    <w:rsid w:val="00200E97"/>
    <w:rsid w:val="00202728"/>
    <w:rsid w:val="00210B52"/>
    <w:rsid w:val="0021277A"/>
    <w:rsid w:val="00212794"/>
    <w:rsid w:val="002316B6"/>
    <w:rsid w:val="0023701B"/>
    <w:rsid w:val="002408F8"/>
    <w:rsid w:val="00255A31"/>
    <w:rsid w:val="00260544"/>
    <w:rsid w:val="002609E7"/>
    <w:rsid w:val="00260D78"/>
    <w:rsid w:val="002800CA"/>
    <w:rsid w:val="00281F57"/>
    <w:rsid w:val="002824ED"/>
    <w:rsid w:val="00284CE0"/>
    <w:rsid w:val="00286699"/>
    <w:rsid w:val="00287E9A"/>
    <w:rsid w:val="002913F2"/>
    <w:rsid w:val="002A078B"/>
    <w:rsid w:val="002B31D7"/>
    <w:rsid w:val="002C391F"/>
    <w:rsid w:val="002C58E6"/>
    <w:rsid w:val="002C6839"/>
    <w:rsid w:val="002D19A5"/>
    <w:rsid w:val="002D2839"/>
    <w:rsid w:val="002D4BC6"/>
    <w:rsid w:val="002E0AC2"/>
    <w:rsid w:val="002E0D7F"/>
    <w:rsid w:val="002F2CA2"/>
    <w:rsid w:val="00313E14"/>
    <w:rsid w:val="00315FC0"/>
    <w:rsid w:val="00317ADF"/>
    <w:rsid w:val="00320585"/>
    <w:rsid w:val="003207E4"/>
    <w:rsid w:val="0032193B"/>
    <w:rsid w:val="00321FFB"/>
    <w:rsid w:val="003229D8"/>
    <w:rsid w:val="00325701"/>
    <w:rsid w:val="00330248"/>
    <w:rsid w:val="00332034"/>
    <w:rsid w:val="0033767F"/>
    <w:rsid w:val="00340DE6"/>
    <w:rsid w:val="003471EB"/>
    <w:rsid w:val="00351A1C"/>
    <w:rsid w:val="003539B4"/>
    <w:rsid w:val="00362D10"/>
    <w:rsid w:val="00363F89"/>
    <w:rsid w:val="00364332"/>
    <w:rsid w:val="00366EC4"/>
    <w:rsid w:val="00370772"/>
    <w:rsid w:val="0037144A"/>
    <w:rsid w:val="0038524C"/>
    <w:rsid w:val="00391244"/>
    <w:rsid w:val="003A4DDC"/>
    <w:rsid w:val="003B32F2"/>
    <w:rsid w:val="003C123B"/>
    <w:rsid w:val="003D26C8"/>
    <w:rsid w:val="003D32B2"/>
    <w:rsid w:val="003D5AD0"/>
    <w:rsid w:val="003E37CA"/>
    <w:rsid w:val="003E4F6A"/>
    <w:rsid w:val="003F09C1"/>
    <w:rsid w:val="003F553D"/>
    <w:rsid w:val="003F67D1"/>
    <w:rsid w:val="00410B3E"/>
    <w:rsid w:val="00410FF8"/>
    <w:rsid w:val="00420B96"/>
    <w:rsid w:val="004210BD"/>
    <w:rsid w:val="0042258D"/>
    <w:rsid w:val="00432D48"/>
    <w:rsid w:val="00434E6C"/>
    <w:rsid w:val="00444F83"/>
    <w:rsid w:val="00445FEE"/>
    <w:rsid w:val="004529C7"/>
    <w:rsid w:val="00453045"/>
    <w:rsid w:val="00453730"/>
    <w:rsid w:val="00455F03"/>
    <w:rsid w:val="00457974"/>
    <w:rsid w:val="0046026C"/>
    <w:rsid w:val="00461720"/>
    <w:rsid w:val="00463229"/>
    <w:rsid w:val="00467CFE"/>
    <w:rsid w:val="00473762"/>
    <w:rsid w:val="00474004"/>
    <w:rsid w:val="00474F55"/>
    <w:rsid w:val="00475366"/>
    <w:rsid w:val="004753BC"/>
    <w:rsid w:val="00481931"/>
    <w:rsid w:val="00481CAF"/>
    <w:rsid w:val="00482B3B"/>
    <w:rsid w:val="00493481"/>
    <w:rsid w:val="004A0C98"/>
    <w:rsid w:val="004B1116"/>
    <w:rsid w:val="004B432B"/>
    <w:rsid w:val="004B6879"/>
    <w:rsid w:val="004C2789"/>
    <w:rsid w:val="004C50CB"/>
    <w:rsid w:val="004C5E3D"/>
    <w:rsid w:val="004C760C"/>
    <w:rsid w:val="004D7109"/>
    <w:rsid w:val="004D7734"/>
    <w:rsid w:val="004E4396"/>
    <w:rsid w:val="004E5B01"/>
    <w:rsid w:val="004F067B"/>
    <w:rsid w:val="004F237A"/>
    <w:rsid w:val="00505913"/>
    <w:rsid w:val="005063B5"/>
    <w:rsid w:val="005072A3"/>
    <w:rsid w:val="00507BE1"/>
    <w:rsid w:val="00513489"/>
    <w:rsid w:val="00514163"/>
    <w:rsid w:val="00514C2D"/>
    <w:rsid w:val="00515B97"/>
    <w:rsid w:val="00520429"/>
    <w:rsid w:val="0052579E"/>
    <w:rsid w:val="00527801"/>
    <w:rsid w:val="00540AFD"/>
    <w:rsid w:val="00543546"/>
    <w:rsid w:val="005453CE"/>
    <w:rsid w:val="00545940"/>
    <w:rsid w:val="00547F25"/>
    <w:rsid w:val="00550F59"/>
    <w:rsid w:val="00554C12"/>
    <w:rsid w:val="005607F7"/>
    <w:rsid w:val="00561084"/>
    <w:rsid w:val="00561331"/>
    <w:rsid w:val="0056465C"/>
    <w:rsid w:val="005777E0"/>
    <w:rsid w:val="00583535"/>
    <w:rsid w:val="00585706"/>
    <w:rsid w:val="00592007"/>
    <w:rsid w:val="005926D0"/>
    <w:rsid w:val="00595742"/>
    <w:rsid w:val="005B4325"/>
    <w:rsid w:val="005B58D0"/>
    <w:rsid w:val="005B7A6C"/>
    <w:rsid w:val="005D068A"/>
    <w:rsid w:val="005D0FDD"/>
    <w:rsid w:val="005D2461"/>
    <w:rsid w:val="005D5A54"/>
    <w:rsid w:val="005D7AD0"/>
    <w:rsid w:val="005E0A67"/>
    <w:rsid w:val="005E15B5"/>
    <w:rsid w:val="005E47EB"/>
    <w:rsid w:val="0060370C"/>
    <w:rsid w:val="00604CAE"/>
    <w:rsid w:val="00605BEE"/>
    <w:rsid w:val="006061C5"/>
    <w:rsid w:val="0061384B"/>
    <w:rsid w:val="00617440"/>
    <w:rsid w:val="0061744A"/>
    <w:rsid w:val="0063027D"/>
    <w:rsid w:val="00635D45"/>
    <w:rsid w:val="00637932"/>
    <w:rsid w:val="00637DC5"/>
    <w:rsid w:val="00640825"/>
    <w:rsid w:val="00646654"/>
    <w:rsid w:val="00647A9E"/>
    <w:rsid w:val="00650021"/>
    <w:rsid w:val="006547F1"/>
    <w:rsid w:val="00661DFF"/>
    <w:rsid w:val="0066433B"/>
    <w:rsid w:val="0066495D"/>
    <w:rsid w:val="00664C71"/>
    <w:rsid w:val="00666F3A"/>
    <w:rsid w:val="0066746A"/>
    <w:rsid w:val="006700B4"/>
    <w:rsid w:val="0067341C"/>
    <w:rsid w:val="00682613"/>
    <w:rsid w:val="006861D5"/>
    <w:rsid w:val="00691CCE"/>
    <w:rsid w:val="00692EB7"/>
    <w:rsid w:val="00697CE5"/>
    <w:rsid w:val="006A4DE3"/>
    <w:rsid w:val="006B121D"/>
    <w:rsid w:val="006B4508"/>
    <w:rsid w:val="006B6817"/>
    <w:rsid w:val="006C144F"/>
    <w:rsid w:val="006D3DCC"/>
    <w:rsid w:val="006D6485"/>
    <w:rsid w:val="006E31F8"/>
    <w:rsid w:val="006E5983"/>
    <w:rsid w:val="006F4A98"/>
    <w:rsid w:val="00705BD8"/>
    <w:rsid w:val="00705BFA"/>
    <w:rsid w:val="00706C6B"/>
    <w:rsid w:val="00712091"/>
    <w:rsid w:val="00714AB5"/>
    <w:rsid w:val="00714B38"/>
    <w:rsid w:val="00715E4A"/>
    <w:rsid w:val="0072156F"/>
    <w:rsid w:val="00732481"/>
    <w:rsid w:val="00733F63"/>
    <w:rsid w:val="00740601"/>
    <w:rsid w:val="007439B0"/>
    <w:rsid w:val="007442FA"/>
    <w:rsid w:val="00754282"/>
    <w:rsid w:val="00761798"/>
    <w:rsid w:val="00767623"/>
    <w:rsid w:val="00770C8A"/>
    <w:rsid w:val="00772042"/>
    <w:rsid w:val="0077738A"/>
    <w:rsid w:val="00780DEB"/>
    <w:rsid w:val="0078373D"/>
    <w:rsid w:val="0078387A"/>
    <w:rsid w:val="00783C6B"/>
    <w:rsid w:val="007918F3"/>
    <w:rsid w:val="007926FE"/>
    <w:rsid w:val="007A0330"/>
    <w:rsid w:val="007A136D"/>
    <w:rsid w:val="007A71D4"/>
    <w:rsid w:val="007A773D"/>
    <w:rsid w:val="007B4A66"/>
    <w:rsid w:val="007B4FCA"/>
    <w:rsid w:val="007C5F6D"/>
    <w:rsid w:val="007D0C67"/>
    <w:rsid w:val="007D3514"/>
    <w:rsid w:val="007D3A93"/>
    <w:rsid w:val="007D466A"/>
    <w:rsid w:val="007E0716"/>
    <w:rsid w:val="007E0759"/>
    <w:rsid w:val="007E5FCC"/>
    <w:rsid w:val="007E60FE"/>
    <w:rsid w:val="0080656E"/>
    <w:rsid w:val="00815DC3"/>
    <w:rsid w:val="00820E31"/>
    <w:rsid w:val="008243D8"/>
    <w:rsid w:val="0082485C"/>
    <w:rsid w:val="00827631"/>
    <w:rsid w:val="008315B9"/>
    <w:rsid w:val="00833AE7"/>
    <w:rsid w:val="00835CE1"/>
    <w:rsid w:val="00846F4F"/>
    <w:rsid w:val="008500C7"/>
    <w:rsid w:val="008528A0"/>
    <w:rsid w:val="00853189"/>
    <w:rsid w:val="008549C8"/>
    <w:rsid w:val="0085619E"/>
    <w:rsid w:val="00856B76"/>
    <w:rsid w:val="008620E8"/>
    <w:rsid w:val="008678B0"/>
    <w:rsid w:val="00867FE1"/>
    <w:rsid w:val="00875FD7"/>
    <w:rsid w:val="008775B9"/>
    <w:rsid w:val="00884622"/>
    <w:rsid w:val="00885530"/>
    <w:rsid w:val="00886C0F"/>
    <w:rsid w:val="008907AD"/>
    <w:rsid w:val="0089095E"/>
    <w:rsid w:val="008A1101"/>
    <w:rsid w:val="008A16A5"/>
    <w:rsid w:val="008A75CA"/>
    <w:rsid w:val="008C4BE1"/>
    <w:rsid w:val="008C5DA4"/>
    <w:rsid w:val="008C7606"/>
    <w:rsid w:val="008D2EC8"/>
    <w:rsid w:val="008E53C8"/>
    <w:rsid w:val="008E7718"/>
    <w:rsid w:val="008F1C05"/>
    <w:rsid w:val="009033D7"/>
    <w:rsid w:val="009037FA"/>
    <w:rsid w:val="0090574A"/>
    <w:rsid w:val="00907988"/>
    <w:rsid w:val="00912195"/>
    <w:rsid w:val="00912995"/>
    <w:rsid w:val="00913A29"/>
    <w:rsid w:val="00922629"/>
    <w:rsid w:val="00925D82"/>
    <w:rsid w:val="00927C72"/>
    <w:rsid w:val="0093586F"/>
    <w:rsid w:val="009379BC"/>
    <w:rsid w:val="00940B99"/>
    <w:rsid w:val="00940FD9"/>
    <w:rsid w:val="0095505A"/>
    <w:rsid w:val="00956EB2"/>
    <w:rsid w:val="00967234"/>
    <w:rsid w:val="0097550A"/>
    <w:rsid w:val="009808F4"/>
    <w:rsid w:val="00984A2E"/>
    <w:rsid w:val="009A2CD7"/>
    <w:rsid w:val="009A797E"/>
    <w:rsid w:val="009B0DCC"/>
    <w:rsid w:val="009B63C6"/>
    <w:rsid w:val="009B6753"/>
    <w:rsid w:val="009C14D8"/>
    <w:rsid w:val="009C3115"/>
    <w:rsid w:val="009C3C86"/>
    <w:rsid w:val="009D0D96"/>
    <w:rsid w:val="009D6DD1"/>
    <w:rsid w:val="009E3809"/>
    <w:rsid w:val="009E7527"/>
    <w:rsid w:val="009F169E"/>
    <w:rsid w:val="009F2BAE"/>
    <w:rsid w:val="009F3C44"/>
    <w:rsid w:val="009F5ACE"/>
    <w:rsid w:val="009F78D6"/>
    <w:rsid w:val="00A0509E"/>
    <w:rsid w:val="00A06E27"/>
    <w:rsid w:val="00A16AFA"/>
    <w:rsid w:val="00A170E2"/>
    <w:rsid w:val="00A23499"/>
    <w:rsid w:val="00A31F03"/>
    <w:rsid w:val="00A34B05"/>
    <w:rsid w:val="00A3799E"/>
    <w:rsid w:val="00A4064E"/>
    <w:rsid w:val="00A4234E"/>
    <w:rsid w:val="00A44EB9"/>
    <w:rsid w:val="00A45C89"/>
    <w:rsid w:val="00A50A5D"/>
    <w:rsid w:val="00A52A71"/>
    <w:rsid w:val="00A64284"/>
    <w:rsid w:val="00A648DA"/>
    <w:rsid w:val="00A70335"/>
    <w:rsid w:val="00A70985"/>
    <w:rsid w:val="00A71653"/>
    <w:rsid w:val="00A747DD"/>
    <w:rsid w:val="00A83C1E"/>
    <w:rsid w:val="00A90A7D"/>
    <w:rsid w:val="00A9192D"/>
    <w:rsid w:val="00A920F2"/>
    <w:rsid w:val="00AA3036"/>
    <w:rsid w:val="00AA3530"/>
    <w:rsid w:val="00AA5C1D"/>
    <w:rsid w:val="00AA7618"/>
    <w:rsid w:val="00AB0C41"/>
    <w:rsid w:val="00AB3D93"/>
    <w:rsid w:val="00AB5D3E"/>
    <w:rsid w:val="00AB6D00"/>
    <w:rsid w:val="00AB7699"/>
    <w:rsid w:val="00AC2CFA"/>
    <w:rsid w:val="00AC5361"/>
    <w:rsid w:val="00AC5955"/>
    <w:rsid w:val="00AC7B06"/>
    <w:rsid w:val="00AE3B36"/>
    <w:rsid w:val="00AF2EDA"/>
    <w:rsid w:val="00AF7A87"/>
    <w:rsid w:val="00B00E07"/>
    <w:rsid w:val="00B04A3B"/>
    <w:rsid w:val="00B0512C"/>
    <w:rsid w:val="00B0708F"/>
    <w:rsid w:val="00B11E1B"/>
    <w:rsid w:val="00B12A72"/>
    <w:rsid w:val="00B175CD"/>
    <w:rsid w:val="00B17F38"/>
    <w:rsid w:val="00B238DC"/>
    <w:rsid w:val="00B24801"/>
    <w:rsid w:val="00B353C4"/>
    <w:rsid w:val="00B404C5"/>
    <w:rsid w:val="00B4162A"/>
    <w:rsid w:val="00B43E25"/>
    <w:rsid w:val="00B51C3C"/>
    <w:rsid w:val="00B5597B"/>
    <w:rsid w:val="00B55B27"/>
    <w:rsid w:val="00B5654B"/>
    <w:rsid w:val="00B605EF"/>
    <w:rsid w:val="00B62C93"/>
    <w:rsid w:val="00B63E2D"/>
    <w:rsid w:val="00B65070"/>
    <w:rsid w:val="00B721DA"/>
    <w:rsid w:val="00B74F77"/>
    <w:rsid w:val="00B824F6"/>
    <w:rsid w:val="00B8272F"/>
    <w:rsid w:val="00B838DC"/>
    <w:rsid w:val="00B84E21"/>
    <w:rsid w:val="00B8598B"/>
    <w:rsid w:val="00B91FB4"/>
    <w:rsid w:val="00BA1638"/>
    <w:rsid w:val="00BA1FC4"/>
    <w:rsid w:val="00BA21D2"/>
    <w:rsid w:val="00BA2F66"/>
    <w:rsid w:val="00BA67D5"/>
    <w:rsid w:val="00BB0663"/>
    <w:rsid w:val="00BB1DE5"/>
    <w:rsid w:val="00BB4C42"/>
    <w:rsid w:val="00BB784C"/>
    <w:rsid w:val="00BC76AD"/>
    <w:rsid w:val="00BD1A53"/>
    <w:rsid w:val="00BD3F5C"/>
    <w:rsid w:val="00BE3E8E"/>
    <w:rsid w:val="00BE63AF"/>
    <w:rsid w:val="00BE7C01"/>
    <w:rsid w:val="00BF4444"/>
    <w:rsid w:val="00C0275B"/>
    <w:rsid w:val="00C11E5B"/>
    <w:rsid w:val="00C1314F"/>
    <w:rsid w:val="00C169A5"/>
    <w:rsid w:val="00C25DB5"/>
    <w:rsid w:val="00C306D0"/>
    <w:rsid w:val="00C3181B"/>
    <w:rsid w:val="00C344E2"/>
    <w:rsid w:val="00C37E5E"/>
    <w:rsid w:val="00C41D5C"/>
    <w:rsid w:val="00C43DD2"/>
    <w:rsid w:val="00C4516C"/>
    <w:rsid w:val="00C4529E"/>
    <w:rsid w:val="00C51AEE"/>
    <w:rsid w:val="00C62570"/>
    <w:rsid w:val="00C7755F"/>
    <w:rsid w:val="00C8427E"/>
    <w:rsid w:val="00C91946"/>
    <w:rsid w:val="00CA11A3"/>
    <w:rsid w:val="00CA54D1"/>
    <w:rsid w:val="00CA5C5B"/>
    <w:rsid w:val="00CA7A73"/>
    <w:rsid w:val="00CB170F"/>
    <w:rsid w:val="00CB3812"/>
    <w:rsid w:val="00CC3D10"/>
    <w:rsid w:val="00CD025E"/>
    <w:rsid w:val="00CD4F98"/>
    <w:rsid w:val="00CD63E9"/>
    <w:rsid w:val="00CE04DA"/>
    <w:rsid w:val="00CE518D"/>
    <w:rsid w:val="00CE6646"/>
    <w:rsid w:val="00CE6E3E"/>
    <w:rsid w:val="00CE7553"/>
    <w:rsid w:val="00CF0000"/>
    <w:rsid w:val="00CF3C59"/>
    <w:rsid w:val="00D02BE9"/>
    <w:rsid w:val="00D03867"/>
    <w:rsid w:val="00D04100"/>
    <w:rsid w:val="00D04F2F"/>
    <w:rsid w:val="00D122A8"/>
    <w:rsid w:val="00D157FE"/>
    <w:rsid w:val="00D20AEA"/>
    <w:rsid w:val="00D211CD"/>
    <w:rsid w:val="00D21926"/>
    <w:rsid w:val="00D22FD1"/>
    <w:rsid w:val="00D2481E"/>
    <w:rsid w:val="00D25045"/>
    <w:rsid w:val="00D25456"/>
    <w:rsid w:val="00D25765"/>
    <w:rsid w:val="00D25EF2"/>
    <w:rsid w:val="00D300AC"/>
    <w:rsid w:val="00D431AD"/>
    <w:rsid w:val="00D43C00"/>
    <w:rsid w:val="00D50DA7"/>
    <w:rsid w:val="00D52F3C"/>
    <w:rsid w:val="00D60148"/>
    <w:rsid w:val="00D615C9"/>
    <w:rsid w:val="00D62D57"/>
    <w:rsid w:val="00D62DE3"/>
    <w:rsid w:val="00D82D00"/>
    <w:rsid w:val="00D83411"/>
    <w:rsid w:val="00D83CD8"/>
    <w:rsid w:val="00D850AA"/>
    <w:rsid w:val="00D901E2"/>
    <w:rsid w:val="00DA1384"/>
    <w:rsid w:val="00DA1903"/>
    <w:rsid w:val="00DA22DD"/>
    <w:rsid w:val="00DB01E0"/>
    <w:rsid w:val="00DB0F4D"/>
    <w:rsid w:val="00DB1223"/>
    <w:rsid w:val="00DB1EAF"/>
    <w:rsid w:val="00DB37F0"/>
    <w:rsid w:val="00DB7310"/>
    <w:rsid w:val="00DC1EF5"/>
    <w:rsid w:val="00DD4112"/>
    <w:rsid w:val="00DF1B31"/>
    <w:rsid w:val="00DF46C5"/>
    <w:rsid w:val="00DF6A6D"/>
    <w:rsid w:val="00E05897"/>
    <w:rsid w:val="00E07402"/>
    <w:rsid w:val="00E15F89"/>
    <w:rsid w:val="00E17913"/>
    <w:rsid w:val="00E20864"/>
    <w:rsid w:val="00E22C06"/>
    <w:rsid w:val="00E34129"/>
    <w:rsid w:val="00E36607"/>
    <w:rsid w:val="00E437E1"/>
    <w:rsid w:val="00E46B02"/>
    <w:rsid w:val="00E50588"/>
    <w:rsid w:val="00E54104"/>
    <w:rsid w:val="00E5432F"/>
    <w:rsid w:val="00E54331"/>
    <w:rsid w:val="00E61E20"/>
    <w:rsid w:val="00E6352D"/>
    <w:rsid w:val="00E758B2"/>
    <w:rsid w:val="00E83B43"/>
    <w:rsid w:val="00E85890"/>
    <w:rsid w:val="00E963A6"/>
    <w:rsid w:val="00EA05AC"/>
    <w:rsid w:val="00EB1C92"/>
    <w:rsid w:val="00EC2954"/>
    <w:rsid w:val="00ED13F5"/>
    <w:rsid w:val="00ED1F11"/>
    <w:rsid w:val="00ED45B4"/>
    <w:rsid w:val="00EE307B"/>
    <w:rsid w:val="00EE68E6"/>
    <w:rsid w:val="00EF1921"/>
    <w:rsid w:val="00F06EAF"/>
    <w:rsid w:val="00F10410"/>
    <w:rsid w:val="00F14F1E"/>
    <w:rsid w:val="00F1560C"/>
    <w:rsid w:val="00F17EA0"/>
    <w:rsid w:val="00F22311"/>
    <w:rsid w:val="00F2537E"/>
    <w:rsid w:val="00F26C5B"/>
    <w:rsid w:val="00F30AEF"/>
    <w:rsid w:val="00F33F19"/>
    <w:rsid w:val="00F3760B"/>
    <w:rsid w:val="00F42FB9"/>
    <w:rsid w:val="00F43329"/>
    <w:rsid w:val="00F54729"/>
    <w:rsid w:val="00F55849"/>
    <w:rsid w:val="00F60E21"/>
    <w:rsid w:val="00F616D4"/>
    <w:rsid w:val="00F64DC7"/>
    <w:rsid w:val="00F66D80"/>
    <w:rsid w:val="00F70D3D"/>
    <w:rsid w:val="00F740FF"/>
    <w:rsid w:val="00F870FD"/>
    <w:rsid w:val="00F906FD"/>
    <w:rsid w:val="00F91E42"/>
    <w:rsid w:val="00FA3094"/>
    <w:rsid w:val="00FA74C2"/>
    <w:rsid w:val="00FB03C2"/>
    <w:rsid w:val="00FB5594"/>
    <w:rsid w:val="00FB618E"/>
    <w:rsid w:val="00FB74F4"/>
    <w:rsid w:val="00FC466C"/>
    <w:rsid w:val="00FD7922"/>
    <w:rsid w:val="00FE2654"/>
    <w:rsid w:val="00FE5057"/>
    <w:rsid w:val="00FE70E0"/>
    <w:rsid w:val="00FE7394"/>
    <w:rsid w:val="00FE7F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D3DCC"/>
    <w:rPr>
      <w:sz w:val="24"/>
      <w:szCs w:val="24"/>
    </w:rPr>
  </w:style>
  <w:style w:type="paragraph" w:styleId="Naslov7">
    <w:name w:val="heading 7"/>
    <w:basedOn w:val="Navaden"/>
    <w:next w:val="Navaden"/>
    <w:link w:val="Naslov7Znak"/>
    <w:qFormat/>
    <w:rsid w:val="004D7109"/>
    <w:pPr>
      <w:keepNext/>
      <w:jc w:val="center"/>
      <w:outlineLvl w:val="6"/>
    </w:pPr>
    <w:rPr>
      <w:rFonts w:ascii="Arial" w:hAnsi="Arial"/>
      <w:b/>
      <w:i/>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Telobesedila">
    <w:name w:val="Body Text"/>
    <w:basedOn w:val="Navaden"/>
    <w:link w:val="TelobesedilaZnak"/>
    <w:rsid w:val="007C5F6D"/>
    <w:pPr>
      <w:jc w:val="both"/>
    </w:pPr>
    <w:rPr>
      <w:rFonts w:ascii="Century Schoolbook" w:hAnsi="Century Schoolbook"/>
      <w:szCs w:val="20"/>
      <w:lang w:eastAsia="en-US"/>
    </w:rPr>
  </w:style>
  <w:style w:type="character" w:customStyle="1" w:styleId="TelobesedilaZnak">
    <w:name w:val="Telo besedila Znak"/>
    <w:basedOn w:val="Privzetapisavaodstavka"/>
    <w:link w:val="Telobesedila"/>
    <w:rsid w:val="007C5F6D"/>
    <w:rPr>
      <w:rFonts w:ascii="Century Schoolbook" w:hAnsi="Century Schoolbook"/>
      <w:sz w:val="24"/>
      <w:lang w:eastAsia="en-US"/>
    </w:rPr>
  </w:style>
  <w:style w:type="paragraph" w:styleId="Besedilooblaka">
    <w:name w:val="Balloon Text"/>
    <w:basedOn w:val="Navaden"/>
    <w:link w:val="BesedilooblakaZnak"/>
    <w:rsid w:val="00E07402"/>
    <w:rPr>
      <w:rFonts w:ascii="Tahoma" w:hAnsi="Tahoma" w:cs="Tahoma"/>
      <w:sz w:val="16"/>
      <w:szCs w:val="16"/>
    </w:rPr>
  </w:style>
  <w:style w:type="character" w:customStyle="1" w:styleId="BesedilooblakaZnak">
    <w:name w:val="Besedilo oblačka Znak"/>
    <w:basedOn w:val="Privzetapisavaodstavka"/>
    <w:link w:val="Besedilooblaka"/>
    <w:rsid w:val="00E07402"/>
    <w:rPr>
      <w:rFonts w:ascii="Tahoma" w:hAnsi="Tahoma" w:cs="Tahoma"/>
      <w:sz w:val="16"/>
      <w:szCs w:val="16"/>
    </w:rPr>
  </w:style>
  <w:style w:type="paragraph" w:styleId="Odstavekseznama">
    <w:name w:val="List Paragraph"/>
    <w:basedOn w:val="Navaden"/>
    <w:uiPriority w:val="34"/>
    <w:qFormat/>
    <w:rsid w:val="000D3F55"/>
    <w:pPr>
      <w:ind w:left="720"/>
      <w:contextualSpacing/>
    </w:pPr>
  </w:style>
  <w:style w:type="paragraph" w:customStyle="1" w:styleId="Znak">
    <w:name w:val="Znak"/>
    <w:basedOn w:val="Navaden"/>
    <w:rsid w:val="00C4516C"/>
    <w:rPr>
      <w:rFonts w:ascii="Garamond" w:hAnsi="Garamond"/>
      <w:sz w:val="22"/>
      <w:szCs w:val="20"/>
    </w:rPr>
  </w:style>
  <w:style w:type="character" w:customStyle="1" w:styleId="navadnicrnitext">
    <w:name w:val="navadni_crni_text"/>
    <w:basedOn w:val="Privzetapisavaodstavka"/>
    <w:rsid w:val="00C4516C"/>
  </w:style>
  <w:style w:type="paragraph" w:styleId="Sprotnaopomba-besedilo">
    <w:name w:val="footnote text"/>
    <w:basedOn w:val="Navaden"/>
    <w:link w:val="Sprotnaopomba-besediloZnak"/>
    <w:rsid w:val="007A71D4"/>
    <w:rPr>
      <w:sz w:val="20"/>
      <w:szCs w:val="20"/>
    </w:rPr>
  </w:style>
  <w:style w:type="character" w:customStyle="1" w:styleId="Sprotnaopomba-besediloZnak">
    <w:name w:val="Sprotna opomba - besedilo Znak"/>
    <w:basedOn w:val="Privzetapisavaodstavka"/>
    <w:link w:val="Sprotnaopomba-besedilo"/>
    <w:rsid w:val="007A71D4"/>
  </w:style>
  <w:style w:type="character" w:styleId="Sprotnaopomba-sklic">
    <w:name w:val="footnote reference"/>
    <w:basedOn w:val="Privzetapisavaodstavka"/>
    <w:rsid w:val="007A71D4"/>
    <w:rPr>
      <w:vertAlign w:val="superscript"/>
    </w:rPr>
  </w:style>
  <w:style w:type="character" w:styleId="SledenaHiperpovezava">
    <w:name w:val="FollowedHyperlink"/>
    <w:basedOn w:val="Privzetapisavaodstavka"/>
    <w:rsid w:val="00D52F3C"/>
    <w:rPr>
      <w:color w:val="800080"/>
      <w:u w:val="single"/>
    </w:rPr>
  </w:style>
  <w:style w:type="character" w:styleId="Pripombasklic">
    <w:name w:val="annotation reference"/>
    <w:basedOn w:val="Privzetapisavaodstavka"/>
    <w:rsid w:val="004D7109"/>
    <w:rPr>
      <w:sz w:val="16"/>
      <w:szCs w:val="16"/>
    </w:rPr>
  </w:style>
  <w:style w:type="paragraph" w:styleId="Pripombabesedilo">
    <w:name w:val="annotation text"/>
    <w:basedOn w:val="Navaden"/>
    <w:link w:val="PripombabesediloZnak"/>
    <w:rsid w:val="004D7109"/>
    <w:rPr>
      <w:sz w:val="20"/>
      <w:szCs w:val="20"/>
    </w:rPr>
  </w:style>
  <w:style w:type="character" w:customStyle="1" w:styleId="PripombabesediloZnak">
    <w:name w:val="Pripomba – besedilo Znak"/>
    <w:basedOn w:val="Privzetapisavaodstavka"/>
    <w:link w:val="Pripombabesedilo"/>
    <w:rsid w:val="004D7109"/>
  </w:style>
  <w:style w:type="character" w:customStyle="1" w:styleId="Naslov7Znak">
    <w:name w:val="Naslov 7 Znak"/>
    <w:basedOn w:val="Privzetapisavaodstavka"/>
    <w:link w:val="Naslov7"/>
    <w:rsid w:val="004D7109"/>
    <w:rPr>
      <w:rFonts w:ascii="Arial" w:hAnsi="Arial"/>
      <w:b/>
      <w:i/>
      <w:sz w:val="24"/>
      <w:lang w:eastAsia="en-US"/>
    </w:rPr>
  </w:style>
  <w:style w:type="paragraph" w:customStyle="1" w:styleId="Naslov11">
    <w:name w:val="Naslov 11"/>
    <w:basedOn w:val="Navaden"/>
    <w:rsid w:val="00281F57"/>
    <w:rPr>
      <w:b/>
      <w:sz w:val="28"/>
      <w:szCs w:val="28"/>
    </w:rPr>
  </w:style>
  <w:style w:type="character" w:customStyle="1" w:styleId="highlight">
    <w:name w:val="highlight"/>
    <w:rsid w:val="00281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D3DCC"/>
    <w:rPr>
      <w:sz w:val="24"/>
      <w:szCs w:val="24"/>
    </w:rPr>
  </w:style>
  <w:style w:type="paragraph" w:styleId="Naslov7">
    <w:name w:val="heading 7"/>
    <w:basedOn w:val="Navaden"/>
    <w:next w:val="Navaden"/>
    <w:link w:val="Naslov7Znak"/>
    <w:qFormat/>
    <w:rsid w:val="004D7109"/>
    <w:pPr>
      <w:keepNext/>
      <w:jc w:val="center"/>
      <w:outlineLvl w:val="6"/>
    </w:pPr>
    <w:rPr>
      <w:rFonts w:ascii="Arial" w:hAnsi="Arial"/>
      <w:b/>
      <w:i/>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Telobesedila">
    <w:name w:val="Body Text"/>
    <w:basedOn w:val="Navaden"/>
    <w:link w:val="TelobesedilaZnak"/>
    <w:rsid w:val="007C5F6D"/>
    <w:pPr>
      <w:jc w:val="both"/>
    </w:pPr>
    <w:rPr>
      <w:rFonts w:ascii="Century Schoolbook" w:hAnsi="Century Schoolbook"/>
      <w:szCs w:val="20"/>
      <w:lang w:eastAsia="en-US"/>
    </w:rPr>
  </w:style>
  <w:style w:type="character" w:customStyle="1" w:styleId="TelobesedilaZnak">
    <w:name w:val="Telo besedila Znak"/>
    <w:basedOn w:val="Privzetapisavaodstavka"/>
    <w:link w:val="Telobesedila"/>
    <w:rsid w:val="007C5F6D"/>
    <w:rPr>
      <w:rFonts w:ascii="Century Schoolbook" w:hAnsi="Century Schoolbook"/>
      <w:sz w:val="24"/>
      <w:lang w:eastAsia="en-US"/>
    </w:rPr>
  </w:style>
  <w:style w:type="paragraph" w:styleId="Besedilooblaka">
    <w:name w:val="Balloon Text"/>
    <w:basedOn w:val="Navaden"/>
    <w:link w:val="BesedilooblakaZnak"/>
    <w:rsid w:val="00E07402"/>
    <w:rPr>
      <w:rFonts w:ascii="Tahoma" w:hAnsi="Tahoma" w:cs="Tahoma"/>
      <w:sz w:val="16"/>
      <w:szCs w:val="16"/>
    </w:rPr>
  </w:style>
  <w:style w:type="character" w:customStyle="1" w:styleId="BesedilooblakaZnak">
    <w:name w:val="Besedilo oblačka Znak"/>
    <w:basedOn w:val="Privzetapisavaodstavka"/>
    <w:link w:val="Besedilooblaka"/>
    <w:rsid w:val="00E07402"/>
    <w:rPr>
      <w:rFonts w:ascii="Tahoma" w:hAnsi="Tahoma" w:cs="Tahoma"/>
      <w:sz w:val="16"/>
      <w:szCs w:val="16"/>
    </w:rPr>
  </w:style>
  <w:style w:type="paragraph" w:styleId="Odstavekseznama">
    <w:name w:val="List Paragraph"/>
    <w:basedOn w:val="Navaden"/>
    <w:uiPriority w:val="34"/>
    <w:qFormat/>
    <w:rsid w:val="000D3F55"/>
    <w:pPr>
      <w:ind w:left="720"/>
      <w:contextualSpacing/>
    </w:pPr>
  </w:style>
  <w:style w:type="paragraph" w:customStyle="1" w:styleId="Znak">
    <w:name w:val="Znak"/>
    <w:basedOn w:val="Navaden"/>
    <w:rsid w:val="00C4516C"/>
    <w:rPr>
      <w:rFonts w:ascii="Garamond" w:hAnsi="Garamond"/>
      <w:sz w:val="22"/>
      <w:szCs w:val="20"/>
    </w:rPr>
  </w:style>
  <w:style w:type="character" w:customStyle="1" w:styleId="navadnicrnitext">
    <w:name w:val="navadni_crni_text"/>
    <w:basedOn w:val="Privzetapisavaodstavka"/>
    <w:rsid w:val="00C4516C"/>
  </w:style>
  <w:style w:type="paragraph" w:styleId="Sprotnaopomba-besedilo">
    <w:name w:val="footnote text"/>
    <w:basedOn w:val="Navaden"/>
    <w:link w:val="Sprotnaopomba-besediloZnak"/>
    <w:rsid w:val="007A71D4"/>
    <w:rPr>
      <w:sz w:val="20"/>
      <w:szCs w:val="20"/>
    </w:rPr>
  </w:style>
  <w:style w:type="character" w:customStyle="1" w:styleId="Sprotnaopomba-besediloZnak">
    <w:name w:val="Sprotna opomba - besedilo Znak"/>
    <w:basedOn w:val="Privzetapisavaodstavka"/>
    <w:link w:val="Sprotnaopomba-besedilo"/>
    <w:rsid w:val="007A71D4"/>
  </w:style>
  <w:style w:type="character" w:styleId="Sprotnaopomba-sklic">
    <w:name w:val="footnote reference"/>
    <w:basedOn w:val="Privzetapisavaodstavka"/>
    <w:rsid w:val="007A71D4"/>
    <w:rPr>
      <w:vertAlign w:val="superscript"/>
    </w:rPr>
  </w:style>
  <w:style w:type="character" w:styleId="SledenaHiperpovezava">
    <w:name w:val="FollowedHyperlink"/>
    <w:basedOn w:val="Privzetapisavaodstavka"/>
    <w:rsid w:val="00D52F3C"/>
    <w:rPr>
      <w:color w:val="800080"/>
      <w:u w:val="single"/>
    </w:rPr>
  </w:style>
  <w:style w:type="character" w:styleId="Pripombasklic">
    <w:name w:val="annotation reference"/>
    <w:basedOn w:val="Privzetapisavaodstavka"/>
    <w:rsid w:val="004D7109"/>
    <w:rPr>
      <w:sz w:val="16"/>
      <w:szCs w:val="16"/>
    </w:rPr>
  </w:style>
  <w:style w:type="paragraph" w:styleId="Pripombabesedilo">
    <w:name w:val="annotation text"/>
    <w:basedOn w:val="Navaden"/>
    <w:link w:val="PripombabesediloZnak"/>
    <w:rsid w:val="004D7109"/>
    <w:rPr>
      <w:sz w:val="20"/>
      <w:szCs w:val="20"/>
    </w:rPr>
  </w:style>
  <w:style w:type="character" w:customStyle="1" w:styleId="PripombabesediloZnak">
    <w:name w:val="Pripomba – besedilo Znak"/>
    <w:basedOn w:val="Privzetapisavaodstavka"/>
    <w:link w:val="Pripombabesedilo"/>
    <w:rsid w:val="004D7109"/>
  </w:style>
  <w:style w:type="character" w:customStyle="1" w:styleId="Naslov7Znak">
    <w:name w:val="Naslov 7 Znak"/>
    <w:basedOn w:val="Privzetapisavaodstavka"/>
    <w:link w:val="Naslov7"/>
    <w:rsid w:val="004D7109"/>
    <w:rPr>
      <w:rFonts w:ascii="Arial" w:hAnsi="Arial"/>
      <w:b/>
      <w:i/>
      <w:sz w:val="24"/>
      <w:lang w:eastAsia="en-US"/>
    </w:rPr>
  </w:style>
  <w:style w:type="paragraph" w:customStyle="1" w:styleId="Naslov11">
    <w:name w:val="Naslov 11"/>
    <w:basedOn w:val="Navaden"/>
    <w:rsid w:val="00281F57"/>
    <w:rPr>
      <w:b/>
      <w:sz w:val="28"/>
      <w:szCs w:val="28"/>
    </w:rPr>
  </w:style>
  <w:style w:type="character" w:customStyle="1" w:styleId="highlight">
    <w:name w:val="highlight"/>
    <w:rsid w:val="0028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9497">
      <w:bodyDiv w:val="1"/>
      <w:marLeft w:val="0"/>
      <w:marRight w:val="0"/>
      <w:marTop w:val="0"/>
      <w:marBottom w:val="0"/>
      <w:divBdr>
        <w:top w:val="none" w:sz="0" w:space="0" w:color="auto"/>
        <w:left w:val="none" w:sz="0" w:space="0" w:color="auto"/>
        <w:bottom w:val="none" w:sz="0" w:space="0" w:color="auto"/>
        <w:right w:val="none" w:sz="0" w:space="0" w:color="auto"/>
      </w:divBdr>
    </w:div>
    <w:div w:id="331565957">
      <w:bodyDiv w:val="1"/>
      <w:marLeft w:val="0"/>
      <w:marRight w:val="0"/>
      <w:marTop w:val="0"/>
      <w:marBottom w:val="0"/>
      <w:divBdr>
        <w:top w:val="none" w:sz="0" w:space="0" w:color="auto"/>
        <w:left w:val="none" w:sz="0" w:space="0" w:color="auto"/>
        <w:bottom w:val="none" w:sz="0" w:space="0" w:color="auto"/>
        <w:right w:val="none" w:sz="0" w:space="0" w:color="auto"/>
      </w:divBdr>
    </w:div>
    <w:div w:id="343440058">
      <w:bodyDiv w:val="1"/>
      <w:marLeft w:val="0"/>
      <w:marRight w:val="0"/>
      <w:marTop w:val="0"/>
      <w:marBottom w:val="0"/>
      <w:divBdr>
        <w:top w:val="none" w:sz="0" w:space="0" w:color="auto"/>
        <w:left w:val="none" w:sz="0" w:space="0" w:color="auto"/>
        <w:bottom w:val="none" w:sz="0" w:space="0" w:color="auto"/>
        <w:right w:val="none" w:sz="0" w:space="0" w:color="auto"/>
      </w:divBdr>
    </w:div>
    <w:div w:id="452212616">
      <w:bodyDiv w:val="1"/>
      <w:marLeft w:val="0"/>
      <w:marRight w:val="0"/>
      <w:marTop w:val="0"/>
      <w:marBottom w:val="0"/>
      <w:divBdr>
        <w:top w:val="none" w:sz="0" w:space="0" w:color="auto"/>
        <w:left w:val="none" w:sz="0" w:space="0" w:color="auto"/>
        <w:bottom w:val="none" w:sz="0" w:space="0" w:color="auto"/>
        <w:right w:val="none" w:sz="0" w:space="0" w:color="auto"/>
      </w:divBdr>
    </w:div>
    <w:div w:id="486090565">
      <w:bodyDiv w:val="1"/>
      <w:marLeft w:val="0"/>
      <w:marRight w:val="0"/>
      <w:marTop w:val="0"/>
      <w:marBottom w:val="0"/>
      <w:divBdr>
        <w:top w:val="none" w:sz="0" w:space="0" w:color="auto"/>
        <w:left w:val="none" w:sz="0" w:space="0" w:color="auto"/>
        <w:bottom w:val="none" w:sz="0" w:space="0" w:color="auto"/>
        <w:right w:val="none" w:sz="0" w:space="0" w:color="auto"/>
      </w:divBdr>
      <w:divsChild>
        <w:div w:id="1683320247">
          <w:marLeft w:val="0"/>
          <w:marRight w:val="0"/>
          <w:marTop w:val="0"/>
          <w:marBottom w:val="0"/>
          <w:divBdr>
            <w:top w:val="none" w:sz="0" w:space="0" w:color="auto"/>
            <w:left w:val="none" w:sz="0" w:space="0" w:color="auto"/>
            <w:bottom w:val="none" w:sz="0" w:space="0" w:color="auto"/>
            <w:right w:val="none" w:sz="0" w:space="0" w:color="auto"/>
          </w:divBdr>
          <w:divsChild>
            <w:div w:id="979698717">
              <w:marLeft w:val="0"/>
              <w:marRight w:val="46"/>
              <w:marTop w:val="0"/>
              <w:marBottom w:val="0"/>
              <w:divBdr>
                <w:top w:val="none" w:sz="0" w:space="0" w:color="auto"/>
                <w:left w:val="none" w:sz="0" w:space="0" w:color="auto"/>
                <w:bottom w:val="none" w:sz="0" w:space="0" w:color="auto"/>
                <w:right w:val="none" w:sz="0" w:space="0" w:color="auto"/>
              </w:divBdr>
              <w:divsChild>
                <w:div w:id="1873954976">
                  <w:marLeft w:val="0"/>
                  <w:marRight w:val="0"/>
                  <w:marTop w:val="0"/>
                  <w:marBottom w:val="115"/>
                  <w:divBdr>
                    <w:top w:val="none" w:sz="0" w:space="0" w:color="auto"/>
                    <w:left w:val="none" w:sz="0" w:space="0" w:color="auto"/>
                    <w:bottom w:val="none" w:sz="0" w:space="0" w:color="auto"/>
                    <w:right w:val="none" w:sz="0" w:space="0" w:color="auto"/>
                  </w:divBdr>
                  <w:divsChild>
                    <w:div w:id="1759449809">
                      <w:marLeft w:val="0"/>
                      <w:marRight w:val="0"/>
                      <w:marTop w:val="0"/>
                      <w:marBottom w:val="0"/>
                      <w:divBdr>
                        <w:top w:val="none" w:sz="0" w:space="0" w:color="auto"/>
                        <w:left w:val="none" w:sz="0" w:space="0" w:color="auto"/>
                        <w:bottom w:val="none" w:sz="0" w:space="0" w:color="auto"/>
                        <w:right w:val="none" w:sz="0" w:space="0" w:color="auto"/>
                      </w:divBdr>
                      <w:divsChild>
                        <w:div w:id="8706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226340">
      <w:bodyDiv w:val="1"/>
      <w:marLeft w:val="0"/>
      <w:marRight w:val="0"/>
      <w:marTop w:val="0"/>
      <w:marBottom w:val="0"/>
      <w:divBdr>
        <w:top w:val="none" w:sz="0" w:space="0" w:color="auto"/>
        <w:left w:val="none" w:sz="0" w:space="0" w:color="auto"/>
        <w:bottom w:val="none" w:sz="0" w:space="0" w:color="auto"/>
        <w:right w:val="none" w:sz="0" w:space="0" w:color="auto"/>
      </w:divBdr>
    </w:div>
    <w:div w:id="661544581">
      <w:bodyDiv w:val="1"/>
      <w:marLeft w:val="0"/>
      <w:marRight w:val="0"/>
      <w:marTop w:val="0"/>
      <w:marBottom w:val="0"/>
      <w:divBdr>
        <w:top w:val="none" w:sz="0" w:space="0" w:color="auto"/>
        <w:left w:val="none" w:sz="0" w:space="0" w:color="auto"/>
        <w:bottom w:val="none" w:sz="0" w:space="0" w:color="auto"/>
        <w:right w:val="none" w:sz="0" w:space="0" w:color="auto"/>
      </w:divBdr>
    </w:div>
    <w:div w:id="872230847">
      <w:bodyDiv w:val="1"/>
      <w:marLeft w:val="0"/>
      <w:marRight w:val="0"/>
      <w:marTop w:val="0"/>
      <w:marBottom w:val="0"/>
      <w:divBdr>
        <w:top w:val="none" w:sz="0" w:space="0" w:color="auto"/>
        <w:left w:val="none" w:sz="0" w:space="0" w:color="auto"/>
        <w:bottom w:val="none" w:sz="0" w:space="0" w:color="auto"/>
        <w:right w:val="none" w:sz="0" w:space="0" w:color="auto"/>
      </w:divBdr>
    </w:div>
    <w:div w:id="1002246155">
      <w:bodyDiv w:val="1"/>
      <w:marLeft w:val="0"/>
      <w:marRight w:val="0"/>
      <w:marTop w:val="0"/>
      <w:marBottom w:val="0"/>
      <w:divBdr>
        <w:top w:val="none" w:sz="0" w:space="0" w:color="auto"/>
        <w:left w:val="none" w:sz="0" w:space="0" w:color="auto"/>
        <w:bottom w:val="none" w:sz="0" w:space="0" w:color="auto"/>
        <w:right w:val="none" w:sz="0" w:space="0" w:color="auto"/>
      </w:divBdr>
    </w:div>
    <w:div w:id="1010179155">
      <w:bodyDiv w:val="1"/>
      <w:marLeft w:val="0"/>
      <w:marRight w:val="0"/>
      <w:marTop w:val="0"/>
      <w:marBottom w:val="0"/>
      <w:divBdr>
        <w:top w:val="none" w:sz="0" w:space="0" w:color="auto"/>
        <w:left w:val="none" w:sz="0" w:space="0" w:color="auto"/>
        <w:bottom w:val="none" w:sz="0" w:space="0" w:color="auto"/>
        <w:right w:val="none" w:sz="0" w:space="0" w:color="auto"/>
      </w:divBdr>
      <w:divsChild>
        <w:div w:id="1998924578">
          <w:marLeft w:val="0"/>
          <w:marRight w:val="0"/>
          <w:marTop w:val="0"/>
          <w:marBottom w:val="0"/>
          <w:divBdr>
            <w:top w:val="none" w:sz="0" w:space="0" w:color="auto"/>
            <w:left w:val="none" w:sz="0" w:space="0" w:color="auto"/>
            <w:bottom w:val="none" w:sz="0" w:space="0" w:color="auto"/>
            <w:right w:val="none" w:sz="0" w:space="0" w:color="auto"/>
          </w:divBdr>
          <w:divsChild>
            <w:div w:id="1292053413">
              <w:marLeft w:val="0"/>
              <w:marRight w:val="46"/>
              <w:marTop w:val="0"/>
              <w:marBottom w:val="0"/>
              <w:divBdr>
                <w:top w:val="none" w:sz="0" w:space="0" w:color="auto"/>
                <w:left w:val="none" w:sz="0" w:space="0" w:color="auto"/>
                <w:bottom w:val="none" w:sz="0" w:space="0" w:color="auto"/>
                <w:right w:val="none" w:sz="0" w:space="0" w:color="auto"/>
              </w:divBdr>
              <w:divsChild>
                <w:div w:id="80109226">
                  <w:marLeft w:val="0"/>
                  <w:marRight w:val="0"/>
                  <w:marTop w:val="0"/>
                  <w:marBottom w:val="115"/>
                  <w:divBdr>
                    <w:top w:val="none" w:sz="0" w:space="0" w:color="auto"/>
                    <w:left w:val="none" w:sz="0" w:space="0" w:color="auto"/>
                    <w:bottom w:val="none" w:sz="0" w:space="0" w:color="auto"/>
                    <w:right w:val="none" w:sz="0" w:space="0" w:color="auto"/>
                  </w:divBdr>
                  <w:divsChild>
                    <w:div w:id="1943874873">
                      <w:marLeft w:val="0"/>
                      <w:marRight w:val="0"/>
                      <w:marTop w:val="0"/>
                      <w:marBottom w:val="0"/>
                      <w:divBdr>
                        <w:top w:val="none" w:sz="0" w:space="0" w:color="auto"/>
                        <w:left w:val="none" w:sz="0" w:space="0" w:color="auto"/>
                        <w:bottom w:val="none" w:sz="0" w:space="0" w:color="auto"/>
                        <w:right w:val="none" w:sz="0" w:space="0" w:color="auto"/>
                      </w:divBdr>
                      <w:divsChild>
                        <w:div w:id="5129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6710">
      <w:bodyDiv w:val="1"/>
      <w:marLeft w:val="0"/>
      <w:marRight w:val="0"/>
      <w:marTop w:val="0"/>
      <w:marBottom w:val="0"/>
      <w:divBdr>
        <w:top w:val="none" w:sz="0" w:space="0" w:color="auto"/>
        <w:left w:val="none" w:sz="0" w:space="0" w:color="auto"/>
        <w:bottom w:val="none" w:sz="0" w:space="0" w:color="auto"/>
        <w:right w:val="none" w:sz="0" w:space="0" w:color="auto"/>
      </w:divBdr>
    </w:div>
    <w:div w:id="1222670775">
      <w:bodyDiv w:val="1"/>
      <w:marLeft w:val="0"/>
      <w:marRight w:val="0"/>
      <w:marTop w:val="0"/>
      <w:marBottom w:val="0"/>
      <w:divBdr>
        <w:top w:val="none" w:sz="0" w:space="0" w:color="auto"/>
        <w:left w:val="none" w:sz="0" w:space="0" w:color="auto"/>
        <w:bottom w:val="none" w:sz="0" w:space="0" w:color="auto"/>
        <w:right w:val="none" w:sz="0" w:space="0" w:color="auto"/>
      </w:divBdr>
    </w:div>
    <w:div w:id="1369060876">
      <w:bodyDiv w:val="1"/>
      <w:marLeft w:val="0"/>
      <w:marRight w:val="0"/>
      <w:marTop w:val="0"/>
      <w:marBottom w:val="0"/>
      <w:divBdr>
        <w:top w:val="none" w:sz="0" w:space="0" w:color="auto"/>
        <w:left w:val="none" w:sz="0" w:space="0" w:color="auto"/>
        <w:bottom w:val="none" w:sz="0" w:space="0" w:color="auto"/>
        <w:right w:val="none" w:sz="0" w:space="0" w:color="auto"/>
      </w:divBdr>
    </w:div>
    <w:div w:id="1564874474">
      <w:bodyDiv w:val="1"/>
      <w:marLeft w:val="0"/>
      <w:marRight w:val="0"/>
      <w:marTop w:val="0"/>
      <w:marBottom w:val="0"/>
      <w:divBdr>
        <w:top w:val="none" w:sz="0" w:space="0" w:color="auto"/>
        <w:left w:val="none" w:sz="0" w:space="0" w:color="auto"/>
        <w:bottom w:val="none" w:sz="0" w:space="0" w:color="auto"/>
        <w:right w:val="none" w:sz="0" w:space="0" w:color="auto"/>
      </w:divBdr>
    </w:div>
    <w:div w:id="1573271906">
      <w:bodyDiv w:val="1"/>
      <w:marLeft w:val="0"/>
      <w:marRight w:val="0"/>
      <w:marTop w:val="0"/>
      <w:marBottom w:val="0"/>
      <w:divBdr>
        <w:top w:val="none" w:sz="0" w:space="0" w:color="auto"/>
        <w:left w:val="none" w:sz="0" w:space="0" w:color="auto"/>
        <w:bottom w:val="none" w:sz="0" w:space="0" w:color="auto"/>
        <w:right w:val="none" w:sz="0" w:space="0" w:color="auto"/>
      </w:divBdr>
    </w:div>
    <w:div w:id="1596666731">
      <w:bodyDiv w:val="1"/>
      <w:marLeft w:val="0"/>
      <w:marRight w:val="0"/>
      <w:marTop w:val="0"/>
      <w:marBottom w:val="0"/>
      <w:divBdr>
        <w:top w:val="none" w:sz="0" w:space="0" w:color="auto"/>
        <w:left w:val="none" w:sz="0" w:space="0" w:color="auto"/>
        <w:bottom w:val="none" w:sz="0" w:space="0" w:color="auto"/>
        <w:right w:val="none" w:sz="0" w:space="0" w:color="auto"/>
      </w:divBdr>
    </w:div>
    <w:div w:id="1606377681">
      <w:bodyDiv w:val="1"/>
      <w:marLeft w:val="0"/>
      <w:marRight w:val="0"/>
      <w:marTop w:val="0"/>
      <w:marBottom w:val="0"/>
      <w:divBdr>
        <w:top w:val="none" w:sz="0" w:space="0" w:color="auto"/>
        <w:left w:val="none" w:sz="0" w:space="0" w:color="auto"/>
        <w:bottom w:val="none" w:sz="0" w:space="0" w:color="auto"/>
        <w:right w:val="none" w:sz="0" w:space="0" w:color="auto"/>
      </w:divBdr>
    </w:div>
    <w:div w:id="1636060410">
      <w:bodyDiv w:val="1"/>
      <w:marLeft w:val="0"/>
      <w:marRight w:val="0"/>
      <w:marTop w:val="0"/>
      <w:marBottom w:val="0"/>
      <w:divBdr>
        <w:top w:val="none" w:sz="0" w:space="0" w:color="auto"/>
        <w:left w:val="none" w:sz="0" w:space="0" w:color="auto"/>
        <w:bottom w:val="none" w:sz="0" w:space="0" w:color="auto"/>
        <w:right w:val="none" w:sz="0" w:space="0" w:color="auto"/>
      </w:divBdr>
    </w:div>
    <w:div w:id="1648047476">
      <w:bodyDiv w:val="1"/>
      <w:marLeft w:val="0"/>
      <w:marRight w:val="0"/>
      <w:marTop w:val="0"/>
      <w:marBottom w:val="0"/>
      <w:divBdr>
        <w:top w:val="none" w:sz="0" w:space="0" w:color="auto"/>
        <w:left w:val="none" w:sz="0" w:space="0" w:color="auto"/>
        <w:bottom w:val="none" w:sz="0" w:space="0" w:color="auto"/>
        <w:right w:val="none" w:sz="0" w:space="0" w:color="auto"/>
      </w:divBdr>
    </w:div>
    <w:div w:id="1787043230">
      <w:bodyDiv w:val="1"/>
      <w:marLeft w:val="0"/>
      <w:marRight w:val="0"/>
      <w:marTop w:val="0"/>
      <w:marBottom w:val="0"/>
      <w:divBdr>
        <w:top w:val="none" w:sz="0" w:space="0" w:color="auto"/>
        <w:left w:val="none" w:sz="0" w:space="0" w:color="auto"/>
        <w:bottom w:val="none" w:sz="0" w:space="0" w:color="auto"/>
        <w:right w:val="none" w:sz="0" w:space="0" w:color="auto"/>
      </w:divBdr>
    </w:div>
    <w:div w:id="1973368751">
      <w:bodyDiv w:val="1"/>
      <w:marLeft w:val="0"/>
      <w:marRight w:val="0"/>
      <w:marTop w:val="0"/>
      <w:marBottom w:val="0"/>
      <w:divBdr>
        <w:top w:val="none" w:sz="0" w:space="0" w:color="auto"/>
        <w:left w:val="none" w:sz="0" w:space="0" w:color="auto"/>
        <w:bottom w:val="none" w:sz="0" w:space="0" w:color="auto"/>
        <w:right w:val="none" w:sz="0" w:space="0" w:color="auto"/>
      </w:divBdr>
    </w:div>
    <w:div w:id="2003965129">
      <w:bodyDiv w:val="1"/>
      <w:marLeft w:val="0"/>
      <w:marRight w:val="0"/>
      <w:marTop w:val="0"/>
      <w:marBottom w:val="0"/>
      <w:divBdr>
        <w:top w:val="none" w:sz="0" w:space="0" w:color="auto"/>
        <w:left w:val="none" w:sz="0" w:space="0" w:color="auto"/>
        <w:bottom w:val="none" w:sz="0" w:space="0" w:color="auto"/>
        <w:right w:val="none" w:sz="0" w:space="0" w:color="auto"/>
      </w:divBdr>
    </w:div>
    <w:div w:id="21058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radni-list.si/1/objava.jsp?urlid=201143&amp;stevilka=204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7ACB6-37E2-440F-B3E9-51CD7494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3555</Words>
  <Characters>21958</Characters>
  <Application>Microsoft Office Word</Application>
  <DocSecurity>0</DocSecurity>
  <Lines>182</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AVaupotic</dc:creator>
  <cp:lastModifiedBy>Matej Gajser</cp:lastModifiedBy>
  <cp:revision>3</cp:revision>
  <cp:lastPrinted>2015-10-09T09:34:00Z</cp:lastPrinted>
  <dcterms:created xsi:type="dcterms:W3CDTF">2015-10-14T07:23:00Z</dcterms:created>
  <dcterms:modified xsi:type="dcterms:W3CDTF">2015-10-14T07:24:00Z</dcterms:modified>
</cp:coreProperties>
</file>