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9C0" w:rsidRDefault="003F69C0" w:rsidP="003F69C0">
      <w:pPr>
        <w:pStyle w:val="Brezrazmikov"/>
        <w:jc w:val="both"/>
      </w:pPr>
    </w:p>
    <w:p w:rsidR="003F69C0" w:rsidRPr="0098384D" w:rsidRDefault="003F69C0" w:rsidP="008F2111">
      <w:pPr>
        <w:pStyle w:val="Brezrazmikov"/>
        <w:jc w:val="center"/>
        <w:rPr>
          <w:b/>
          <w:bCs/>
        </w:rPr>
      </w:pPr>
      <w:r w:rsidRPr="0098384D">
        <w:rPr>
          <w:b/>
          <w:bCs/>
          <w:noProof/>
          <w:lang w:eastAsia="sl-SI"/>
        </w:rPr>
        <w:drawing>
          <wp:inline distT="0" distB="0" distL="0" distR="0" wp14:anchorId="2923F2DC" wp14:editId="6328BAB6">
            <wp:extent cx="325203" cy="336150"/>
            <wp:effectExtent l="0" t="0" r="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118" cy="347433"/>
                    </a:xfrm>
                    <a:prstGeom prst="rect">
                      <a:avLst/>
                    </a:prstGeom>
                    <a:noFill/>
                    <a:ln>
                      <a:noFill/>
                    </a:ln>
                  </pic:spPr>
                </pic:pic>
              </a:graphicData>
            </a:graphic>
          </wp:inline>
        </w:drawing>
      </w:r>
    </w:p>
    <w:p w:rsidR="003F69C0" w:rsidRPr="008F2111" w:rsidRDefault="003F69C0" w:rsidP="003F69C0">
      <w:pPr>
        <w:pStyle w:val="Brezrazmikov"/>
        <w:jc w:val="center"/>
        <w:rPr>
          <w:bCs/>
          <w:sz w:val="16"/>
        </w:rPr>
      </w:pPr>
      <w:r w:rsidRPr="008F2111">
        <w:rPr>
          <w:b/>
          <w:bCs/>
          <w:sz w:val="16"/>
        </w:rPr>
        <w:t>OBČINA KIDRIČEVO</w:t>
      </w:r>
    </w:p>
    <w:p w:rsidR="003F69C0" w:rsidRPr="008F2111" w:rsidRDefault="003F69C0" w:rsidP="003F69C0">
      <w:pPr>
        <w:pStyle w:val="Brezrazmikov"/>
        <w:jc w:val="center"/>
        <w:rPr>
          <w:bCs/>
          <w:sz w:val="16"/>
        </w:rPr>
      </w:pPr>
      <w:r w:rsidRPr="008F2111">
        <w:rPr>
          <w:bCs/>
          <w:sz w:val="16"/>
        </w:rPr>
        <w:t>Odbor za družbene dejavnosti</w:t>
      </w:r>
    </w:p>
    <w:p w:rsidR="003F69C0" w:rsidRPr="008F2111" w:rsidRDefault="003F69C0" w:rsidP="003F69C0">
      <w:pPr>
        <w:pStyle w:val="Brezrazmikov"/>
        <w:jc w:val="center"/>
        <w:rPr>
          <w:bCs/>
          <w:sz w:val="16"/>
        </w:rPr>
      </w:pPr>
      <w:r w:rsidRPr="008F2111">
        <w:rPr>
          <w:bCs/>
          <w:sz w:val="16"/>
        </w:rPr>
        <w:t>Kopališka ul. 14</w:t>
      </w:r>
    </w:p>
    <w:p w:rsidR="003F69C0" w:rsidRPr="008F2111" w:rsidRDefault="003F69C0" w:rsidP="003F69C0">
      <w:pPr>
        <w:pStyle w:val="Brezrazmikov"/>
        <w:jc w:val="center"/>
        <w:rPr>
          <w:bCs/>
          <w:sz w:val="16"/>
        </w:rPr>
      </w:pPr>
      <w:r w:rsidRPr="008F2111">
        <w:rPr>
          <w:bCs/>
          <w:sz w:val="16"/>
        </w:rPr>
        <w:t>2325 Kidričevo</w:t>
      </w:r>
      <w:bookmarkStart w:id="0" w:name="_GoBack"/>
      <w:bookmarkEnd w:id="0"/>
    </w:p>
    <w:p w:rsidR="003F69C0" w:rsidRDefault="003F69C0" w:rsidP="003F69C0">
      <w:pPr>
        <w:pStyle w:val="Brezrazmikov"/>
        <w:jc w:val="both"/>
      </w:pPr>
    </w:p>
    <w:p w:rsidR="003F69C0" w:rsidRDefault="003F69C0" w:rsidP="003F69C0">
      <w:pPr>
        <w:pStyle w:val="Brezrazmikov"/>
        <w:jc w:val="both"/>
      </w:pPr>
    </w:p>
    <w:p w:rsidR="003F69C0" w:rsidRDefault="003F69C0" w:rsidP="003F69C0">
      <w:pPr>
        <w:pStyle w:val="Brezrazmikov"/>
        <w:jc w:val="both"/>
        <w:rPr>
          <w:rFonts w:eastAsia="Times New Roman" w:cs="Times New Roman"/>
          <w:lang w:eastAsia="sl-SI"/>
        </w:rPr>
      </w:pPr>
      <w:r w:rsidRPr="007246F7">
        <w:t xml:space="preserve">Na podlagi </w:t>
      </w:r>
      <w:r>
        <w:t xml:space="preserve">45. člena </w:t>
      </w:r>
      <w:r w:rsidRPr="007246F7">
        <w:t>Zakon</w:t>
      </w:r>
      <w:r>
        <w:t>a</w:t>
      </w:r>
      <w:r w:rsidRPr="007246F7">
        <w:t xml:space="preserve"> o </w:t>
      </w:r>
      <w:r>
        <w:t xml:space="preserve">zavodih </w:t>
      </w:r>
      <w:r w:rsidRPr="007246F7">
        <w:t xml:space="preserve"> (Ur.l.RS št. </w:t>
      </w:r>
      <w:r>
        <w:t>12/91, 8/96, 36/00 in 127/06) 39. člena Odloka o ustanovitvi Javnega vzgojno – izobraževalnega zavoda Osnovna šola Cirkovce (Uradno glasilo</w:t>
      </w:r>
      <w:r>
        <w:t xml:space="preserve"> slovenskih občin, št. 22/12),</w:t>
      </w:r>
      <w:r w:rsidRPr="007246F7">
        <w:t xml:space="preserve">  </w:t>
      </w:r>
      <w:r>
        <w:rPr>
          <w:rFonts w:eastAsia="Times New Roman" w:cs="Times New Roman"/>
          <w:lang w:eastAsia="sl-SI"/>
        </w:rPr>
        <w:t>22</w:t>
      </w:r>
      <w:r w:rsidRPr="007246F7">
        <w:rPr>
          <w:rFonts w:eastAsia="Times New Roman" w:cs="Times New Roman"/>
          <w:lang w:eastAsia="sl-SI"/>
        </w:rPr>
        <w:t xml:space="preserve">. člena Statuta Občine Kidričevo (Uradno glasilo slovenskih občin, št. </w:t>
      </w:r>
      <w:r>
        <w:rPr>
          <w:rFonts w:eastAsia="Times New Roman" w:cs="Times New Roman"/>
          <w:lang w:eastAsia="sl-SI"/>
        </w:rPr>
        <w:t xml:space="preserve">62/16 in 16/18 </w:t>
      </w:r>
      <w:r w:rsidRPr="007246F7">
        <w:rPr>
          <w:rFonts w:eastAsia="Times New Roman" w:cs="Times New Roman"/>
          <w:lang w:eastAsia="sl-SI"/>
        </w:rPr>
        <w:t>)</w:t>
      </w:r>
      <w:r>
        <w:rPr>
          <w:rFonts w:eastAsia="Times New Roman" w:cs="Times New Roman"/>
          <w:lang w:eastAsia="sl-SI"/>
        </w:rPr>
        <w:t xml:space="preserve"> 54. člena Poslovnika občinskega sveta občine Kidričevo (Uradno glasilo slovenskih občin, št. 36/17 in 16/18) odbor za družbene dejavnosti predlaga občinskemu svetu Občine Kidričevo, da sprejme </w:t>
      </w:r>
    </w:p>
    <w:p w:rsidR="003F69C0" w:rsidRDefault="003F69C0" w:rsidP="003F69C0">
      <w:pPr>
        <w:pStyle w:val="Brezrazmikov"/>
        <w:jc w:val="both"/>
        <w:rPr>
          <w:rFonts w:eastAsia="Times New Roman" w:cs="Times New Roman"/>
          <w:lang w:eastAsia="sl-SI"/>
        </w:rPr>
      </w:pPr>
    </w:p>
    <w:p w:rsidR="003F69C0" w:rsidRDefault="003F69C0" w:rsidP="003F69C0">
      <w:pPr>
        <w:pStyle w:val="Brezrazmikov"/>
        <w:jc w:val="center"/>
        <w:rPr>
          <w:rFonts w:eastAsia="Times New Roman" w:cs="Times New Roman"/>
          <w:b/>
          <w:sz w:val="28"/>
          <w:lang w:eastAsia="sl-SI"/>
        </w:rPr>
      </w:pPr>
      <w:r>
        <w:rPr>
          <w:rFonts w:eastAsia="Times New Roman" w:cs="Times New Roman"/>
          <w:b/>
          <w:sz w:val="28"/>
          <w:lang w:eastAsia="sl-SI"/>
        </w:rPr>
        <w:t>S  K  L  E  P</w:t>
      </w:r>
    </w:p>
    <w:p w:rsidR="003F69C0" w:rsidRDefault="003F69C0" w:rsidP="003F69C0">
      <w:pPr>
        <w:pStyle w:val="Brezrazmikov"/>
        <w:jc w:val="center"/>
        <w:rPr>
          <w:rFonts w:eastAsia="Times New Roman" w:cs="Times New Roman"/>
          <w:b/>
          <w:sz w:val="28"/>
          <w:lang w:eastAsia="sl-SI"/>
        </w:rPr>
      </w:pPr>
    </w:p>
    <w:p w:rsidR="003F69C0" w:rsidRDefault="003F69C0" w:rsidP="003F69C0">
      <w:pPr>
        <w:pStyle w:val="Brezrazmikov"/>
        <w:jc w:val="both"/>
        <w:rPr>
          <w:rFonts w:eastAsia="Times New Roman" w:cs="Times New Roman"/>
          <w:lang w:eastAsia="sl-SI"/>
        </w:rPr>
      </w:pPr>
      <w:r>
        <w:rPr>
          <w:rFonts w:eastAsia="Times New Roman" w:cs="Times New Roman"/>
          <w:lang w:eastAsia="sl-SI"/>
        </w:rPr>
        <w:t xml:space="preserve">Odbor za družbene dejavnosti predlaga občinskemu svetu Občine Kidričevo, da poda soglasje k spremembi tabele 2, ki je sestavni del Pravilnika o razporejanju stroškov po stroškovnih mestih v Osnovni šoli Cirkovce. </w:t>
      </w:r>
    </w:p>
    <w:p w:rsidR="003F69C0" w:rsidRDefault="003F69C0" w:rsidP="003F69C0">
      <w:pPr>
        <w:pStyle w:val="Brezrazmikov"/>
        <w:jc w:val="both"/>
        <w:rPr>
          <w:rFonts w:eastAsia="Times New Roman" w:cs="Times New Roman"/>
          <w:lang w:eastAsia="sl-SI"/>
        </w:rPr>
      </w:pPr>
    </w:p>
    <w:p w:rsidR="003F69C0" w:rsidRDefault="003F69C0" w:rsidP="003F69C0">
      <w:pPr>
        <w:pStyle w:val="Brezrazmikov"/>
        <w:jc w:val="both"/>
        <w:rPr>
          <w:rFonts w:eastAsia="Times New Roman" w:cs="Times New Roman"/>
          <w:lang w:eastAsia="sl-SI"/>
        </w:rPr>
      </w:pPr>
    </w:p>
    <w:p w:rsidR="003F69C0" w:rsidRDefault="003F69C0" w:rsidP="003F69C0">
      <w:pPr>
        <w:pStyle w:val="Brezrazmikov"/>
        <w:jc w:val="both"/>
        <w:rPr>
          <w:rFonts w:eastAsia="Times New Roman" w:cs="Times New Roman"/>
          <w:lang w:eastAsia="sl-SI"/>
        </w:rPr>
      </w:pPr>
      <w:r>
        <w:rPr>
          <w:rFonts w:eastAsia="Times New Roman" w:cs="Times New Roman"/>
          <w:lang w:eastAsia="sl-SI"/>
        </w:rPr>
        <w:t>Štev. 007-18/2017</w:t>
      </w:r>
    </w:p>
    <w:p w:rsidR="003F69C0" w:rsidRDefault="003F69C0" w:rsidP="003F69C0">
      <w:pPr>
        <w:pStyle w:val="Brezrazmikov"/>
        <w:jc w:val="both"/>
        <w:rPr>
          <w:rFonts w:eastAsia="Times New Roman" w:cs="Times New Roman"/>
          <w:lang w:eastAsia="sl-SI"/>
        </w:rPr>
      </w:pPr>
      <w:r>
        <w:rPr>
          <w:rFonts w:eastAsia="Times New Roman" w:cs="Times New Roman"/>
          <w:lang w:eastAsia="sl-SI"/>
        </w:rPr>
        <w:t>Dne  12.9.2019</w:t>
      </w:r>
    </w:p>
    <w:p w:rsidR="003F69C0" w:rsidRDefault="003F69C0" w:rsidP="003F69C0">
      <w:pPr>
        <w:pStyle w:val="Brezrazmikov"/>
        <w:jc w:val="both"/>
        <w:rPr>
          <w:rFonts w:eastAsia="Times New Roman" w:cs="Times New Roman"/>
          <w:lang w:eastAsia="sl-SI"/>
        </w:rPr>
      </w:pPr>
    </w:p>
    <w:p w:rsidR="003F69C0" w:rsidRDefault="003F69C0" w:rsidP="003F69C0">
      <w:pPr>
        <w:pStyle w:val="Brezrazmikov"/>
        <w:jc w:val="both"/>
        <w:rPr>
          <w:rFonts w:eastAsia="Times New Roman" w:cs="Times New Roman"/>
          <w:lang w:eastAsia="sl-SI"/>
        </w:rPr>
      </w:pPr>
    </w:p>
    <w:p w:rsidR="003F69C0" w:rsidRDefault="003F69C0" w:rsidP="003F69C0">
      <w:pPr>
        <w:pStyle w:val="Brezrazmikov"/>
        <w:jc w:val="center"/>
      </w:pPr>
      <w:r>
        <w:t>O B R A Z L O Ž I T E V</w:t>
      </w:r>
    </w:p>
    <w:p w:rsidR="003F69C0" w:rsidRDefault="003F69C0" w:rsidP="003F69C0">
      <w:pPr>
        <w:pStyle w:val="Brezrazmikov"/>
        <w:jc w:val="center"/>
      </w:pPr>
    </w:p>
    <w:p w:rsidR="003F69C0" w:rsidRDefault="003F69C0" w:rsidP="003F69C0">
      <w:pPr>
        <w:pStyle w:val="Brezrazmikov"/>
        <w:jc w:val="both"/>
      </w:pPr>
      <w:r>
        <w:t xml:space="preserve">45. člen Zakona o vrtcih in 39. člen Odloka o ustanovitvi Javnega vzgojno-izobraževalnega zavoda Osnovna šola Cirkovce določata, da ima javni zavod kot interne aktive Statut in pravila s katerimi se urejajo vprašanja, pomemba za delo in poslovanje zavoda. </w:t>
      </w:r>
    </w:p>
    <w:p w:rsidR="003F69C0" w:rsidRDefault="003F69C0" w:rsidP="003F69C0">
      <w:pPr>
        <w:pStyle w:val="Brezrazmikov"/>
        <w:jc w:val="both"/>
      </w:pPr>
    </w:p>
    <w:p w:rsidR="003F69C0" w:rsidRDefault="003F69C0" w:rsidP="003F69C0">
      <w:pPr>
        <w:pStyle w:val="Brezrazmikov"/>
        <w:jc w:val="both"/>
      </w:pPr>
      <w:r>
        <w:t xml:space="preserve">Osnovna šola Cirkovce ima kot interni akt Pravilnik o razporejanju stroškov po stroškovnih mestih, ki natančno določa, kako se stroški razporejajo med šolo, vrtcem in tržno dejavnostjo. Pravilnik je sprejel svet zavoda, ker pa ima pravilnik finančni vpliv na proračun, mora pred sprejemom podati soglasje občina ustanoviteljica. </w:t>
      </w:r>
    </w:p>
    <w:p w:rsidR="003F69C0" w:rsidRDefault="003F69C0" w:rsidP="003F69C0">
      <w:pPr>
        <w:pStyle w:val="Brezrazmikov"/>
        <w:jc w:val="both"/>
      </w:pPr>
    </w:p>
    <w:p w:rsidR="003F69C0" w:rsidRDefault="003F69C0" w:rsidP="003F69C0">
      <w:pPr>
        <w:pStyle w:val="Brezrazmikov"/>
        <w:jc w:val="both"/>
      </w:pPr>
      <w:r>
        <w:t xml:space="preserve">Sestavni del pravilnika je tudi tabela 2, ki se spreminja vsako leto glede na število vpisanih otrok v šolo, število otrok kot najvišji normativ otrok v oddelkih, ki ga sprejme občinski sveta in tržno dejavnost. </w:t>
      </w:r>
    </w:p>
    <w:p w:rsidR="003F69C0" w:rsidRDefault="003F69C0" w:rsidP="003F69C0">
      <w:pPr>
        <w:pStyle w:val="Brezrazmikov"/>
        <w:jc w:val="both"/>
      </w:pPr>
    </w:p>
    <w:p w:rsidR="003F69C0" w:rsidRDefault="003F69C0" w:rsidP="003F69C0">
      <w:pPr>
        <w:pStyle w:val="Brezrazmikov"/>
        <w:jc w:val="both"/>
      </w:pPr>
      <w:r>
        <w:t xml:space="preserve">Glede na navedeno je Osnovna šola Cirkovce pripravila novo tabelo 2, h kateri mora podati soglasje ustanovitelj. </w:t>
      </w:r>
    </w:p>
    <w:p w:rsidR="003F69C0" w:rsidRDefault="003F69C0" w:rsidP="003F69C0">
      <w:pPr>
        <w:pStyle w:val="Brezrazmikov"/>
        <w:jc w:val="both"/>
      </w:pPr>
    </w:p>
    <w:p w:rsidR="003F69C0" w:rsidRDefault="003F69C0" w:rsidP="003F69C0">
      <w:pPr>
        <w:pStyle w:val="Brezrazmikov"/>
        <w:jc w:val="both"/>
      </w:pPr>
      <w:r>
        <w:t xml:space="preserve">Odbor za družbene dejavnosti tako predlaga občinskemu svetu, da se soglasje poda. </w:t>
      </w:r>
    </w:p>
    <w:p w:rsidR="008F2111" w:rsidRDefault="008F2111" w:rsidP="003F69C0">
      <w:pPr>
        <w:pStyle w:val="Brezrazmikov"/>
        <w:jc w:val="both"/>
      </w:pPr>
    </w:p>
    <w:p w:rsidR="008F2111" w:rsidRDefault="008F2111" w:rsidP="003F69C0">
      <w:pPr>
        <w:pStyle w:val="Brezrazmikov"/>
        <w:jc w:val="both"/>
      </w:pPr>
    </w:p>
    <w:p w:rsidR="008F2111" w:rsidRDefault="008F2111" w:rsidP="003F69C0">
      <w:pPr>
        <w:pStyle w:val="Brezrazmikov"/>
        <w:jc w:val="both"/>
      </w:pPr>
      <w:r>
        <w:tab/>
      </w:r>
      <w:r>
        <w:tab/>
      </w:r>
      <w:r>
        <w:tab/>
      </w:r>
      <w:r>
        <w:tab/>
      </w:r>
      <w:r>
        <w:tab/>
      </w:r>
      <w:r>
        <w:tab/>
      </w:r>
      <w:r>
        <w:tab/>
      </w:r>
      <w:r>
        <w:tab/>
        <w:t>Bogdan Potočnik;</w:t>
      </w:r>
    </w:p>
    <w:p w:rsidR="008F2111" w:rsidRDefault="008F2111" w:rsidP="003F69C0">
      <w:pPr>
        <w:pStyle w:val="Brezrazmikov"/>
        <w:jc w:val="both"/>
      </w:pPr>
    </w:p>
    <w:p w:rsidR="008F2111" w:rsidRDefault="008F2111" w:rsidP="003F69C0">
      <w:pPr>
        <w:pStyle w:val="Brezrazmikov"/>
        <w:jc w:val="both"/>
      </w:pPr>
      <w:r>
        <w:tab/>
      </w:r>
      <w:r>
        <w:tab/>
      </w:r>
      <w:r>
        <w:tab/>
      </w:r>
      <w:r>
        <w:tab/>
      </w:r>
      <w:r>
        <w:tab/>
      </w:r>
      <w:r>
        <w:tab/>
      </w:r>
      <w:r>
        <w:tab/>
      </w:r>
      <w:r>
        <w:tab/>
        <w:t>predsednik</w:t>
      </w:r>
    </w:p>
    <w:p w:rsidR="00D60817" w:rsidRDefault="008F2111" w:rsidP="003F69C0">
      <w:pPr>
        <w:pStyle w:val="Brezrazmikov"/>
        <w:jc w:val="both"/>
      </w:pPr>
      <w:r>
        <w:tab/>
      </w:r>
      <w:r>
        <w:tab/>
      </w:r>
      <w:r>
        <w:tab/>
      </w:r>
      <w:r>
        <w:tab/>
      </w:r>
      <w:r>
        <w:tab/>
      </w:r>
      <w:r>
        <w:tab/>
      </w:r>
      <w:r>
        <w:tab/>
      </w:r>
      <w:r>
        <w:tab/>
        <w:t>odbora za družbene dejavnosti</w:t>
      </w:r>
    </w:p>
    <w:sectPr w:rsidR="00D60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C0"/>
    <w:rsid w:val="00353D34"/>
    <w:rsid w:val="003F69C0"/>
    <w:rsid w:val="008F2111"/>
    <w:rsid w:val="00D608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5397"/>
  <w15:chartTrackingRefBased/>
  <w15:docId w15:val="{C0559436-86D7-463E-89B4-7C604F7C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F6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2019-09-12T09:01:00Z</dcterms:created>
  <dcterms:modified xsi:type="dcterms:W3CDTF">2019-09-12T09:01:00Z</dcterms:modified>
</cp:coreProperties>
</file>