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2010" w:rsidRPr="009E2010" w:rsidRDefault="00395BE6" w:rsidP="00FA7D89">
      <w:pPr>
        <w:spacing w:after="0" w:line="288" w:lineRule="auto"/>
        <w:rPr>
          <w:rFonts w:ascii="Tahoma" w:hAnsi="Tahoma" w:cs="Tahoma"/>
          <w:b/>
        </w:rPr>
      </w:pPr>
      <w:r w:rsidRPr="009E2010">
        <w:rPr>
          <w:rFonts w:ascii="Tahoma" w:hAnsi="Tahoma" w:cs="Tahoma"/>
          <w:b/>
        </w:rPr>
        <w:t>Povzetek projekta:</w:t>
      </w:r>
    </w:p>
    <w:p w:rsidR="00306DF4" w:rsidRDefault="00306DF4" w:rsidP="00306DF4">
      <w:pPr>
        <w:spacing w:after="0"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306DF4">
        <w:rPr>
          <w:rFonts w:ascii="Tahoma" w:hAnsi="Tahoma" w:cs="Tahoma"/>
          <w:b/>
          <w:sz w:val="28"/>
          <w:szCs w:val="28"/>
        </w:rPr>
        <w:t xml:space="preserve">Plazovi na cesti LC 350361 cesta </w:t>
      </w:r>
      <w:proofErr w:type="spellStart"/>
      <w:r w:rsidRPr="00306DF4">
        <w:rPr>
          <w:rFonts w:ascii="Tahoma" w:hAnsi="Tahoma" w:cs="Tahoma"/>
          <w:b/>
          <w:sz w:val="28"/>
          <w:szCs w:val="28"/>
        </w:rPr>
        <w:t>Štopar</w:t>
      </w:r>
      <w:proofErr w:type="spellEnd"/>
      <w:r w:rsidRPr="00306DF4">
        <w:rPr>
          <w:rFonts w:ascii="Tahoma" w:hAnsi="Tahoma" w:cs="Tahoma"/>
          <w:b/>
          <w:sz w:val="28"/>
          <w:szCs w:val="28"/>
        </w:rPr>
        <w:t xml:space="preserve"> – Šentanel,</w:t>
      </w:r>
    </w:p>
    <w:p w:rsidR="009E2010" w:rsidRPr="009E2010" w:rsidRDefault="00306DF4" w:rsidP="00306DF4">
      <w:pPr>
        <w:spacing w:after="0" w:line="276" w:lineRule="auto"/>
        <w:jc w:val="center"/>
        <w:rPr>
          <w:rFonts w:ascii="Tahoma" w:hAnsi="Tahoma" w:cs="Tahoma"/>
          <w:bCs/>
        </w:rPr>
      </w:pPr>
      <w:r w:rsidRPr="00306DF4">
        <w:rPr>
          <w:rFonts w:ascii="Tahoma" w:hAnsi="Tahoma" w:cs="Tahoma"/>
          <w:b/>
          <w:sz w:val="28"/>
          <w:szCs w:val="28"/>
        </w:rPr>
        <w:t>ID iz AJDE: 1151710, faza I.</w:t>
      </w:r>
    </w:p>
    <w:p w:rsidR="00306DF4" w:rsidRDefault="00306DF4" w:rsidP="00306DF4">
      <w:pPr>
        <w:spacing w:after="0" w:line="276" w:lineRule="auto"/>
        <w:jc w:val="both"/>
        <w:rPr>
          <w:rFonts w:ascii="Tahoma" w:hAnsi="Tahoma" w:cs="Tahoma"/>
          <w:bCs/>
        </w:rPr>
      </w:pPr>
    </w:p>
    <w:p w:rsidR="00306DF4" w:rsidRPr="00CF6D54" w:rsidRDefault="00306DF4" w:rsidP="000829D9">
      <w:pPr>
        <w:spacing w:after="0" w:line="276" w:lineRule="auto"/>
        <w:jc w:val="both"/>
        <w:rPr>
          <w:rFonts w:ascii="Tahoma" w:hAnsi="Tahoma" w:cs="Tahoma"/>
          <w:bCs/>
        </w:rPr>
      </w:pPr>
      <w:r w:rsidRPr="00CF6D54">
        <w:rPr>
          <w:rFonts w:ascii="Tahoma" w:hAnsi="Tahoma" w:cs="Tahoma"/>
          <w:bCs/>
        </w:rPr>
        <w:t>Občina</w:t>
      </w:r>
      <w:r w:rsidRPr="00CF6D54">
        <w:rPr>
          <w:rFonts w:ascii="Tahoma" w:hAnsi="Tahoma" w:cs="Tahoma"/>
          <w:bCs/>
        </w:rPr>
        <w:t xml:space="preserve"> Prevalje</w:t>
      </w:r>
      <w:r w:rsidRPr="00CF6D54">
        <w:rPr>
          <w:rFonts w:ascii="Tahoma" w:hAnsi="Tahoma" w:cs="Tahoma"/>
          <w:bCs/>
        </w:rPr>
        <w:t xml:space="preserve"> namerava </w:t>
      </w:r>
      <w:r w:rsidRPr="00CF6D54">
        <w:rPr>
          <w:rFonts w:ascii="Tahoma" w:hAnsi="Tahoma" w:cs="Tahoma"/>
          <w:bCs/>
        </w:rPr>
        <w:t xml:space="preserve">sanirati plazove, urediti premostitve dveh levih pritokov Šentanelske reke in obnoviti cesto LC 350361, cesta </w:t>
      </w:r>
      <w:proofErr w:type="spellStart"/>
      <w:r w:rsidRPr="00CF6D54">
        <w:rPr>
          <w:rFonts w:ascii="Tahoma" w:hAnsi="Tahoma" w:cs="Tahoma"/>
          <w:bCs/>
        </w:rPr>
        <w:t>Štopar</w:t>
      </w:r>
      <w:proofErr w:type="spellEnd"/>
      <w:r w:rsidRPr="00CF6D54">
        <w:rPr>
          <w:rFonts w:ascii="Tahoma" w:hAnsi="Tahoma" w:cs="Tahoma"/>
          <w:bCs/>
        </w:rPr>
        <w:t xml:space="preserve"> – Šentanel</w:t>
      </w:r>
      <w:r w:rsidRPr="00CF6D54">
        <w:rPr>
          <w:rFonts w:ascii="Tahoma" w:hAnsi="Tahoma" w:cs="Tahoma"/>
          <w:bCs/>
        </w:rPr>
        <w:t xml:space="preserve"> v </w:t>
      </w:r>
      <w:r w:rsidRPr="00CF6D54">
        <w:rPr>
          <w:rFonts w:ascii="Tahoma" w:hAnsi="Tahoma" w:cs="Tahoma"/>
          <w:bCs/>
        </w:rPr>
        <w:t>dolžini</w:t>
      </w:r>
      <w:r w:rsidRPr="00CF6D54">
        <w:rPr>
          <w:rFonts w:ascii="Tahoma" w:hAnsi="Tahoma" w:cs="Tahoma"/>
          <w:bCs/>
        </w:rPr>
        <w:t xml:space="preserve"> </w:t>
      </w:r>
      <w:r w:rsidRPr="00CF6D54">
        <w:rPr>
          <w:rFonts w:ascii="Tahoma" w:hAnsi="Tahoma" w:cs="Tahoma"/>
          <w:bCs/>
        </w:rPr>
        <w:t>970 m</w:t>
      </w:r>
      <w:r w:rsidRPr="00CF6D54">
        <w:rPr>
          <w:rFonts w:ascii="Tahoma" w:hAnsi="Tahoma" w:cs="Tahoma"/>
          <w:bCs/>
        </w:rPr>
        <w:t xml:space="preserve">, </w:t>
      </w:r>
      <w:r w:rsidR="00AD2D8D" w:rsidRPr="00CF6D54">
        <w:rPr>
          <w:rFonts w:ascii="Tahoma" w:hAnsi="Tahoma" w:cs="Tahoma"/>
          <w:bCs/>
        </w:rPr>
        <w:t>in sicer od</w:t>
      </w:r>
      <w:r w:rsidRPr="00CF6D54">
        <w:rPr>
          <w:rFonts w:ascii="Tahoma" w:hAnsi="Tahoma" w:cs="Tahoma"/>
          <w:bCs/>
        </w:rPr>
        <w:t xml:space="preserve"> mostu pred gostiščem </w:t>
      </w:r>
      <w:proofErr w:type="spellStart"/>
      <w:r w:rsidRPr="00CF6D54">
        <w:rPr>
          <w:rFonts w:ascii="Tahoma" w:hAnsi="Tahoma" w:cs="Tahoma"/>
          <w:bCs/>
        </w:rPr>
        <w:t>Hober</w:t>
      </w:r>
      <w:proofErr w:type="spellEnd"/>
      <w:r w:rsidRPr="00CF6D54">
        <w:rPr>
          <w:rFonts w:ascii="Tahoma" w:hAnsi="Tahoma" w:cs="Tahoma"/>
          <w:bCs/>
        </w:rPr>
        <w:t xml:space="preserve"> do </w:t>
      </w:r>
      <w:r w:rsidR="00CF6D54">
        <w:rPr>
          <w:rFonts w:ascii="Tahoma" w:hAnsi="Tahoma" w:cs="Tahoma"/>
          <w:bCs/>
        </w:rPr>
        <w:t xml:space="preserve">odcepa </w:t>
      </w:r>
      <w:r w:rsidRPr="00CF6D54">
        <w:rPr>
          <w:rFonts w:ascii="Tahoma" w:hAnsi="Tahoma" w:cs="Tahoma"/>
          <w:bCs/>
        </w:rPr>
        <w:t>proti odlagališču Zmes. Na določenih odsekih je predvidena razširitev vozišča, uredilo se bo odvodnjavanje ceste</w:t>
      </w:r>
      <w:r w:rsidR="00CF6D54" w:rsidRPr="00CF6D54">
        <w:rPr>
          <w:rFonts w:ascii="Tahoma" w:hAnsi="Tahoma" w:cs="Tahoma"/>
          <w:bCs/>
        </w:rPr>
        <w:t>. Uredili se bosta tudi premostitvi dveh potokov, in sicer:</w:t>
      </w:r>
    </w:p>
    <w:p w:rsidR="00CF6D54" w:rsidRPr="00CF6D54" w:rsidRDefault="00CF6D54" w:rsidP="00CF6D54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Tahoma" w:hAnsi="Tahoma" w:cs="Tahoma"/>
          <w:bCs/>
        </w:rPr>
      </w:pPr>
      <w:r w:rsidRPr="00CF6D54">
        <w:rPr>
          <w:rFonts w:ascii="Tahoma" w:hAnsi="Tahoma" w:cs="Tahoma"/>
          <w:bCs/>
        </w:rPr>
        <w:t xml:space="preserve">Potok izpod </w:t>
      </w:r>
      <w:proofErr w:type="spellStart"/>
      <w:r w:rsidRPr="00CF6D54">
        <w:rPr>
          <w:rFonts w:ascii="Tahoma" w:hAnsi="Tahoma" w:cs="Tahoma"/>
          <w:bCs/>
        </w:rPr>
        <w:t>Hudovnika</w:t>
      </w:r>
      <w:proofErr w:type="spellEnd"/>
      <w:r w:rsidRPr="00CF6D54">
        <w:rPr>
          <w:rFonts w:ascii="Tahoma" w:hAnsi="Tahoma" w:cs="Tahoma"/>
          <w:bCs/>
        </w:rPr>
        <w:t xml:space="preserve"> v Breznici (odstranitev obstoječega prepusta in vgradnja novega </w:t>
      </w:r>
      <w:r w:rsidRPr="00CF6D54">
        <w:rPr>
          <w:rFonts w:ascii="Tahoma" w:hAnsi="Tahoma" w:cs="Tahoma"/>
        </w:rPr>
        <w:t>AB škatlastega prepusta</w:t>
      </w:r>
      <w:r w:rsidRPr="00CF6D54">
        <w:rPr>
          <w:rFonts w:ascii="Tahoma" w:hAnsi="Tahoma" w:cs="Tahoma"/>
        </w:rPr>
        <w:t>)</w:t>
      </w:r>
    </w:p>
    <w:p w:rsidR="00CF6D54" w:rsidRPr="00CF6D54" w:rsidRDefault="00CF6D54" w:rsidP="00CF6D54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Tahoma" w:hAnsi="Tahoma" w:cs="Tahoma"/>
          <w:bCs/>
        </w:rPr>
      </w:pPr>
      <w:r w:rsidRPr="00CF6D54">
        <w:rPr>
          <w:rFonts w:ascii="Tahoma" w:hAnsi="Tahoma" w:cs="Tahoma"/>
          <w:bCs/>
        </w:rPr>
        <w:t xml:space="preserve">Potok izpod Suhega vrha </w:t>
      </w:r>
      <w:r w:rsidRPr="00CF6D54">
        <w:rPr>
          <w:rFonts w:ascii="Tahoma" w:hAnsi="Tahoma" w:cs="Tahoma"/>
          <w:bCs/>
        </w:rPr>
        <w:t>(</w:t>
      </w:r>
      <w:r w:rsidRPr="00CF6D54">
        <w:rPr>
          <w:rFonts w:ascii="Tahoma" w:hAnsi="Tahoma" w:cs="Tahoma"/>
          <w:bCs/>
        </w:rPr>
        <w:t>odstranitev</w:t>
      </w:r>
      <w:r w:rsidRPr="00CF6D54">
        <w:rPr>
          <w:rFonts w:ascii="Tahoma" w:hAnsi="Tahoma" w:cs="Tahoma"/>
          <w:bCs/>
        </w:rPr>
        <w:t xml:space="preserve"> obstoječega prepusta in vgradnja novega </w:t>
      </w:r>
      <w:r w:rsidRPr="00CF6D54">
        <w:rPr>
          <w:rFonts w:ascii="Tahoma" w:hAnsi="Tahoma" w:cs="Tahoma"/>
        </w:rPr>
        <w:t>AB škatlastega prepusta)</w:t>
      </w:r>
      <w:r w:rsidRPr="00CF6D54">
        <w:rPr>
          <w:rFonts w:ascii="Tahoma" w:hAnsi="Tahoma" w:cs="Tahoma"/>
        </w:rPr>
        <w:t>.</w:t>
      </w:r>
    </w:p>
    <w:p w:rsidR="009E2010" w:rsidRPr="00CF6D54" w:rsidRDefault="009E2010" w:rsidP="000829D9">
      <w:pPr>
        <w:spacing w:after="0" w:line="276" w:lineRule="auto"/>
        <w:rPr>
          <w:rFonts w:ascii="Tahoma" w:hAnsi="Tahoma" w:cs="Tahoma"/>
          <w:bCs/>
        </w:rPr>
      </w:pPr>
    </w:p>
    <w:p w:rsidR="00FA7D89" w:rsidRPr="00CF6D54" w:rsidRDefault="00306DF4" w:rsidP="00306DF4">
      <w:pPr>
        <w:pStyle w:val="Standard"/>
        <w:spacing w:line="276" w:lineRule="auto"/>
        <w:rPr>
          <w:rFonts w:ascii="Tahoma" w:hAnsi="Tahoma" w:cs="Tahoma"/>
          <w:szCs w:val="22"/>
        </w:rPr>
      </w:pPr>
      <w:r w:rsidRPr="00CF6D54">
        <w:rPr>
          <w:rFonts w:ascii="Tahoma" w:hAnsi="Tahoma" w:cs="Tahoma"/>
          <w:szCs w:val="22"/>
        </w:rPr>
        <w:t xml:space="preserve">Ocenjena vrednost investicije v stalnih cenah znaša 512.371,03 EUR brez DDV oziroma 625.092,66 EUR z DDV. </w:t>
      </w:r>
      <w:r w:rsidR="00FA7D89" w:rsidRPr="00CF6D54">
        <w:rPr>
          <w:rFonts w:ascii="Tahoma" w:hAnsi="Tahoma" w:cs="Tahoma"/>
          <w:szCs w:val="22"/>
        </w:rPr>
        <w:t>Operacija bo financirana iz dveh virov, občinskega proračuna in Ministrstva za okolje in prostor.</w:t>
      </w:r>
    </w:p>
    <w:p w:rsidR="00FA7D89" w:rsidRDefault="00FA7D89" w:rsidP="00306DF4">
      <w:pPr>
        <w:pStyle w:val="Standard"/>
        <w:spacing w:line="276" w:lineRule="auto"/>
        <w:rPr>
          <w:rFonts w:cs="Calibri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8"/>
        <w:gridCol w:w="1922"/>
        <w:gridCol w:w="1921"/>
        <w:gridCol w:w="1671"/>
      </w:tblGrid>
      <w:tr w:rsidR="00306DF4" w:rsidRPr="002B1B32" w:rsidTr="005D0A77">
        <w:trPr>
          <w:trHeight w:val="300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06DF4" w:rsidRPr="002B1B32" w:rsidRDefault="00306DF4" w:rsidP="00306DF4">
            <w:pPr>
              <w:spacing w:after="0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2B1B32">
              <w:rPr>
                <w:rFonts w:cs="Calibri"/>
                <w:b/>
                <w:bCs/>
                <w:color w:val="FFFFFF"/>
                <w:sz w:val="20"/>
                <w:szCs w:val="20"/>
              </w:rPr>
              <w:t>Viri financiranja (skupaj)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06DF4" w:rsidRPr="002B1B32" w:rsidRDefault="00306DF4" w:rsidP="00306DF4">
            <w:pPr>
              <w:spacing w:after="0"/>
              <w:jc w:val="right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2B1B32">
              <w:rPr>
                <w:rFonts w:cs="Calibri"/>
                <w:b/>
                <w:bCs/>
                <w:color w:val="FFFFFF"/>
                <w:sz w:val="20"/>
                <w:szCs w:val="20"/>
              </w:rPr>
              <w:t>2020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06DF4" w:rsidRPr="002B1B32" w:rsidRDefault="00306DF4" w:rsidP="00306DF4">
            <w:pPr>
              <w:spacing w:after="0"/>
              <w:jc w:val="right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2B1B32">
              <w:rPr>
                <w:rFonts w:cs="Calibri"/>
                <w:b/>
                <w:bCs/>
                <w:color w:val="FFFFFF"/>
                <w:sz w:val="20"/>
                <w:szCs w:val="20"/>
              </w:rPr>
              <w:t>Skupaj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06DF4" w:rsidRPr="002B1B32" w:rsidRDefault="00306DF4" w:rsidP="00306DF4">
            <w:pPr>
              <w:spacing w:after="0"/>
              <w:jc w:val="right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2B1B32">
              <w:rPr>
                <w:rFonts w:cs="Calibri"/>
                <w:b/>
                <w:bCs/>
                <w:color w:val="FFFFFF"/>
                <w:sz w:val="20"/>
                <w:szCs w:val="20"/>
              </w:rPr>
              <w:t>Delež</w:t>
            </w:r>
          </w:p>
        </w:tc>
      </w:tr>
      <w:tr w:rsidR="00306DF4" w:rsidRPr="002B1B32" w:rsidTr="005D0A77">
        <w:trPr>
          <w:trHeight w:val="300"/>
        </w:trPr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F4" w:rsidRPr="002B1B32" w:rsidRDefault="00306DF4" w:rsidP="00306DF4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2B1B32">
              <w:rPr>
                <w:rFonts w:cs="Calibri"/>
                <w:b/>
                <w:bCs/>
                <w:sz w:val="20"/>
                <w:szCs w:val="20"/>
              </w:rPr>
              <w:t>MOP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F4" w:rsidRPr="002B1B32" w:rsidRDefault="00306DF4" w:rsidP="00306DF4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2B1B32">
              <w:rPr>
                <w:rFonts w:cs="Calibri"/>
                <w:sz w:val="20"/>
                <w:szCs w:val="20"/>
              </w:rPr>
              <w:t>505.622,53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F4" w:rsidRPr="002B1B32" w:rsidRDefault="00306DF4" w:rsidP="00306DF4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2B1B32">
              <w:rPr>
                <w:rFonts w:cs="Calibri"/>
                <w:sz w:val="20"/>
                <w:szCs w:val="20"/>
              </w:rPr>
              <w:t>505.622,53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F4" w:rsidRPr="002B1B32" w:rsidRDefault="00306DF4" w:rsidP="00306DF4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2B1B32">
              <w:rPr>
                <w:rFonts w:cs="Calibri"/>
                <w:sz w:val="20"/>
                <w:szCs w:val="20"/>
              </w:rPr>
              <w:t>80,89%</w:t>
            </w:r>
          </w:p>
        </w:tc>
      </w:tr>
      <w:tr w:rsidR="00306DF4" w:rsidRPr="002B1B32" w:rsidTr="005D0A77">
        <w:trPr>
          <w:trHeight w:val="300"/>
        </w:trPr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F4" w:rsidRPr="002B1B32" w:rsidRDefault="00306DF4" w:rsidP="00306DF4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2B1B32">
              <w:rPr>
                <w:rFonts w:cs="Calibri"/>
                <w:b/>
                <w:bCs/>
                <w:sz w:val="20"/>
                <w:szCs w:val="20"/>
              </w:rPr>
              <w:t>Občinski proračun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F4" w:rsidRPr="002B1B32" w:rsidRDefault="00306DF4" w:rsidP="00306DF4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2B1B32">
              <w:rPr>
                <w:rFonts w:cs="Calibri"/>
                <w:sz w:val="20"/>
                <w:szCs w:val="20"/>
              </w:rPr>
              <w:t>119.470,13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F4" w:rsidRPr="002B1B32" w:rsidRDefault="00306DF4" w:rsidP="00306DF4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2B1B32">
              <w:rPr>
                <w:rFonts w:cs="Calibri"/>
                <w:sz w:val="20"/>
                <w:szCs w:val="20"/>
              </w:rPr>
              <w:t>119.470,13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F4" w:rsidRPr="002B1B32" w:rsidRDefault="00306DF4" w:rsidP="00306DF4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2B1B32">
              <w:rPr>
                <w:rFonts w:cs="Calibri"/>
                <w:sz w:val="20"/>
                <w:szCs w:val="20"/>
              </w:rPr>
              <w:t>19,11%</w:t>
            </w:r>
          </w:p>
        </w:tc>
      </w:tr>
      <w:tr w:rsidR="00306DF4" w:rsidRPr="002B1B32" w:rsidTr="005D0A77">
        <w:trPr>
          <w:trHeight w:val="300"/>
        </w:trPr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06DF4" w:rsidRPr="002B1B32" w:rsidRDefault="00306DF4" w:rsidP="00306DF4">
            <w:pPr>
              <w:spacing w:after="0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2B1B32">
              <w:rPr>
                <w:rFonts w:cs="Calibri"/>
                <w:b/>
                <w:bCs/>
                <w:color w:val="FFFFFF"/>
                <w:sz w:val="20"/>
                <w:szCs w:val="20"/>
              </w:rPr>
              <w:t>Skupaj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06DF4" w:rsidRPr="002B1B32" w:rsidRDefault="00306DF4" w:rsidP="00306DF4">
            <w:pPr>
              <w:spacing w:after="0"/>
              <w:jc w:val="right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2B1B32">
              <w:rPr>
                <w:rFonts w:cs="Calibri"/>
                <w:b/>
                <w:bCs/>
                <w:color w:val="FFFFFF"/>
                <w:sz w:val="20"/>
                <w:szCs w:val="20"/>
              </w:rPr>
              <w:t>625.092,66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06DF4" w:rsidRPr="002B1B32" w:rsidRDefault="00306DF4" w:rsidP="00306DF4">
            <w:pPr>
              <w:spacing w:after="0"/>
              <w:jc w:val="right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2B1B32">
              <w:rPr>
                <w:rFonts w:cs="Calibri"/>
                <w:b/>
                <w:bCs/>
                <w:color w:val="FFFFFF"/>
                <w:sz w:val="20"/>
                <w:szCs w:val="20"/>
              </w:rPr>
              <w:t>625.092,66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306DF4" w:rsidRPr="002B1B32" w:rsidRDefault="00306DF4" w:rsidP="00306DF4">
            <w:pPr>
              <w:spacing w:after="0"/>
              <w:jc w:val="right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2B1B32">
              <w:rPr>
                <w:rFonts w:cs="Calibri"/>
                <w:b/>
                <w:bCs/>
                <w:color w:val="FFFFFF"/>
                <w:sz w:val="20"/>
                <w:szCs w:val="20"/>
              </w:rPr>
              <w:t>100,00</w:t>
            </w:r>
          </w:p>
        </w:tc>
      </w:tr>
    </w:tbl>
    <w:p w:rsidR="00FA7D89" w:rsidRDefault="00FA7D89" w:rsidP="00306DF4">
      <w:pPr>
        <w:pStyle w:val="Standard"/>
        <w:rPr>
          <w:rFonts w:cs="Calibri"/>
        </w:rPr>
      </w:pPr>
    </w:p>
    <w:p w:rsidR="00306DF4" w:rsidRPr="00D66153" w:rsidRDefault="00306DF4" w:rsidP="00306DF4">
      <w:pPr>
        <w:pStyle w:val="Standard"/>
        <w:rPr>
          <w:rFonts w:cs="Calibri"/>
        </w:rPr>
      </w:pPr>
    </w:p>
    <w:p w:rsidR="00FA7D89" w:rsidRPr="00FA7D89" w:rsidRDefault="00FA7D89" w:rsidP="00306DF4">
      <w:pPr>
        <w:spacing w:after="0" w:line="276" w:lineRule="auto"/>
        <w:rPr>
          <w:rFonts w:ascii="Tahoma" w:hAnsi="Tahoma" w:cs="Tahoma"/>
          <w:iCs/>
        </w:rPr>
      </w:pPr>
      <w:bookmarkStart w:id="0" w:name="_Toc37408771"/>
      <w:bookmarkStart w:id="1" w:name="_Toc40098389"/>
      <w:r w:rsidRPr="00FA7D89">
        <w:rPr>
          <w:rFonts w:ascii="Tahoma" w:hAnsi="Tahoma" w:cs="Tahoma"/>
          <w:iCs/>
        </w:rPr>
        <w:t>Terminski načrt investicije</w:t>
      </w:r>
      <w:bookmarkEnd w:id="0"/>
      <w:bookmarkEnd w:id="1"/>
      <w:r w:rsidRPr="00FA7D89">
        <w:rPr>
          <w:rFonts w:ascii="Tahoma" w:hAnsi="Tahoma" w:cs="Tahoma"/>
          <w:iCs/>
        </w:rPr>
        <w:t xml:space="preserve"> </w:t>
      </w:r>
    </w:p>
    <w:tbl>
      <w:tblPr>
        <w:tblW w:w="92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242"/>
        <w:gridCol w:w="242"/>
        <w:gridCol w:w="320"/>
        <w:gridCol w:w="320"/>
        <w:gridCol w:w="320"/>
        <w:gridCol w:w="320"/>
        <w:gridCol w:w="320"/>
        <w:gridCol w:w="320"/>
        <w:gridCol w:w="320"/>
        <w:gridCol w:w="343"/>
      </w:tblGrid>
      <w:tr w:rsidR="00306DF4" w:rsidRPr="00E20022" w:rsidTr="005D0A77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FFFFFF"/>
                <w:sz w:val="20"/>
                <w:szCs w:val="20"/>
              </w:rPr>
              <w:t>Aktivnosti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FFFFFF"/>
                <w:sz w:val="20"/>
                <w:szCs w:val="20"/>
              </w:rPr>
              <w:t>2020</w:t>
            </w:r>
          </w:p>
        </w:tc>
      </w:tr>
      <w:tr w:rsidR="00306DF4" w:rsidRPr="00E20022" w:rsidTr="005D0A77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FFFFFF"/>
                <w:sz w:val="20"/>
                <w:szCs w:val="20"/>
              </w:rPr>
              <w:t>Meseci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E20022">
              <w:rPr>
                <w:rFonts w:cs="Calibri"/>
                <w:color w:val="FFFFFF"/>
                <w:sz w:val="20"/>
                <w:szCs w:val="20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E20022">
              <w:rPr>
                <w:rFonts w:cs="Calibri"/>
                <w:color w:val="FFFFFF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E20022">
              <w:rPr>
                <w:rFonts w:cs="Calibri"/>
                <w:color w:val="FFFFFF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E20022">
              <w:rPr>
                <w:rFonts w:cs="Calibri"/>
                <w:color w:val="FFFFFF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E20022">
              <w:rPr>
                <w:rFonts w:cs="Calibri"/>
                <w:color w:val="FFFFFF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E20022">
              <w:rPr>
                <w:rFonts w:cs="Calibri"/>
                <w:color w:val="FFFFFF"/>
                <w:sz w:val="20"/>
                <w:szCs w:val="20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E20022">
              <w:rPr>
                <w:rFonts w:cs="Calibri"/>
                <w:color w:val="FFFFFF"/>
                <w:sz w:val="20"/>
                <w:szCs w:val="20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E20022">
              <w:rPr>
                <w:rFonts w:cs="Calibri"/>
                <w:color w:val="FFFFFF"/>
                <w:sz w:val="20"/>
                <w:szCs w:val="20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E20022">
              <w:rPr>
                <w:rFonts w:cs="Calibri"/>
                <w:color w:val="FFFFFF"/>
                <w:sz w:val="20"/>
                <w:szCs w:val="20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E20022">
              <w:rPr>
                <w:rFonts w:cs="Calibri"/>
                <w:color w:val="FFFFFF"/>
                <w:sz w:val="20"/>
                <w:szCs w:val="20"/>
              </w:rPr>
              <w:t>10</w:t>
            </w:r>
          </w:p>
        </w:tc>
      </w:tr>
      <w:tr w:rsidR="00306DF4" w:rsidRPr="00E20022" w:rsidTr="005D0A77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F4" w:rsidRPr="00E20022" w:rsidRDefault="00306DF4" w:rsidP="00306DF4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color w:val="000000"/>
                <w:sz w:val="20"/>
                <w:szCs w:val="20"/>
              </w:rPr>
              <w:t xml:space="preserve">PZI  št. 01/2020 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E20022">
              <w:rPr>
                <w:rFonts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E20022">
              <w:rPr>
                <w:rFonts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E20022">
              <w:rPr>
                <w:rFonts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E20022">
              <w:rPr>
                <w:rFonts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E20022">
              <w:rPr>
                <w:rFonts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E20022">
              <w:rPr>
                <w:rFonts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E20022">
              <w:rPr>
                <w:rFonts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E20022">
              <w:rPr>
                <w:rFonts w:cs="Calibri"/>
                <w:color w:val="FFFFFF"/>
                <w:sz w:val="20"/>
                <w:szCs w:val="20"/>
              </w:rPr>
              <w:t> </w:t>
            </w:r>
          </w:p>
        </w:tc>
      </w:tr>
      <w:tr w:rsidR="00306DF4" w:rsidRPr="00E20022" w:rsidTr="005D0A77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F4" w:rsidRPr="00E20022" w:rsidRDefault="00306DF4" w:rsidP="00306DF4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color w:val="000000"/>
                <w:sz w:val="20"/>
                <w:szCs w:val="20"/>
              </w:rPr>
              <w:t xml:space="preserve">Predračun in rekapitulacija za sanacijo plazov in  nestabilnega terena  ceste 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F4" w:rsidRPr="00E20022" w:rsidRDefault="00306DF4" w:rsidP="00306DF4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F4" w:rsidRPr="00E20022" w:rsidRDefault="00306DF4" w:rsidP="00306DF4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6DF4" w:rsidRPr="00E20022" w:rsidRDefault="00306DF4" w:rsidP="00306DF4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F4" w:rsidRPr="00E20022" w:rsidRDefault="00306DF4" w:rsidP="00306DF4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F4" w:rsidRPr="00E20022" w:rsidRDefault="00306DF4" w:rsidP="00306DF4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F4" w:rsidRPr="00E20022" w:rsidRDefault="00306DF4" w:rsidP="00306DF4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F4" w:rsidRPr="00E20022" w:rsidRDefault="00306DF4" w:rsidP="00306DF4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F4" w:rsidRPr="00E20022" w:rsidRDefault="00306DF4" w:rsidP="00306DF4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306DF4" w:rsidRPr="00E20022" w:rsidTr="005D0A77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color w:val="000000"/>
                <w:sz w:val="20"/>
                <w:szCs w:val="20"/>
              </w:rPr>
              <w:t>Investicijska dokumentacija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06DF4" w:rsidRPr="00E20022" w:rsidTr="005D0A77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color w:val="000000"/>
                <w:sz w:val="20"/>
                <w:szCs w:val="20"/>
              </w:rPr>
              <w:t>Priprava in izvedba javnega razpisa za izvedbo del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06DF4" w:rsidRPr="00E20022" w:rsidTr="005D0A77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color w:val="000000"/>
                <w:sz w:val="20"/>
                <w:szCs w:val="20"/>
              </w:rPr>
              <w:t>Izvedbena dela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06DF4" w:rsidRPr="00E20022" w:rsidTr="005D0A77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C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C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C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306DF4" w:rsidRPr="00E20022" w:rsidTr="005D0A77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color w:val="000000"/>
                <w:sz w:val="20"/>
                <w:szCs w:val="20"/>
              </w:rPr>
              <w:t>Nadzor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C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C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C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C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C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C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306DF4" w:rsidRPr="00E20022" w:rsidTr="005D0A77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color w:val="000000"/>
                <w:sz w:val="20"/>
                <w:szCs w:val="20"/>
              </w:rPr>
              <w:t>Tehnični pregled in primopredaja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C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C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C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C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C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C00000"/>
                <w:sz w:val="20"/>
                <w:szCs w:val="20"/>
              </w:rPr>
            </w:pPr>
            <w:r w:rsidRPr="00E20022">
              <w:rPr>
                <w:rFonts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306DF4" w:rsidRPr="00E20022" w:rsidTr="005D0A77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20022">
              <w:rPr>
                <w:rFonts w:cs="Calibri"/>
                <w:color w:val="000000"/>
                <w:sz w:val="20"/>
                <w:szCs w:val="20"/>
              </w:rPr>
              <w:t>Zahtevek za izplačilo nepovratnih sredstev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06DF4" w:rsidRPr="00E20022" w:rsidRDefault="00306DF4" w:rsidP="00306DF4">
            <w:pPr>
              <w:spacing w:after="0"/>
              <w:jc w:val="center"/>
              <w:rPr>
                <w:rFonts w:cs="Calibri"/>
                <w:b/>
                <w:bCs/>
                <w:color w:val="C00000"/>
                <w:sz w:val="20"/>
                <w:szCs w:val="20"/>
              </w:rPr>
            </w:pPr>
          </w:p>
        </w:tc>
      </w:tr>
    </w:tbl>
    <w:p w:rsidR="00FA7D89" w:rsidRDefault="00FA7D89" w:rsidP="00306DF4">
      <w:pPr>
        <w:spacing w:after="0" w:line="276" w:lineRule="auto"/>
        <w:rPr>
          <w:rFonts w:ascii="Tahoma" w:hAnsi="Tahoma" w:cs="Tahoma"/>
          <w:bCs/>
        </w:rPr>
      </w:pPr>
    </w:p>
    <w:p w:rsidR="00FA7D89" w:rsidRPr="00FA7D89" w:rsidRDefault="00FA7D89" w:rsidP="00306DF4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</w:rPr>
      </w:pPr>
      <w:r w:rsidRPr="00FA7D89">
        <w:rPr>
          <w:rFonts w:ascii="Tahoma" w:hAnsi="Tahoma" w:cs="Tahoma"/>
          <w:color w:val="000000"/>
        </w:rPr>
        <w:t xml:space="preserve">Občina Prevalje bo pristopila k izvedbi projekta samo ob pogoju, da bo pridobila </w:t>
      </w:r>
      <w:proofErr w:type="spellStart"/>
      <w:r w:rsidRPr="00FA7D89">
        <w:rPr>
          <w:rFonts w:ascii="Tahoma" w:hAnsi="Tahoma" w:cs="Tahoma"/>
          <w:color w:val="000000"/>
        </w:rPr>
        <w:t>sofinancerska</w:t>
      </w:r>
      <w:proofErr w:type="spellEnd"/>
      <w:r w:rsidRPr="00FA7D89">
        <w:rPr>
          <w:rFonts w:ascii="Tahoma" w:hAnsi="Tahoma" w:cs="Tahoma"/>
          <w:color w:val="000000"/>
        </w:rPr>
        <w:t xml:space="preserve"> sredstva s strani Republike Slovenije, Ministrstva za okolje in prostor, Dunajska cesta 48, 1000 Ljubljana. </w:t>
      </w:r>
    </w:p>
    <w:p w:rsidR="00FA7D89" w:rsidRPr="00FA7D89" w:rsidRDefault="00FA7D89" w:rsidP="00FA7D89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</w:rPr>
      </w:pPr>
    </w:p>
    <w:sectPr w:rsidR="00FA7D89" w:rsidRPr="00FA7D89" w:rsidSect="00395BE6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49B7"/>
    <w:multiLevelType w:val="hybridMultilevel"/>
    <w:tmpl w:val="88D039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0697"/>
    <w:multiLevelType w:val="hybridMultilevel"/>
    <w:tmpl w:val="280256DE"/>
    <w:lvl w:ilvl="0" w:tplc="DDA0F50A">
      <w:start w:val="62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947B5"/>
    <w:multiLevelType w:val="hybridMultilevel"/>
    <w:tmpl w:val="676C2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F7059"/>
    <w:multiLevelType w:val="hybridMultilevel"/>
    <w:tmpl w:val="BB820214"/>
    <w:lvl w:ilvl="0" w:tplc="CAD2998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933E3"/>
    <w:multiLevelType w:val="hybridMultilevel"/>
    <w:tmpl w:val="7C5E89E0"/>
    <w:lvl w:ilvl="0" w:tplc="8280ED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63F8"/>
    <w:multiLevelType w:val="hybridMultilevel"/>
    <w:tmpl w:val="B87AA070"/>
    <w:lvl w:ilvl="0" w:tplc="0424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" w15:restartNumberingAfterBreak="0">
    <w:nsid w:val="76C77206"/>
    <w:multiLevelType w:val="hybridMultilevel"/>
    <w:tmpl w:val="E91A26E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126A9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D8741F"/>
    <w:multiLevelType w:val="hybridMultilevel"/>
    <w:tmpl w:val="D9285F2C"/>
    <w:lvl w:ilvl="0" w:tplc="0F1E5A0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CEE"/>
    <w:rsid w:val="000829D9"/>
    <w:rsid w:val="000A2700"/>
    <w:rsid w:val="000D22D3"/>
    <w:rsid w:val="001A4B0F"/>
    <w:rsid w:val="001D6742"/>
    <w:rsid w:val="00244425"/>
    <w:rsid w:val="00291E65"/>
    <w:rsid w:val="00306DF4"/>
    <w:rsid w:val="00395BE6"/>
    <w:rsid w:val="003E443E"/>
    <w:rsid w:val="003F2100"/>
    <w:rsid w:val="00432F3E"/>
    <w:rsid w:val="004E6B4E"/>
    <w:rsid w:val="00557312"/>
    <w:rsid w:val="00685103"/>
    <w:rsid w:val="00762757"/>
    <w:rsid w:val="009251C3"/>
    <w:rsid w:val="009E2010"/>
    <w:rsid w:val="00A51191"/>
    <w:rsid w:val="00A72391"/>
    <w:rsid w:val="00AD2D8D"/>
    <w:rsid w:val="00AE460D"/>
    <w:rsid w:val="00B5493B"/>
    <w:rsid w:val="00B67F43"/>
    <w:rsid w:val="00B77E82"/>
    <w:rsid w:val="00BA4230"/>
    <w:rsid w:val="00BB13A6"/>
    <w:rsid w:val="00BC3053"/>
    <w:rsid w:val="00BC48E7"/>
    <w:rsid w:val="00BC7DBF"/>
    <w:rsid w:val="00BE2CEE"/>
    <w:rsid w:val="00C94B2B"/>
    <w:rsid w:val="00CF6D54"/>
    <w:rsid w:val="00D17AD6"/>
    <w:rsid w:val="00DD2659"/>
    <w:rsid w:val="00E2604D"/>
    <w:rsid w:val="00E34073"/>
    <w:rsid w:val="00F90E12"/>
    <w:rsid w:val="00FA7D89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A3D9"/>
  <w15:chartTrackingRefBased/>
  <w15:docId w15:val="{3EC500F5-D0C4-4E57-81F6-4B176520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4poudarek1">
    <w:name w:val="Grid Table 4 Accent 1"/>
    <w:basedOn w:val="Navadnatabela"/>
    <w:uiPriority w:val="49"/>
    <w:rsid w:val="00BE2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vetlamrea2poudarek1">
    <w:name w:val="Grid Table 2 Accent 1"/>
    <w:basedOn w:val="Navadnatabela"/>
    <w:uiPriority w:val="47"/>
    <w:rsid w:val="00BE2CE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mrea4poudarek5">
    <w:name w:val="Grid Table 4 Accent 5"/>
    <w:basedOn w:val="Navadnatabela"/>
    <w:uiPriority w:val="49"/>
    <w:rsid w:val="00BE2CE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Odstavekseznama">
    <w:name w:val="List Paragraph"/>
    <w:basedOn w:val="Navaden"/>
    <w:uiPriority w:val="34"/>
    <w:qFormat/>
    <w:rsid w:val="00BE2CEE"/>
    <w:pPr>
      <w:ind w:left="720"/>
      <w:contextualSpacing/>
    </w:pPr>
  </w:style>
  <w:style w:type="paragraph" w:customStyle="1" w:styleId="Default">
    <w:name w:val="Default"/>
    <w:basedOn w:val="Navaden"/>
    <w:rsid w:val="00BE2CE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FA7D89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Racunalnik Racunalnik</dc:creator>
  <cp:keywords/>
  <dc:description/>
  <cp:lastModifiedBy>Lavra</cp:lastModifiedBy>
  <cp:revision>10</cp:revision>
  <cp:lastPrinted>2019-01-31T12:52:00Z</cp:lastPrinted>
  <dcterms:created xsi:type="dcterms:W3CDTF">2019-01-16T11:08:00Z</dcterms:created>
  <dcterms:modified xsi:type="dcterms:W3CDTF">2020-05-13T10:18:00Z</dcterms:modified>
</cp:coreProperties>
</file>