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2010" w:rsidRPr="009E2010" w:rsidRDefault="00395BE6" w:rsidP="00FA7D89">
      <w:pPr>
        <w:spacing w:after="0" w:line="288" w:lineRule="auto"/>
        <w:rPr>
          <w:rFonts w:ascii="Tahoma" w:hAnsi="Tahoma" w:cs="Tahoma"/>
          <w:b/>
        </w:rPr>
      </w:pPr>
      <w:r w:rsidRPr="009E2010">
        <w:rPr>
          <w:rFonts w:ascii="Tahoma" w:hAnsi="Tahoma" w:cs="Tahoma"/>
          <w:b/>
        </w:rPr>
        <w:t>Povzetek projekta:</w:t>
      </w:r>
    </w:p>
    <w:p w:rsidR="009E2010" w:rsidRPr="009E2010" w:rsidRDefault="009E2010" w:rsidP="00FA7D89">
      <w:pPr>
        <w:spacing w:after="0" w:line="288" w:lineRule="auto"/>
        <w:jc w:val="center"/>
        <w:rPr>
          <w:rFonts w:ascii="Tahoma" w:hAnsi="Tahoma" w:cs="Tahoma"/>
          <w:b/>
          <w:sz w:val="28"/>
          <w:szCs w:val="28"/>
        </w:rPr>
      </w:pPr>
      <w:r w:rsidRPr="009E2010">
        <w:rPr>
          <w:rFonts w:ascii="Tahoma" w:hAnsi="Tahoma" w:cs="Tahoma"/>
          <w:b/>
          <w:sz w:val="28"/>
          <w:szCs w:val="28"/>
        </w:rPr>
        <w:t>Plazovi na cesti LC 350 351 Žagarjev mlin - Kot - Leše; ID iz AJDE: 1152779, faza I.</w:t>
      </w:r>
    </w:p>
    <w:p w:rsidR="009E2010" w:rsidRPr="009E2010" w:rsidRDefault="009E2010" w:rsidP="000829D9">
      <w:pPr>
        <w:spacing w:after="0" w:line="276" w:lineRule="auto"/>
        <w:rPr>
          <w:rFonts w:ascii="Tahoma" w:hAnsi="Tahoma" w:cs="Tahoma"/>
          <w:bCs/>
        </w:rPr>
      </w:pPr>
    </w:p>
    <w:p w:rsidR="009E2010" w:rsidRPr="00FA7D89" w:rsidRDefault="009E2010" w:rsidP="000829D9">
      <w:pPr>
        <w:spacing w:after="0" w:line="276" w:lineRule="auto"/>
        <w:jc w:val="both"/>
        <w:rPr>
          <w:rFonts w:ascii="Tahoma" w:hAnsi="Tahoma" w:cs="Tahoma"/>
          <w:bCs/>
        </w:rPr>
      </w:pPr>
      <w:r w:rsidRPr="00FA7D89">
        <w:rPr>
          <w:rFonts w:ascii="Tahoma" w:hAnsi="Tahoma" w:cs="Tahoma"/>
          <w:bCs/>
        </w:rPr>
        <w:t>Obravnavan projekt skuša izboljšati območje ceste LC 350 351 Žagarjev mlin – Kot – Leše v dolžini 1.612 m</w:t>
      </w:r>
      <w:r w:rsidR="00AD2D8D">
        <w:rPr>
          <w:rFonts w:ascii="Tahoma" w:hAnsi="Tahoma" w:cs="Tahoma"/>
          <w:bCs/>
        </w:rPr>
        <w:t>, in sicer od zaključka obstoječega asfalta do Jugovega križišča.</w:t>
      </w:r>
      <w:r w:rsidRPr="00FA7D89">
        <w:rPr>
          <w:rFonts w:ascii="Tahoma" w:hAnsi="Tahoma" w:cs="Tahoma"/>
          <w:bCs/>
        </w:rPr>
        <w:t xml:space="preserve"> Na tej cesti so vidne deformacije cestišča, kot so različna širina cestišča na različnih koncih cestišča, odtekanje vode, nastajanje močvirja in drsenje tal zaradi naravnega jarka, gubanje ceste in druge posledice plazov.</w:t>
      </w:r>
      <w:r w:rsidR="00FA7D89" w:rsidRPr="00FA7D89">
        <w:rPr>
          <w:rFonts w:ascii="Tahoma" w:hAnsi="Tahoma" w:cs="Tahoma"/>
          <w:bCs/>
        </w:rPr>
        <w:t xml:space="preserve"> </w:t>
      </w:r>
      <w:r w:rsidRPr="00FA7D89">
        <w:rPr>
          <w:rFonts w:ascii="Tahoma" w:hAnsi="Tahoma" w:cs="Tahoma"/>
          <w:bCs/>
        </w:rPr>
        <w:t>Prenova bo zajemala pripravljalna dela, zemeljska dela, voziščne konstrukcije, odvodnjavanje, gradbena in obrtniška dela, oprema ceste, tuje storitve, kot so izdelava projekta PID, in geomehanski nadzor, ter razna manjša nepredvidena dela.</w:t>
      </w:r>
      <w:r w:rsidR="00FA7D89" w:rsidRPr="00FA7D89">
        <w:rPr>
          <w:rFonts w:ascii="Tahoma" w:hAnsi="Tahoma" w:cs="Tahoma"/>
          <w:bCs/>
        </w:rPr>
        <w:t xml:space="preserve"> </w:t>
      </w:r>
    </w:p>
    <w:p w:rsidR="00FA7D89" w:rsidRPr="00FA7D89" w:rsidRDefault="00FA7D89" w:rsidP="000829D9">
      <w:pPr>
        <w:autoSpaceDE w:val="0"/>
        <w:autoSpaceDN w:val="0"/>
        <w:adjustRightInd w:val="0"/>
        <w:spacing w:after="0" w:line="276" w:lineRule="auto"/>
        <w:jc w:val="both"/>
        <w:rPr>
          <w:rFonts w:ascii="Tahoma" w:hAnsi="Tahoma" w:cs="Tahoma"/>
          <w:color w:val="000000"/>
        </w:rPr>
      </w:pPr>
      <w:r w:rsidRPr="00FA7D89">
        <w:rPr>
          <w:rFonts w:ascii="Tahoma" w:hAnsi="Tahoma" w:cs="Tahoma"/>
          <w:color w:val="000000"/>
        </w:rPr>
        <w:t xml:space="preserve">Karakteristični profili ceste so naslednji: </w:t>
      </w:r>
    </w:p>
    <w:p w:rsidR="00FA7D89" w:rsidRPr="00FA7D89" w:rsidRDefault="00FA7D89" w:rsidP="000829D9">
      <w:pPr>
        <w:pStyle w:val="Odstavekseznama"/>
        <w:numPr>
          <w:ilvl w:val="0"/>
          <w:numId w:val="7"/>
        </w:numPr>
        <w:autoSpaceDE w:val="0"/>
        <w:autoSpaceDN w:val="0"/>
        <w:adjustRightInd w:val="0"/>
        <w:spacing w:after="0" w:line="276" w:lineRule="auto"/>
        <w:jc w:val="both"/>
        <w:rPr>
          <w:rFonts w:ascii="Tahoma" w:hAnsi="Tahoma" w:cs="Tahoma"/>
          <w:color w:val="000000"/>
        </w:rPr>
      </w:pPr>
      <w:r w:rsidRPr="00FA7D89">
        <w:rPr>
          <w:rFonts w:ascii="Tahoma" w:hAnsi="Tahoma" w:cs="Tahoma"/>
          <w:color w:val="000000"/>
        </w:rPr>
        <w:t xml:space="preserve">bankina 0,50 m </w:t>
      </w:r>
    </w:p>
    <w:p w:rsidR="00FA7D89" w:rsidRPr="00FA7D89" w:rsidRDefault="00FA7D89" w:rsidP="000829D9">
      <w:pPr>
        <w:pStyle w:val="Odstavekseznama"/>
        <w:numPr>
          <w:ilvl w:val="0"/>
          <w:numId w:val="7"/>
        </w:numPr>
        <w:autoSpaceDE w:val="0"/>
        <w:autoSpaceDN w:val="0"/>
        <w:adjustRightInd w:val="0"/>
        <w:spacing w:after="0" w:line="276" w:lineRule="auto"/>
        <w:jc w:val="both"/>
        <w:rPr>
          <w:rFonts w:ascii="Tahoma" w:hAnsi="Tahoma" w:cs="Tahoma"/>
          <w:color w:val="000000"/>
        </w:rPr>
      </w:pPr>
      <w:r w:rsidRPr="00FA7D89">
        <w:rPr>
          <w:rFonts w:ascii="Tahoma" w:hAnsi="Tahoma" w:cs="Tahoma"/>
          <w:color w:val="000000"/>
        </w:rPr>
        <w:t xml:space="preserve">asfaltna mulda z drenažo 0,50 m </w:t>
      </w:r>
    </w:p>
    <w:p w:rsidR="00FA7D89" w:rsidRPr="00FA7D89" w:rsidRDefault="00FA7D89" w:rsidP="000829D9">
      <w:pPr>
        <w:pStyle w:val="Odstavekseznama"/>
        <w:numPr>
          <w:ilvl w:val="0"/>
          <w:numId w:val="7"/>
        </w:numPr>
        <w:autoSpaceDE w:val="0"/>
        <w:autoSpaceDN w:val="0"/>
        <w:adjustRightInd w:val="0"/>
        <w:spacing w:after="0" w:line="276" w:lineRule="auto"/>
        <w:jc w:val="both"/>
        <w:rPr>
          <w:rFonts w:ascii="Tahoma" w:hAnsi="Tahoma" w:cs="Tahoma"/>
          <w:color w:val="000000"/>
        </w:rPr>
      </w:pPr>
      <w:r w:rsidRPr="00FA7D89">
        <w:rPr>
          <w:rFonts w:ascii="Tahoma" w:hAnsi="Tahoma" w:cs="Tahoma"/>
          <w:color w:val="000000"/>
        </w:rPr>
        <w:t xml:space="preserve">dvosmerno vozišče 4,20 m – 5,0 m </w:t>
      </w:r>
    </w:p>
    <w:p w:rsidR="00FA7D89" w:rsidRPr="00FA7D89" w:rsidRDefault="00FA7D89" w:rsidP="000829D9">
      <w:pPr>
        <w:pStyle w:val="Odstavekseznama"/>
        <w:numPr>
          <w:ilvl w:val="0"/>
          <w:numId w:val="7"/>
        </w:numPr>
        <w:autoSpaceDE w:val="0"/>
        <w:autoSpaceDN w:val="0"/>
        <w:adjustRightInd w:val="0"/>
        <w:spacing w:after="0" w:line="276" w:lineRule="auto"/>
        <w:jc w:val="both"/>
        <w:rPr>
          <w:rFonts w:ascii="Tahoma" w:hAnsi="Tahoma" w:cs="Tahoma"/>
          <w:color w:val="000000"/>
        </w:rPr>
      </w:pPr>
      <w:r w:rsidRPr="00FA7D89">
        <w:rPr>
          <w:rFonts w:ascii="Tahoma" w:hAnsi="Tahoma" w:cs="Tahoma"/>
          <w:color w:val="000000"/>
        </w:rPr>
        <w:t xml:space="preserve">bankina 0,50 m </w:t>
      </w:r>
    </w:p>
    <w:p w:rsidR="00FA7D89" w:rsidRPr="00FA7D89" w:rsidRDefault="000829D9" w:rsidP="000829D9">
      <w:pPr>
        <w:spacing w:after="0" w:line="276" w:lineRule="auto"/>
        <w:jc w:val="both"/>
        <w:rPr>
          <w:rFonts w:ascii="Tahoma" w:hAnsi="Tahoma" w:cs="Tahoma"/>
          <w:color w:val="000000"/>
        </w:rPr>
      </w:pPr>
      <w:r>
        <w:rPr>
          <w:rFonts w:ascii="Tahoma" w:hAnsi="Tahoma" w:cs="Tahoma"/>
          <w:color w:val="000000"/>
        </w:rPr>
        <w:t xml:space="preserve">torej </w:t>
      </w:r>
      <w:r w:rsidR="00FA7D89" w:rsidRPr="00FA7D89">
        <w:rPr>
          <w:rFonts w:ascii="Tahoma" w:hAnsi="Tahoma" w:cs="Tahoma"/>
          <w:color w:val="000000"/>
        </w:rPr>
        <w:t>skupaj 5.70 – 6,50 m.</w:t>
      </w:r>
    </w:p>
    <w:p w:rsidR="00FA7D89" w:rsidRPr="00FA7D89" w:rsidRDefault="00FA7D89" w:rsidP="000829D9">
      <w:pPr>
        <w:spacing w:after="0" w:line="276" w:lineRule="auto"/>
        <w:jc w:val="both"/>
        <w:rPr>
          <w:rFonts w:ascii="Tahoma" w:hAnsi="Tahoma" w:cs="Tahoma"/>
          <w:color w:val="000000"/>
        </w:rPr>
      </w:pPr>
    </w:p>
    <w:p w:rsidR="00FA7D89" w:rsidRPr="00FA7D89" w:rsidRDefault="00FA7D89" w:rsidP="000829D9">
      <w:pPr>
        <w:autoSpaceDE w:val="0"/>
        <w:autoSpaceDN w:val="0"/>
        <w:adjustRightInd w:val="0"/>
        <w:spacing w:after="0" w:line="276" w:lineRule="auto"/>
        <w:jc w:val="both"/>
        <w:rPr>
          <w:rFonts w:ascii="Tahoma" w:hAnsi="Tahoma" w:cs="Tahoma"/>
          <w:color w:val="000000"/>
        </w:rPr>
      </w:pPr>
      <w:r w:rsidRPr="00FA7D89">
        <w:rPr>
          <w:rFonts w:ascii="Tahoma" w:hAnsi="Tahoma" w:cs="Tahoma"/>
          <w:color w:val="000000"/>
        </w:rPr>
        <w:t xml:space="preserve">Na sami trasi so potrebne štiri podporne konstrukcije, katere se izvedejo z kamnito betonskim zidom, in sicer v dolžini 30 m, 30 m, 58 m in 45 m. </w:t>
      </w:r>
    </w:p>
    <w:p w:rsidR="009E2010" w:rsidRPr="00FA7D89" w:rsidRDefault="009E2010" w:rsidP="000829D9">
      <w:pPr>
        <w:spacing w:after="0" w:line="276" w:lineRule="auto"/>
        <w:rPr>
          <w:rFonts w:ascii="Tahoma" w:hAnsi="Tahoma" w:cs="Tahoma"/>
          <w:bCs/>
        </w:rPr>
      </w:pPr>
    </w:p>
    <w:p w:rsidR="00FA7D89" w:rsidRPr="00FA7D89" w:rsidRDefault="00FA7D89" w:rsidP="000829D9">
      <w:pPr>
        <w:pStyle w:val="Standard"/>
        <w:spacing w:line="276" w:lineRule="auto"/>
        <w:rPr>
          <w:rFonts w:ascii="Tahoma" w:hAnsi="Tahoma" w:cs="Tahoma"/>
          <w:szCs w:val="22"/>
        </w:rPr>
      </w:pPr>
      <w:r w:rsidRPr="00FA7D89">
        <w:rPr>
          <w:rFonts w:ascii="Tahoma" w:hAnsi="Tahoma" w:cs="Tahoma"/>
          <w:szCs w:val="22"/>
        </w:rPr>
        <w:t>Ocenjena vrednost investicije v stalnih cenah znaša 873.505,15 EUR brez DDV oziroma 1.065.676,28 EUR z DDV. Operacija bo financirana iz dveh virov, občinskega proračuna in Ministrstva za okolje in prostor.</w:t>
      </w:r>
    </w:p>
    <w:p w:rsidR="00FA7D89" w:rsidRDefault="00FA7D89" w:rsidP="000829D9">
      <w:pPr>
        <w:pStyle w:val="Standard"/>
        <w:spacing w:line="276" w:lineRule="auto"/>
        <w:rPr>
          <w:rFonts w:cs="Calibri"/>
          <w:szCs w:val="22"/>
        </w:rPr>
      </w:pPr>
    </w:p>
    <w:tbl>
      <w:tblPr>
        <w:tblW w:w="5000" w:type="pct"/>
        <w:tblCellMar>
          <w:left w:w="70" w:type="dxa"/>
          <w:right w:w="70" w:type="dxa"/>
        </w:tblCellMar>
        <w:tblLook w:val="04A0" w:firstRow="1" w:lastRow="0" w:firstColumn="1" w:lastColumn="0" w:noHBand="0" w:noVBand="1"/>
      </w:tblPr>
      <w:tblGrid>
        <w:gridCol w:w="5291"/>
        <w:gridCol w:w="2017"/>
        <w:gridCol w:w="1754"/>
      </w:tblGrid>
      <w:tr w:rsidR="00FA7D89" w:rsidRPr="009803B0" w:rsidTr="005D0A77">
        <w:trPr>
          <w:trHeight w:val="300"/>
        </w:trPr>
        <w:tc>
          <w:tcPr>
            <w:tcW w:w="2919" w:type="pct"/>
            <w:tcBorders>
              <w:top w:val="single" w:sz="4" w:space="0" w:color="auto"/>
              <w:left w:val="single" w:sz="4" w:space="0" w:color="auto"/>
              <w:bottom w:val="single" w:sz="4" w:space="0" w:color="auto"/>
              <w:right w:val="single" w:sz="4" w:space="0" w:color="auto"/>
            </w:tcBorders>
            <w:shd w:val="clear" w:color="000000" w:fill="C00000"/>
            <w:noWrap/>
            <w:vAlign w:val="bottom"/>
            <w:hideMark/>
          </w:tcPr>
          <w:p w:rsidR="00FA7D89" w:rsidRPr="009803B0" w:rsidRDefault="00FA7D89" w:rsidP="00FA7D89">
            <w:pPr>
              <w:spacing w:after="0"/>
              <w:rPr>
                <w:rFonts w:cs="Calibri"/>
                <w:b/>
                <w:bCs/>
                <w:color w:val="FFFFFF"/>
                <w:sz w:val="20"/>
                <w:szCs w:val="20"/>
              </w:rPr>
            </w:pPr>
            <w:r w:rsidRPr="009803B0">
              <w:rPr>
                <w:rFonts w:cs="Calibri"/>
                <w:b/>
                <w:bCs/>
                <w:color w:val="FFFFFF"/>
                <w:sz w:val="20"/>
                <w:szCs w:val="20"/>
              </w:rPr>
              <w:t>Viri financiranja (skupaj)</w:t>
            </w:r>
          </w:p>
        </w:tc>
        <w:tc>
          <w:tcPr>
            <w:tcW w:w="1113" w:type="pct"/>
            <w:tcBorders>
              <w:top w:val="single" w:sz="4" w:space="0" w:color="auto"/>
              <w:left w:val="nil"/>
              <w:bottom w:val="single" w:sz="4" w:space="0" w:color="auto"/>
              <w:right w:val="single" w:sz="4" w:space="0" w:color="auto"/>
            </w:tcBorders>
            <w:shd w:val="clear" w:color="000000" w:fill="C00000"/>
            <w:noWrap/>
            <w:vAlign w:val="bottom"/>
            <w:hideMark/>
          </w:tcPr>
          <w:p w:rsidR="00FA7D89" w:rsidRPr="009803B0" w:rsidRDefault="00FA7D89" w:rsidP="00FA7D89">
            <w:pPr>
              <w:spacing w:after="0"/>
              <w:jc w:val="right"/>
              <w:rPr>
                <w:rFonts w:cs="Calibri"/>
                <w:b/>
                <w:bCs/>
                <w:color w:val="FFFFFF"/>
                <w:sz w:val="20"/>
                <w:szCs w:val="20"/>
              </w:rPr>
            </w:pPr>
            <w:r w:rsidRPr="009803B0">
              <w:rPr>
                <w:rFonts w:cs="Calibri"/>
                <w:b/>
                <w:bCs/>
                <w:color w:val="FFFFFF"/>
                <w:sz w:val="20"/>
                <w:szCs w:val="20"/>
              </w:rPr>
              <w:t>Skupaj</w:t>
            </w:r>
          </w:p>
        </w:tc>
        <w:tc>
          <w:tcPr>
            <w:tcW w:w="968" w:type="pct"/>
            <w:tcBorders>
              <w:top w:val="single" w:sz="4" w:space="0" w:color="auto"/>
              <w:left w:val="nil"/>
              <w:bottom w:val="single" w:sz="4" w:space="0" w:color="auto"/>
              <w:right w:val="single" w:sz="4" w:space="0" w:color="auto"/>
            </w:tcBorders>
            <w:shd w:val="clear" w:color="000000" w:fill="C00000"/>
            <w:noWrap/>
            <w:vAlign w:val="bottom"/>
            <w:hideMark/>
          </w:tcPr>
          <w:p w:rsidR="00FA7D89" w:rsidRPr="009803B0" w:rsidRDefault="00FA7D89" w:rsidP="00FA7D89">
            <w:pPr>
              <w:spacing w:after="0"/>
              <w:jc w:val="right"/>
              <w:rPr>
                <w:rFonts w:cs="Calibri"/>
                <w:b/>
                <w:bCs/>
                <w:color w:val="FFFFFF"/>
                <w:sz w:val="20"/>
                <w:szCs w:val="20"/>
              </w:rPr>
            </w:pPr>
            <w:r w:rsidRPr="009803B0">
              <w:rPr>
                <w:rFonts w:cs="Calibri"/>
                <w:b/>
                <w:bCs/>
                <w:color w:val="FFFFFF"/>
                <w:sz w:val="20"/>
                <w:szCs w:val="20"/>
              </w:rPr>
              <w:t>Delež</w:t>
            </w:r>
          </w:p>
        </w:tc>
      </w:tr>
      <w:tr w:rsidR="00FA7D89" w:rsidRPr="009803B0" w:rsidTr="005D0A77">
        <w:trPr>
          <w:trHeight w:val="300"/>
        </w:trPr>
        <w:tc>
          <w:tcPr>
            <w:tcW w:w="2919" w:type="pct"/>
            <w:tcBorders>
              <w:top w:val="nil"/>
              <w:left w:val="single" w:sz="4" w:space="0" w:color="auto"/>
              <w:bottom w:val="single" w:sz="4" w:space="0" w:color="auto"/>
              <w:right w:val="single" w:sz="4" w:space="0" w:color="auto"/>
            </w:tcBorders>
            <w:shd w:val="clear" w:color="auto" w:fill="auto"/>
            <w:noWrap/>
            <w:vAlign w:val="bottom"/>
            <w:hideMark/>
          </w:tcPr>
          <w:p w:rsidR="00FA7D89" w:rsidRPr="009803B0" w:rsidRDefault="00FA7D89" w:rsidP="00FA7D89">
            <w:pPr>
              <w:spacing w:after="0"/>
              <w:rPr>
                <w:rFonts w:cs="Calibri"/>
                <w:b/>
                <w:bCs/>
                <w:sz w:val="20"/>
                <w:szCs w:val="20"/>
              </w:rPr>
            </w:pPr>
            <w:r w:rsidRPr="009803B0">
              <w:rPr>
                <w:rFonts w:cs="Calibri"/>
                <w:b/>
                <w:bCs/>
                <w:sz w:val="20"/>
                <w:szCs w:val="20"/>
              </w:rPr>
              <w:t>MOP</w:t>
            </w:r>
          </w:p>
        </w:tc>
        <w:tc>
          <w:tcPr>
            <w:tcW w:w="1113" w:type="pct"/>
            <w:tcBorders>
              <w:top w:val="nil"/>
              <w:left w:val="nil"/>
              <w:bottom w:val="single" w:sz="4" w:space="0" w:color="auto"/>
              <w:right w:val="single" w:sz="4" w:space="0" w:color="auto"/>
            </w:tcBorders>
            <w:shd w:val="clear" w:color="auto" w:fill="auto"/>
            <w:noWrap/>
            <w:vAlign w:val="bottom"/>
            <w:hideMark/>
          </w:tcPr>
          <w:p w:rsidR="00FA7D89" w:rsidRPr="009803B0" w:rsidRDefault="00FA7D89" w:rsidP="00FA7D89">
            <w:pPr>
              <w:spacing w:after="0"/>
              <w:jc w:val="right"/>
              <w:rPr>
                <w:rFonts w:cs="Calibri"/>
                <w:color w:val="000000"/>
                <w:sz w:val="20"/>
                <w:szCs w:val="20"/>
              </w:rPr>
            </w:pPr>
            <w:r w:rsidRPr="009803B0">
              <w:rPr>
                <w:rFonts w:cs="Calibri"/>
                <w:color w:val="000000"/>
                <w:sz w:val="20"/>
                <w:szCs w:val="20"/>
              </w:rPr>
              <w:t>867.245,32</w:t>
            </w:r>
          </w:p>
        </w:tc>
        <w:tc>
          <w:tcPr>
            <w:tcW w:w="968" w:type="pct"/>
            <w:tcBorders>
              <w:top w:val="nil"/>
              <w:left w:val="nil"/>
              <w:bottom w:val="single" w:sz="4" w:space="0" w:color="auto"/>
              <w:right w:val="single" w:sz="4" w:space="0" w:color="auto"/>
            </w:tcBorders>
            <w:shd w:val="clear" w:color="auto" w:fill="auto"/>
            <w:noWrap/>
            <w:vAlign w:val="bottom"/>
            <w:hideMark/>
          </w:tcPr>
          <w:p w:rsidR="00FA7D89" w:rsidRPr="009803B0" w:rsidRDefault="00FA7D89" w:rsidP="00FA7D89">
            <w:pPr>
              <w:spacing w:after="0"/>
              <w:jc w:val="right"/>
              <w:rPr>
                <w:rFonts w:cs="Calibri"/>
                <w:sz w:val="20"/>
                <w:szCs w:val="20"/>
              </w:rPr>
            </w:pPr>
            <w:r w:rsidRPr="009803B0">
              <w:rPr>
                <w:rFonts w:cs="Calibri"/>
                <w:sz w:val="20"/>
                <w:szCs w:val="20"/>
              </w:rPr>
              <w:t>81,38%</w:t>
            </w:r>
          </w:p>
        </w:tc>
      </w:tr>
      <w:tr w:rsidR="00FA7D89" w:rsidRPr="009803B0" w:rsidTr="005D0A77">
        <w:trPr>
          <w:trHeight w:val="300"/>
        </w:trPr>
        <w:tc>
          <w:tcPr>
            <w:tcW w:w="2919" w:type="pct"/>
            <w:tcBorders>
              <w:top w:val="nil"/>
              <w:left w:val="single" w:sz="4" w:space="0" w:color="auto"/>
              <w:bottom w:val="single" w:sz="4" w:space="0" w:color="auto"/>
              <w:right w:val="single" w:sz="4" w:space="0" w:color="auto"/>
            </w:tcBorders>
            <w:shd w:val="clear" w:color="auto" w:fill="auto"/>
            <w:noWrap/>
            <w:vAlign w:val="bottom"/>
            <w:hideMark/>
          </w:tcPr>
          <w:p w:rsidR="00FA7D89" w:rsidRPr="009803B0" w:rsidRDefault="00FA7D89" w:rsidP="00FA7D89">
            <w:pPr>
              <w:spacing w:after="0"/>
              <w:rPr>
                <w:rFonts w:cs="Calibri"/>
                <w:b/>
                <w:bCs/>
                <w:sz w:val="20"/>
                <w:szCs w:val="20"/>
              </w:rPr>
            </w:pPr>
            <w:r w:rsidRPr="009803B0">
              <w:rPr>
                <w:rFonts w:cs="Calibri"/>
                <w:b/>
                <w:bCs/>
                <w:sz w:val="20"/>
                <w:szCs w:val="20"/>
              </w:rPr>
              <w:t>Lastna sredstva</w:t>
            </w:r>
          </w:p>
        </w:tc>
        <w:tc>
          <w:tcPr>
            <w:tcW w:w="1113" w:type="pct"/>
            <w:tcBorders>
              <w:top w:val="nil"/>
              <w:left w:val="nil"/>
              <w:bottom w:val="single" w:sz="4" w:space="0" w:color="auto"/>
              <w:right w:val="single" w:sz="4" w:space="0" w:color="auto"/>
            </w:tcBorders>
            <w:shd w:val="clear" w:color="auto" w:fill="auto"/>
            <w:noWrap/>
            <w:vAlign w:val="bottom"/>
            <w:hideMark/>
          </w:tcPr>
          <w:p w:rsidR="00FA7D89" w:rsidRPr="009803B0" w:rsidRDefault="00FA7D89" w:rsidP="00FA7D89">
            <w:pPr>
              <w:spacing w:after="0"/>
              <w:jc w:val="right"/>
              <w:rPr>
                <w:rFonts w:cs="Calibri"/>
                <w:color w:val="000000"/>
                <w:sz w:val="20"/>
                <w:szCs w:val="20"/>
              </w:rPr>
            </w:pPr>
            <w:r w:rsidRPr="009803B0">
              <w:rPr>
                <w:rFonts w:cs="Calibri"/>
                <w:color w:val="000000"/>
                <w:sz w:val="20"/>
                <w:szCs w:val="20"/>
              </w:rPr>
              <w:t>198.430,96</w:t>
            </w:r>
          </w:p>
        </w:tc>
        <w:tc>
          <w:tcPr>
            <w:tcW w:w="968" w:type="pct"/>
            <w:tcBorders>
              <w:top w:val="nil"/>
              <w:left w:val="nil"/>
              <w:bottom w:val="single" w:sz="4" w:space="0" w:color="auto"/>
              <w:right w:val="single" w:sz="4" w:space="0" w:color="auto"/>
            </w:tcBorders>
            <w:shd w:val="clear" w:color="auto" w:fill="auto"/>
            <w:noWrap/>
            <w:vAlign w:val="bottom"/>
            <w:hideMark/>
          </w:tcPr>
          <w:p w:rsidR="00FA7D89" w:rsidRPr="009803B0" w:rsidRDefault="00FA7D89" w:rsidP="00FA7D89">
            <w:pPr>
              <w:spacing w:after="0"/>
              <w:jc w:val="right"/>
              <w:rPr>
                <w:rFonts w:cs="Calibri"/>
                <w:sz w:val="20"/>
                <w:szCs w:val="20"/>
              </w:rPr>
            </w:pPr>
            <w:r w:rsidRPr="009803B0">
              <w:rPr>
                <w:rFonts w:cs="Calibri"/>
                <w:sz w:val="20"/>
                <w:szCs w:val="20"/>
              </w:rPr>
              <w:t>18,62%</w:t>
            </w:r>
          </w:p>
        </w:tc>
      </w:tr>
      <w:tr w:rsidR="00FA7D89" w:rsidRPr="009803B0" w:rsidTr="005D0A77">
        <w:trPr>
          <w:trHeight w:val="300"/>
        </w:trPr>
        <w:tc>
          <w:tcPr>
            <w:tcW w:w="2919" w:type="pct"/>
            <w:tcBorders>
              <w:top w:val="nil"/>
              <w:left w:val="single" w:sz="4" w:space="0" w:color="auto"/>
              <w:bottom w:val="single" w:sz="4" w:space="0" w:color="auto"/>
              <w:right w:val="single" w:sz="4" w:space="0" w:color="auto"/>
            </w:tcBorders>
            <w:shd w:val="clear" w:color="000000" w:fill="C0C0C0"/>
            <w:noWrap/>
            <w:vAlign w:val="bottom"/>
            <w:hideMark/>
          </w:tcPr>
          <w:p w:rsidR="00FA7D89" w:rsidRPr="009803B0" w:rsidRDefault="00FA7D89" w:rsidP="00FA7D89">
            <w:pPr>
              <w:spacing w:after="0"/>
              <w:rPr>
                <w:rFonts w:cs="Calibri"/>
                <w:b/>
                <w:bCs/>
                <w:sz w:val="20"/>
                <w:szCs w:val="20"/>
              </w:rPr>
            </w:pPr>
            <w:r w:rsidRPr="009803B0">
              <w:rPr>
                <w:rFonts w:cs="Calibri"/>
                <w:b/>
                <w:bCs/>
                <w:sz w:val="20"/>
                <w:szCs w:val="20"/>
              </w:rPr>
              <w:t>Skupaj</w:t>
            </w:r>
          </w:p>
        </w:tc>
        <w:tc>
          <w:tcPr>
            <w:tcW w:w="1113" w:type="pct"/>
            <w:tcBorders>
              <w:top w:val="nil"/>
              <w:left w:val="nil"/>
              <w:bottom w:val="single" w:sz="4" w:space="0" w:color="auto"/>
              <w:right w:val="single" w:sz="4" w:space="0" w:color="auto"/>
            </w:tcBorders>
            <w:shd w:val="clear" w:color="000000" w:fill="C0C0C0"/>
            <w:noWrap/>
            <w:vAlign w:val="bottom"/>
            <w:hideMark/>
          </w:tcPr>
          <w:p w:rsidR="00FA7D89" w:rsidRPr="009803B0" w:rsidRDefault="00FA7D89" w:rsidP="00FA7D89">
            <w:pPr>
              <w:spacing w:after="0"/>
              <w:jc w:val="right"/>
              <w:rPr>
                <w:rFonts w:cs="Calibri"/>
                <w:b/>
                <w:bCs/>
                <w:sz w:val="20"/>
                <w:szCs w:val="20"/>
              </w:rPr>
            </w:pPr>
            <w:r w:rsidRPr="009803B0">
              <w:rPr>
                <w:rFonts w:cs="Calibri"/>
                <w:b/>
                <w:bCs/>
                <w:sz w:val="20"/>
                <w:szCs w:val="20"/>
              </w:rPr>
              <w:t>1.065.676,28</w:t>
            </w:r>
          </w:p>
        </w:tc>
        <w:tc>
          <w:tcPr>
            <w:tcW w:w="968" w:type="pct"/>
            <w:tcBorders>
              <w:top w:val="nil"/>
              <w:left w:val="nil"/>
              <w:bottom w:val="single" w:sz="4" w:space="0" w:color="auto"/>
              <w:right w:val="single" w:sz="4" w:space="0" w:color="auto"/>
            </w:tcBorders>
            <w:shd w:val="clear" w:color="000000" w:fill="BFBFBF"/>
            <w:noWrap/>
            <w:vAlign w:val="bottom"/>
            <w:hideMark/>
          </w:tcPr>
          <w:p w:rsidR="00FA7D89" w:rsidRPr="009803B0" w:rsidRDefault="00FA7D89" w:rsidP="00FA7D89">
            <w:pPr>
              <w:spacing w:after="0"/>
              <w:jc w:val="right"/>
              <w:rPr>
                <w:rFonts w:cs="Calibri"/>
                <w:b/>
                <w:bCs/>
                <w:sz w:val="20"/>
                <w:szCs w:val="20"/>
              </w:rPr>
            </w:pPr>
            <w:r w:rsidRPr="009803B0">
              <w:rPr>
                <w:rFonts w:cs="Calibri"/>
                <w:b/>
                <w:bCs/>
                <w:sz w:val="20"/>
                <w:szCs w:val="20"/>
              </w:rPr>
              <w:t>100,00%</w:t>
            </w:r>
          </w:p>
        </w:tc>
      </w:tr>
    </w:tbl>
    <w:p w:rsidR="00FA7D89" w:rsidRPr="00D66153" w:rsidRDefault="00FA7D89" w:rsidP="00FA7D89">
      <w:pPr>
        <w:pStyle w:val="Standard"/>
        <w:rPr>
          <w:rFonts w:cs="Calibri"/>
        </w:rPr>
      </w:pPr>
    </w:p>
    <w:p w:rsidR="00FA7D89" w:rsidRPr="00FA7D89" w:rsidRDefault="00FA7D89" w:rsidP="00FA7D89">
      <w:pPr>
        <w:spacing w:after="0" w:line="276" w:lineRule="auto"/>
        <w:rPr>
          <w:rFonts w:ascii="Tahoma" w:hAnsi="Tahoma" w:cs="Tahoma"/>
          <w:iCs/>
        </w:rPr>
      </w:pPr>
      <w:bookmarkStart w:id="0" w:name="_Toc37408771"/>
      <w:bookmarkStart w:id="1" w:name="_Toc40098389"/>
      <w:r w:rsidRPr="00FA7D89">
        <w:rPr>
          <w:rFonts w:ascii="Tahoma" w:hAnsi="Tahoma" w:cs="Tahoma"/>
          <w:iCs/>
        </w:rPr>
        <w:t>Terminski načrt investicije</w:t>
      </w:r>
      <w:bookmarkEnd w:id="0"/>
      <w:bookmarkEnd w:id="1"/>
      <w:r w:rsidRPr="00FA7D89">
        <w:rPr>
          <w:rFonts w:ascii="Tahoma" w:hAnsi="Tahoma" w:cs="Tahoma"/>
          <w:iCs/>
        </w:rPr>
        <w:t xml:space="preserve"> </w:t>
      </w:r>
    </w:p>
    <w:tbl>
      <w:tblPr>
        <w:tblW w:w="9396" w:type="dxa"/>
        <w:tblInd w:w="75" w:type="dxa"/>
        <w:tblCellMar>
          <w:left w:w="70" w:type="dxa"/>
          <w:right w:w="70" w:type="dxa"/>
        </w:tblCellMar>
        <w:tblLook w:val="04A0" w:firstRow="1" w:lastRow="0" w:firstColumn="1" w:lastColumn="0" w:noHBand="0" w:noVBand="1"/>
      </w:tblPr>
      <w:tblGrid>
        <w:gridCol w:w="6516"/>
        <w:gridCol w:w="297"/>
        <w:gridCol w:w="320"/>
        <w:gridCol w:w="320"/>
        <w:gridCol w:w="320"/>
        <w:gridCol w:w="320"/>
        <w:gridCol w:w="320"/>
        <w:gridCol w:w="320"/>
        <w:gridCol w:w="320"/>
        <w:gridCol w:w="343"/>
      </w:tblGrid>
      <w:tr w:rsidR="00FA7D89" w:rsidRPr="00EF4C8C" w:rsidTr="005D0A77">
        <w:trPr>
          <w:trHeight w:val="255"/>
        </w:trPr>
        <w:tc>
          <w:tcPr>
            <w:tcW w:w="6516" w:type="dxa"/>
            <w:tcBorders>
              <w:top w:val="single" w:sz="4" w:space="0" w:color="auto"/>
              <w:left w:val="single" w:sz="4" w:space="0" w:color="auto"/>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b/>
                <w:bCs/>
                <w:color w:val="FFFFFF"/>
                <w:sz w:val="20"/>
                <w:szCs w:val="20"/>
              </w:rPr>
            </w:pPr>
            <w:r w:rsidRPr="00EF4C8C">
              <w:rPr>
                <w:rFonts w:cs="Calibri"/>
                <w:b/>
                <w:bCs/>
                <w:color w:val="FFFFFF"/>
                <w:sz w:val="20"/>
                <w:szCs w:val="20"/>
              </w:rPr>
              <w:t>Aktivnosti</w:t>
            </w:r>
          </w:p>
        </w:tc>
        <w:tc>
          <w:tcPr>
            <w:tcW w:w="2880" w:type="dxa"/>
            <w:gridSpan w:val="9"/>
            <w:tcBorders>
              <w:top w:val="single" w:sz="4" w:space="0" w:color="auto"/>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b/>
                <w:bCs/>
                <w:color w:val="FFFFFF"/>
                <w:sz w:val="20"/>
                <w:szCs w:val="20"/>
              </w:rPr>
            </w:pPr>
            <w:r w:rsidRPr="00EF4C8C">
              <w:rPr>
                <w:rFonts w:cs="Calibri"/>
                <w:b/>
                <w:bCs/>
                <w:color w:val="FFFFFF"/>
                <w:sz w:val="20"/>
                <w:szCs w:val="20"/>
              </w:rPr>
              <w:t>2020</w:t>
            </w:r>
          </w:p>
        </w:tc>
      </w:tr>
      <w:tr w:rsidR="00FA7D89" w:rsidRPr="00EF4C8C" w:rsidTr="005D0A77">
        <w:trPr>
          <w:trHeight w:val="255"/>
        </w:trPr>
        <w:tc>
          <w:tcPr>
            <w:tcW w:w="6516" w:type="dxa"/>
            <w:tcBorders>
              <w:top w:val="nil"/>
              <w:left w:val="single" w:sz="4" w:space="0" w:color="auto"/>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b/>
                <w:bCs/>
                <w:color w:val="FFFFFF"/>
                <w:sz w:val="20"/>
                <w:szCs w:val="20"/>
              </w:rPr>
            </w:pPr>
            <w:r w:rsidRPr="00EF4C8C">
              <w:rPr>
                <w:rFonts w:cs="Calibri"/>
                <w:b/>
                <w:bCs/>
                <w:color w:val="FFFFFF"/>
                <w:sz w:val="20"/>
                <w:szCs w:val="20"/>
              </w:rPr>
              <w:t>Meseci</w:t>
            </w:r>
          </w:p>
        </w:tc>
        <w:tc>
          <w:tcPr>
            <w:tcW w:w="297" w:type="dxa"/>
            <w:tcBorders>
              <w:top w:val="nil"/>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2</w:t>
            </w:r>
          </w:p>
        </w:tc>
        <w:tc>
          <w:tcPr>
            <w:tcW w:w="320" w:type="dxa"/>
            <w:tcBorders>
              <w:top w:val="nil"/>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3</w:t>
            </w:r>
          </w:p>
        </w:tc>
        <w:tc>
          <w:tcPr>
            <w:tcW w:w="320" w:type="dxa"/>
            <w:tcBorders>
              <w:top w:val="nil"/>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4</w:t>
            </w:r>
          </w:p>
        </w:tc>
        <w:tc>
          <w:tcPr>
            <w:tcW w:w="320" w:type="dxa"/>
            <w:tcBorders>
              <w:top w:val="nil"/>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5</w:t>
            </w:r>
          </w:p>
        </w:tc>
        <w:tc>
          <w:tcPr>
            <w:tcW w:w="320" w:type="dxa"/>
            <w:tcBorders>
              <w:top w:val="nil"/>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6</w:t>
            </w:r>
          </w:p>
        </w:tc>
        <w:tc>
          <w:tcPr>
            <w:tcW w:w="320" w:type="dxa"/>
            <w:tcBorders>
              <w:top w:val="nil"/>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7</w:t>
            </w:r>
          </w:p>
        </w:tc>
        <w:tc>
          <w:tcPr>
            <w:tcW w:w="320" w:type="dxa"/>
            <w:tcBorders>
              <w:top w:val="nil"/>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8</w:t>
            </w:r>
          </w:p>
        </w:tc>
        <w:tc>
          <w:tcPr>
            <w:tcW w:w="320" w:type="dxa"/>
            <w:tcBorders>
              <w:top w:val="nil"/>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9</w:t>
            </w:r>
          </w:p>
        </w:tc>
        <w:tc>
          <w:tcPr>
            <w:tcW w:w="343" w:type="dxa"/>
            <w:tcBorders>
              <w:top w:val="nil"/>
              <w:left w:val="nil"/>
              <w:bottom w:val="single" w:sz="4" w:space="0" w:color="auto"/>
              <w:right w:val="single" w:sz="4" w:space="0" w:color="auto"/>
            </w:tcBorders>
            <w:shd w:val="clear" w:color="000000" w:fill="C00000"/>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10</w:t>
            </w:r>
          </w:p>
        </w:tc>
      </w:tr>
      <w:tr w:rsidR="00FA7D89" w:rsidRPr="00EF4C8C" w:rsidTr="005D0A77">
        <w:trPr>
          <w:trHeight w:val="255"/>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xml:space="preserve">PZI  št. 927/2020 </w:t>
            </w:r>
          </w:p>
        </w:tc>
        <w:tc>
          <w:tcPr>
            <w:tcW w:w="297"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 </w:t>
            </w:r>
          </w:p>
        </w:tc>
        <w:tc>
          <w:tcPr>
            <w:tcW w:w="343"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color w:val="FFFFFF"/>
                <w:sz w:val="20"/>
                <w:szCs w:val="20"/>
              </w:rPr>
            </w:pPr>
            <w:r w:rsidRPr="00EF4C8C">
              <w:rPr>
                <w:rFonts w:cs="Calibri"/>
                <w:color w:val="FFFFFF"/>
                <w:sz w:val="20"/>
                <w:szCs w:val="20"/>
              </w:rPr>
              <w:t> </w:t>
            </w:r>
          </w:p>
        </w:tc>
      </w:tr>
      <w:tr w:rsidR="00FA7D89" w:rsidRPr="00EF4C8C" w:rsidTr="005D0A77">
        <w:trPr>
          <w:trHeight w:val="255"/>
        </w:trPr>
        <w:tc>
          <w:tcPr>
            <w:tcW w:w="6516" w:type="dxa"/>
            <w:tcBorders>
              <w:top w:val="nil"/>
              <w:left w:val="single" w:sz="4" w:space="0" w:color="auto"/>
              <w:bottom w:val="single" w:sz="4" w:space="0" w:color="auto"/>
              <w:right w:val="single" w:sz="4" w:space="0" w:color="auto"/>
            </w:tcBorders>
            <w:shd w:val="clear" w:color="auto" w:fill="auto"/>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xml:space="preserve">Predračun in rekapitulacija za sanacijo plazov in  nestabilnega terena  ceste </w:t>
            </w:r>
          </w:p>
        </w:tc>
        <w:tc>
          <w:tcPr>
            <w:tcW w:w="297"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w:t>
            </w:r>
          </w:p>
        </w:tc>
        <w:tc>
          <w:tcPr>
            <w:tcW w:w="320" w:type="dxa"/>
            <w:tcBorders>
              <w:top w:val="nil"/>
              <w:left w:val="nil"/>
              <w:bottom w:val="single" w:sz="4" w:space="0" w:color="auto"/>
              <w:right w:val="single" w:sz="4" w:space="0" w:color="auto"/>
            </w:tcBorders>
            <w:shd w:val="clear" w:color="000000" w:fill="FFFFFF"/>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w:t>
            </w:r>
          </w:p>
        </w:tc>
        <w:tc>
          <w:tcPr>
            <w:tcW w:w="320" w:type="dxa"/>
            <w:tcBorders>
              <w:top w:val="nil"/>
              <w:left w:val="nil"/>
              <w:bottom w:val="single" w:sz="4" w:space="0" w:color="auto"/>
              <w:right w:val="single" w:sz="4" w:space="0" w:color="auto"/>
            </w:tcBorders>
            <w:shd w:val="clear" w:color="auto" w:fill="auto"/>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w:t>
            </w:r>
          </w:p>
        </w:tc>
        <w:tc>
          <w:tcPr>
            <w:tcW w:w="343" w:type="dxa"/>
            <w:tcBorders>
              <w:top w:val="nil"/>
              <w:left w:val="nil"/>
              <w:bottom w:val="single" w:sz="4" w:space="0" w:color="auto"/>
              <w:right w:val="single" w:sz="4" w:space="0" w:color="auto"/>
            </w:tcBorders>
            <w:shd w:val="clear" w:color="auto" w:fill="auto"/>
            <w:noWrap/>
            <w:vAlign w:val="bottom"/>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 </w:t>
            </w:r>
          </w:p>
        </w:tc>
      </w:tr>
      <w:tr w:rsidR="00FA7D89" w:rsidRPr="00EF4C8C" w:rsidTr="005D0A77">
        <w:trPr>
          <w:trHeight w:val="25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Investicijska dokumentacija</w:t>
            </w:r>
          </w:p>
        </w:tc>
        <w:tc>
          <w:tcPr>
            <w:tcW w:w="297"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43"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r>
      <w:tr w:rsidR="00FA7D89" w:rsidRPr="00EF4C8C" w:rsidTr="005D0A77">
        <w:trPr>
          <w:trHeight w:val="25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Priprava in izvedba javnega razpisa za izvedbo del</w:t>
            </w:r>
          </w:p>
        </w:tc>
        <w:tc>
          <w:tcPr>
            <w:tcW w:w="297"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43"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r>
      <w:tr w:rsidR="00FA7D89" w:rsidRPr="00EF4C8C" w:rsidTr="005D0A77">
        <w:trPr>
          <w:trHeight w:val="25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Izvedbena dela</w:t>
            </w:r>
          </w:p>
        </w:tc>
        <w:tc>
          <w:tcPr>
            <w:tcW w:w="297"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43"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r>
      <w:tr w:rsidR="00FA7D89" w:rsidRPr="00EF4C8C" w:rsidTr="005D0A77">
        <w:trPr>
          <w:trHeight w:val="25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Oprema</w:t>
            </w:r>
          </w:p>
        </w:tc>
        <w:tc>
          <w:tcPr>
            <w:tcW w:w="297"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43"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r>
      <w:tr w:rsidR="00FA7D89" w:rsidRPr="00EF4C8C" w:rsidTr="005D0A77">
        <w:trPr>
          <w:trHeight w:val="25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Nadzor</w:t>
            </w:r>
          </w:p>
        </w:tc>
        <w:tc>
          <w:tcPr>
            <w:tcW w:w="297"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20"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43"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r>
      <w:tr w:rsidR="00FA7D89" w:rsidRPr="00EF4C8C" w:rsidTr="005D0A77">
        <w:trPr>
          <w:trHeight w:val="255"/>
        </w:trPr>
        <w:tc>
          <w:tcPr>
            <w:tcW w:w="6516" w:type="dxa"/>
            <w:tcBorders>
              <w:top w:val="nil"/>
              <w:left w:val="single" w:sz="4" w:space="0" w:color="auto"/>
              <w:bottom w:val="single" w:sz="4" w:space="0" w:color="auto"/>
              <w:right w:val="single" w:sz="4" w:space="0" w:color="auto"/>
            </w:tcBorders>
            <w:shd w:val="clear" w:color="auto" w:fill="auto"/>
            <w:vAlign w:val="center"/>
            <w:hideMark/>
          </w:tcPr>
          <w:p w:rsidR="00FA7D89" w:rsidRPr="00EF4C8C" w:rsidRDefault="00FA7D89" w:rsidP="00FA7D89">
            <w:pPr>
              <w:spacing w:after="0"/>
              <w:rPr>
                <w:rFonts w:cs="Calibri"/>
                <w:color w:val="000000"/>
                <w:sz w:val="20"/>
                <w:szCs w:val="20"/>
              </w:rPr>
            </w:pPr>
            <w:r w:rsidRPr="00EF4C8C">
              <w:rPr>
                <w:rFonts w:cs="Calibri"/>
                <w:color w:val="000000"/>
                <w:sz w:val="20"/>
                <w:szCs w:val="20"/>
              </w:rPr>
              <w:t>Tehnični pregled in primopredaja</w:t>
            </w:r>
          </w:p>
        </w:tc>
        <w:tc>
          <w:tcPr>
            <w:tcW w:w="297"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000000"/>
                <w:sz w:val="20"/>
                <w:szCs w:val="20"/>
              </w:rPr>
            </w:pPr>
            <w:r w:rsidRPr="00EF4C8C">
              <w:rPr>
                <w:rFonts w:cs="Calibri"/>
                <w:b/>
                <w:bCs/>
                <w:color w:val="0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20" w:type="dxa"/>
            <w:tcBorders>
              <w:top w:val="nil"/>
              <w:left w:val="nil"/>
              <w:bottom w:val="single" w:sz="4" w:space="0" w:color="auto"/>
              <w:right w:val="single" w:sz="4" w:space="0" w:color="auto"/>
            </w:tcBorders>
            <w:shd w:val="clear" w:color="auto" w:fill="auto"/>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c>
          <w:tcPr>
            <w:tcW w:w="343" w:type="dxa"/>
            <w:tcBorders>
              <w:top w:val="nil"/>
              <w:left w:val="nil"/>
              <w:bottom w:val="single" w:sz="4" w:space="0" w:color="auto"/>
              <w:right w:val="single" w:sz="4" w:space="0" w:color="auto"/>
            </w:tcBorders>
            <w:shd w:val="clear" w:color="000000" w:fill="FFFF00"/>
            <w:vAlign w:val="center"/>
            <w:hideMark/>
          </w:tcPr>
          <w:p w:rsidR="00FA7D89" w:rsidRPr="00EF4C8C" w:rsidRDefault="00FA7D89" w:rsidP="00FA7D89">
            <w:pPr>
              <w:spacing w:after="0"/>
              <w:jc w:val="center"/>
              <w:rPr>
                <w:rFonts w:cs="Calibri"/>
                <w:b/>
                <w:bCs/>
                <w:color w:val="C00000"/>
                <w:sz w:val="20"/>
                <w:szCs w:val="20"/>
              </w:rPr>
            </w:pPr>
            <w:r w:rsidRPr="00EF4C8C">
              <w:rPr>
                <w:rFonts w:cs="Calibri"/>
                <w:b/>
                <w:bCs/>
                <w:color w:val="C00000"/>
                <w:sz w:val="20"/>
                <w:szCs w:val="20"/>
              </w:rPr>
              <w:t> </w:t>
            </w:r>
          </w:p>
        </w:tc>
      </w:tr>
      <w:tr w:rsidR="00FA7D89" w:rsidRPr="00EF4C8C" w:rsidTr="005D0A77">
        <w:trPr>
          <w:trHeight w:val="255"/>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tcPr>
          <w:p w:rsidR="00FA7D89" w:rsidRPr="00EF4C8C" w:rsidRDefault="00FA7D89" w:rsidP="00FA7D89">
            <w:pPr>
              <w:spacing w:after="0"/>
              <w:rPr>
                <w:rFonts w:cs="Calibri"/>
                <w:color w:val="000000"/>
                <w:sz w:val="20"/>
                <w:szCs w:val="20"/>
              </w:rPr>
            </w:pPr>
            <w:r>
              <w:rPr>
                <w:rFonts w:cs="Calibri"/>
                <w:color w:val="000000"/>
                <w:sz w:val="20"/>
                <w:szCs w:val="20"/>
              </w:rPr>
              <w:t>Zahtevek za izplačilo nepovratnih sredstev</w:t>
            </w:r>
          </w:p>
        </w:tc>
        <w:tc>
          <w:tcPr>
            <w:tcW w:w="297" w:type="dxa"/>
            <w:tcBorders>
              <w:top w:val="single" w:sz="4" w:space="0" w:color="auto"/>
              <w:left w:val="nil"/>
              <w:bottom w:val="single" w:sz="4" w:space="0" w:color="auto"/>
              <w:right w:val="single" w:sz="4" w:space="0" w:color="auto"/>
            </w:tcBorders>
            <w:shd w:val="clear" w:color="auto" w:fill="auto"/>
            <w:vAlign w:val="center"/>
          </w:tcPr>
          <w:p w:rsidR="00FA7D89" w:rsidRPr="00EF4C8C" w:rsidRDefault="00FA7D89" w:rsidP="00FA7D89">
            <w:pPr>
              <w:spacing w:after="0"/>
              <w:jc w:val="center"/>
              <w:rPr>
                <w:rFonts w:cs="Calibri"/>
                <w:b/>
                <w:bCs/>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FA7D89" w:rsidRPr="00EF4C8C" w:rsidRDefault="00FA7D89" w:rsidP="00FA7D89">
            <w:pPr>
              <w:spacing w:after="0"/>
              <w:jc w:val="center"/>
              <w:rPr>
                <w:rFonts w:cs="Calibri"/>
                <w:b/>
                <w:bCs/>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FA7D89" w:rsidRPr="00EF4C8C" w:rsidRDefault="00FA7D89" w:rsidP="00FA7D89">
            <w:pPr>
              <w:spacing w:after="0"/>
              <w:jc w:val="center"/>
              <w:rPr>
                <w:rFonts w:cs="Calibri"/>
                <w:b/>
                <w:bCs/>
                <w:color w:val="000000"/>
                <w:sz w:val="20"/>
                <w:szCs w:val="20"/>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FA7D89" w:rsidRPr="00EF4C8C" w:rsidRDefault="00FA7D89" w:rsidP="00FA7D89">
            <w:pPr>
              <w:spacing w:after="0"/>
              <w:jc w:val="center"/>
              <w:rPr>
                <w:rFonts w:cs="Calibri"/>
                <w:b/>
                <w:bCs/>
                <w:color w:val="C00000"/>
                <w:sz w:val="20"/>
                <w:szCs w:val="20"/>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FA7D89" w:rsidRPr="00EF4C8C" w:rsidRDefault="00FA7D89" w:rsidP="00FA7D89">
            <w:pPr>
              <w:spacing w:after="0"/>
              <w:jc w:val="center"/>
              <w:rPr>
                <w:rFonts w:cs="Calibri"/>
                <w:b/>
                <w:bCs/>
                <w:color w:val="C00000"/>
                <w:sz w:val="20"/>
                <w:szCs w:val="20"/>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FA7D89" w:rsidRPr="00EF4C8C" w:rsidRDefault="00FA7D89" w:rsidP="00FA7D89">
            <w:pPr>
              <w:spacing w:after="0"/>
              <w:jc w:val="center"/>
              <w:rPr>
                <w:rFonts w:cs="Calibri"/>
                <w:b/>
                <w:bCs/>
                <w:color w:val="C00000"/>
                <w:sz w:val="20"/>
                <w:szCs w:val="20"/>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FA7D89" w:rsidRPr="00EF4C8C" w:rsidRDefault="00FA7D89" w:rsidP="00FA7D89">
            <w:pPr>
              <w:spacing w:after="0"/>
              <w:jc w:val="center"/>
              <w:rPr>
                <w:rFonts w:cs="Calibri"/>
                <w:b/>
                <w:bCs/>
                <w:color w:val="C00000"/>
                <w:sz w:val="20"/>
                <w:szCs w:val="20"/>
              </w:rPr>
            </w:pPr>
          </w:p>
        </w:tc>
        <w:tc>
          <w:tcPr>
            <w:tcW w:w="320" w:type="dxa"/>
            <w:tcBorders>
              <w:top w:val="single" w:sz="4" w:space="0" w:color="auto"/>
              <w:left w:val="nil"/>
              <w:bottom w:val="single" w:sz="4" w:space="0" w:color="auto"/>
              <w:right w:val="single" w:sz="4" w:space="0" w:color="auto"/>
            </w:tcBorders>
            <w:shd w:val="clear" w:color="auto" w:fill="auto"/>
            <w:vAlign w:val="center"/>
          </w:tcPr>
          <w:p w:rsidR="00FA7D89" w:rsidRPr="00EF4C8C" w:rsidRDefault="00FA7D89" w:rsidP="00FA7D89">
            <w:pPr>
              <w:spacing w:after="0"/>
              <w:jc w:val="center"/>
              <w:rPr>
                <w:rFonts w:cs="Calibri"/>
                <w:b/>
                <w:bCs/>
                <w:color w:val="C00000"/>
                <w:sz w:val="20"/>
                <w:szCs w:val="20"/>
              </w:rPr>
            </w:pPr>
          </w:p>
        </w:tc>
        <w:tc>
          <w:tcPr>
            <w:tcW w:w="343" w:type="dxa"/>
            <w:tcBorders>
              <w:top w:val="single" w:sz="4" w:space="0" w:color="auto"/>
              <w:left w:val="nil"/>
              <w:bottom w:val="single" w:sz="4" w:space="0" w:color="auto"/>
              <w:right w:val="single" w:sz="4" w:space="0" w:color="auto"/>
            </w:tcBorders>
            <w:shd w:val="clear" w:color="000000" w:fill="FFFF00"/>
            <w:vAlign w:val="center"/>
          </w:tcPr>
          <w:p w:rsidR="00FA7D89" w:rsidRPr="00EF4C8C" w:rsidRDefault="00FA7D89" w:rsidP="00FA7D89">
            <w:pPr>
              <w:spacing w:after="0"/>
              <w:jc w:val="center"/>
              <w:rPr>
                <w:rFonts w:cs="Calibri"/>
                <w:b/>
                <w:bCs/>
                <w:color w:val="C00000"/>
                <w:sz w:val="20"/>
                <w:szCs w:val="20"/>
              </w:rPr>
            </w:pPr>
          </w:p>
        </w:tc>
      </w:tr>
    </w:tbl>
    <w:p w:rsidR="00FA7D89" w:rsidRDefault="00FA7D89" w:rsidP="00FA7D89">
      <w:pPr>
        <w:spacing w:after="0" w:line="276" w:lineRule="auto"/>
        <w:rPr>
          <w:rFonts w:ascii="Tahoma" w:hAnsi="Tahoma" w:cs="Tahoma"/>
          <w:bCs/>
        </w:rPr>
      </w:pPr>
    </w:p>
    <w:p w:rsidR="00FA7D89" w:rsidRPr="00FA7D89" w:rsidRDefault="00FA7D89" w:rsidP="000829D9">
      <w:pPr>
        <w:autoSpaceDE w:val="0"/>
        <w:autoSpaceDN w:val="0"/>
        <w:adjustRightInd w:val="0"/>
        <w:spacing w:after="0" w:line="276" w:lineRule="auto"/>
        <w:jc w:val="both"/>
        <w:rPr>
          <w:rFonts w:ascii="Tahoma" w:hAnsi="Tahoma" w:cs="Tahoma"/>
          <w:color w:val="000000"/>
        </w:rPr>
      </w:pPr>
      <w:r w:rsidRPr="00FA7D89">
        <w:rPr>
          <w:rFonts w:ascii="Tahoma" w:hAnsi="Tahoma" w:cs="Tahoma"/>
          <w:color w:val="000000"/>
        </w:rPr>
        <w:t xml:space="preserve">Občina Prevalje bo pristopila k izvedbi projekta samo ob pogoju, da bo pridobila sofinancerska sredstva s strani Republike Slovenije, Ministrstva za okolje in prostor, Dunajska cesta 48, 1000 Ljubljana. </w:t>
      </w:r>
    </w:p>
    <w:p w:rsidR="00FA7D89" w:rsidRPr="00FA7D89" w:rsidRDefault="00FA7D89" w:rsidP="00FA7D89">
      <w:pPr>
        <w:autoSpaceDE w:val="0"/>
        <w:autoSpaceDN w:val="0"/>
        <w:adjustRightInd w:val="0"/>
        <w:spacing w:after="0" w:line="276" w:lineRule="auto"/>
        <w:jc w:val="both"/>
        <w:rPr>
          <w:rFonts w:ascii="Tahoma" w:hAnsi="Tahoma" w:cs="Tahoma"/>
          <w:color w:val="000000"/>
        </w:rPr>
      </w:pPr>
    </w:p>
    <w:sectPr w:rsidR="00FA7D89" w:rsidRPr="00FA7D89" w:rsidSect="00395BE6">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49B7"/>
    <w:multiLevelType w:val="hybridMultilevel"/>
    <w:tmpl w:val="88D03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A947B5"/>
    <w:multiLevelType w:val="hybridMultilevel"/>
    <w:tmpl w:val="676C23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8F7059"/>
    <w:multiLevelType w:val="hybridMultilevel"/>
    <w:tmpl w:val="BB820214"/>
    <w:lvl w:ilvl="0" w:tplc="CAD299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EC933E3"/>
    <w:multiLevelType w:val="hybridMultilevel"/>
    <w:tmpl w:val="7C5E89E0"/>
    <w:lvl w:ilvl="0" w:tplc="8280ED1E">
      <w:start w:val="1"/>
      <w:numFmt w:val="bullet"/>
      <w:lvlText w:val="-"/>
      <w:lvlJc w:val="left"/>
      <w:pPr>
        <w:ind w:left="720" w:hanging="360"/>
      </w:pPr>
      <w:rPr>
        <w:rFonts w:ascii="Arial" w:eastAsiaTheme="minorHAns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AB563F8"/>
    <w:multiLevelType w:val="hybridMultilevel"/>
    <w:tmpl w:val="B87AA070"/>
    <w:lvl w:ilvl="0" w:tplc="04240001">
      <w:start w:val="1"/>
      <w:numFmt w:val="bullet"/>
      <w:lvlText w:val=""/>
      <w:lvlJc w:val="left"/>
      <w:pPr>
        <w:ind w:left="6" w:hanging="360"/>
      </w:pPr>
      <w:rPr>
        <w:rFonts w:ascii="Symbol" w:hAnsi="Symbol" w:hint="default"/>
      </w:rPr>
    </w:lvl>
    <w:lvl w:ilvl="1" w:tplc="04240003" w:tentative="1">
      <w:start w:val="1"/>
      <w:numFmt w:val="bullet"/>
      <w:lvlText w:val="o"/>
      <w:lvlJc w:val="left"/>
      <w:pPr>
        <w:ind w:left="726" w:hanging="360"/>
      </w:pPr>
      <w:rPr>
        <w:rFonts w:ascii="Courier New" w:hAnsi="Courier New" w:cs="Courier New"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5" w15:restartNumberingAfterBreak="0">
    <w:nsid w:val="76C77206"/>
    <w:multiLevelType w:val="hybridMultilevel"/>
    <w:tmpl w:val="E91A26E6"/>
    <w:lvl w:ilvl="0" w:tplc="04240001">
      <w:start w:val="1"/>
      <w:numFmt w:val="bullet"/>
      <w:lvlText w:val=""/>
      <w:lvlJc w:val="left"/>
      <w:pPr>
        <w:ind w:left="360" w:hanging="360"/>
      </w:pPr>
      <w:rPr>
        <w:rFonts w:ascii="Symbol" w:hAnsi="Symbol" w:hint="default"/>
      </w:rPr>
    </w:lvl>
    <w:lvl w:ilvl="1" w:tplc="B126A97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7D8741F"/>
    <w:multiLevelType w:val="hybridMultilevel"/>
    <w:tmpl w:val="D9285F2C"/>
    <w:lvl w:ilvl="0" w:tplc="0F1E5A04">
      <w:start w:val="2"/>
      <w:numFmt w:val="bullet"/>
      <w:lvlText w:val="-"/>
      <w:lvlJc w:val="left"/>
      <w:pPr>
        <w:ind w:left="720" w:hanging="360"/>
      </w:pPr>
      <w:rPr>
        <w:rFonts w:ascii="Verdana" w:eastAsia="Times New Roman"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CEE"/>
    <w:rsid w:val="000829D9"/>
    <w:rsid w:val="000A2700"/>
    <w:rsid w:val="000D22D3"/>
    <w:rsid w:val="001A4B0F"/>
    <w:rsid w:val="001D6742"/>
    <w:rsid w:val="00244425"/>
    <w:rsid w:val="00291E65"/>
    <w:rsid w:val="00395BE6"/>
    <w:rsid w:val="003E443E"/>
    <w:rsid w:val="003F2100"/>
    <w:rsid w:val="00432F3E"/>
    <w:rsid w:val="004E6B4E"/>
    <w:rsid w:val="00557312"/>
    <w:rsid w:val="00685103"/>
    <w:rsid w:val="00762757"/>
    <w:rsid w:val="009251C3"/>
    <w:rsid w:val="009E2010"/>
    <w:rsid w:val="00A51191"/>
    <w:rsid w:val="00A72391"/>
    <w:rsid w:val="00AD2D8D"/>
    <w:rsid w:val="00AE460D"/>
    <w:rsid w:val="00B5493B"/>
    <w:rsid w:val="00B67F43"/>
    <w:rsid w:val="00B77E82"/>
    <w:rsid w:val="00BA4230"/>
    <w:rsid w:val="00BB13A6"/>
    <w:rsid w:val="00BC3053"/>
    <w:rsid w:val="00BC48E7"/>
    <w:rsid w:val="00BC7DBF"/>
    <w:rsid w:val="00BE2CEE"/>
    <w:rsid w:val="00C94B2B"/>
    <w:rsid w:val="00D17AD6"/>
    <w:rsid w:val="00DD2659"/>
    <w:rsid w:val="00E2604D"/>
    <w:rsid w:val="00E34073"/>
    <w:rsid w:val="00F90E12"/>
    <w:rsid w:val="00FA7D89"/>
    <w:rsid w:val="00FF10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92DF"/>
  <w15:chartTrackingRefBased/>
  <w15:docId w15:val="{3EC500F5-D0C4-4E57-81F6-4B17652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4poudarek1">
    <w:name w:val="Grid Table 4 Accent 1"/>
    <w:basedOn w:val="Navadnatabela"/>
    <w:uiPriority w:val="49"/>
    <w:rsid w:val="00BE2CEE"/>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svetlamrea2poudarek1">
    <w:name w:val="Grid Table 2 Accent 1"/>
    <w:basedOn w:val="Navadnatabela"/>
    <w:uiPriority w:val="47"/>
    <w:rsid w:val="00BE2CE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mrea4poudarek5">
    <w:name w:val="Grid Table 4 Accent 5"/>
    <w:basedOn w:val="Navadnatabela"/>
    <w:uiPriority w:val="49"/>
    <w:rsid w:val="00BE2CE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Odstavekseznama">
    <w:name w:val="List Paragraph"/>
    <w:basedOn w:val="Navaden"/>
    <w:uiPriority w:val="34"/>
    <w:qFormat/>
    <w:rsid w:val="00BE2CEE"/>
    <w:pPr>
      <w:ind w:left="720"/>
      <w:contextualSpacing/>
    </w:pPr>
  </w:style>
  <w:style w:type="paragraph" w:customStyle="1" w:styleId="Default">
    <w:name w:val="Default"/>
    <w:basedOn w:val="Navaden"/>
    <w:rsid w:val="00BE2CEE"/>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Standard">
    <w:name w:val="Standard"/>
    <w:rsid w:val="00FA7D89"/>
    <w:pPr>
      <w:suppressAutoHyphens/>
      <w:spacing w:after="0" w:line="240" w:lineRule="auto"/>
      <w:jc w:val="both"/>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24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316</Words>
  <Characters>1803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Racunalnik Racunalnik</dc:creator>
  <cp:keywords/>
  <dc:description/>
  <cp:lastModifiedBy>Lavra</cp:lastModifiedBy>
  <cp:revision>9</cp:revision>
  <cp:lastPrinted>2019-01-31T12:52:00Z</cp:lastPrinted>
  <dcterms:created xsi:type="dcterms:W3CDTF">2019-01-16T11:08:00Z</dcterms:created>
  <dcterms:modified xsi:type="dcterms:W3CDTF">2020-05-13T09:55:00Z</dcterms:modified>
</cp:coreProperties>
</file>