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69"/>
      </w:tblGrid>
      <w:tr w:rsidR="002F3B17" w:rsidRPr="002F3B17" w:rsidTr="002F3B17">
        <w:trPr>
          <w:tblCellSpacing w:w="0" w:type="dxa"/>
          <w:hidden/>
        </w:trPr>
        <w:tc>
          <w:tcPr>
            <w:tcW w:w="0" w:type="auto"/>
            <w:vAlign w:val="center"/>
            <w:hideMark/>
          </w:tcPr>
          <w:p w:rsidR="002F3B17" w:rsidRPr="002F3B17" w:rsidRDefault="002F3B17" w:rsidP="002F3B17">
            <w:pPr>
              <w:spacing w:after="0" w:line="240" w:lineRule="auto"/>
              <w:rPr>
                <w:rFonts w:ascii="Times New Roman" w:eastAsia="Times New Roman" w:hAnsi="Times New Roman" w:cs="Times New Roman"/>
                <w:vanish/>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9069"/>
            </w:tblGrid>
            <w:tr w:rsidR="002F3B17" w:rsidRPr="002F3B17">
              <w:trPr>
                <w:trHeight w:val="72"/>
                <w:tblCellSpacing w:w="0" w:type="dxa"/>
              </w:trPr>
              <w:tc>
                <w:tcPr>
                  <w:tcW w:w="0" w:type="auto"/>
                  <w:vAlign w:val="center"/>
                  <w:hideMark/>
                </w:tcPr>
                <w:p w:rsidR="002F3B17" w:rsidRPr="002F3B17" w:rsidRDefault="002F3B17" w:rsidP="002F3B17">
                  <w:pPr>
                    <w:spacing w:after="0" w:line="240" w:lineRule="auto"/>
                    <w:rPr>
                      <w:rFonts w:ascii="Times New Roman" w:eastAsia="Times New Roman" w:hAnsi="Times New Roman" w:cs="Times New Roman"/>
                      <w:sz w:val="8"/>
                      <w:szCs w:val="24"/>
                      <w:lang w:eastAsia="sl-SI"/>
                    </w:rPr>
                  </w:pPr>
                  <w:bookmarkStart w:id="0" w:name="_GoBack"/>
                  <w:bookmarkEnd w:id="0"/>
                </w:p>
              </w:tc>
            </w:tr>
          </w:tbl>
          <w:p w:rsidR="002F3B17" w:rsidRPr="002F3B17" w:rsidRDefault="002F3B17" w:rsidP="002F3B17">
            <w:pPr>
              <w:spacing w:after="0" w:line="240" w:lineRule="auto"/>
              <w:rPr>
                <w:rFonts w:ascii="Times New Roman" w:eastAsia="Times New Roman" w:hAnsi="Times New Roman" w:cs="Times New Roman"/>
                <w:sz w:val="24"/>
                <w:szCs w:val="24"/>
                <w:lang w:eastAsia="sl-SI"/>
              </w:rPr>
            </w:pPr>
          </w:p>
        </w:tc>
      </w:tr>
    </w:tbl>
    <w:p w:rsidR="002F3B17" w:rsidRPr="002F3B17" w:rsidRDefault="002F3B17" w:rsidP="002F3B17">
      <w:pPr>
        <w:spacing w:after="0" w:line="240" w:lineRule="auto"/>
        <w:rPr>
          <w:rFonts w:ascii="Times New Roman" w:eastAsia="Times New Roman" w:hAnsi="Times New Roman" w:cs="Times New Roman"/>
          <w:vanish/>
          <w:sz w:val="24"/>
          <w:szCs w:val="24"/>
          <w:lang w:eastAsia="sl-SI"/>
        </w:rPr>
      </w:pPr>
    </w:p>
    <w:tbl>
      <w:tblPr>
        <w:tblW w:w="9214" w:type="dxa"/>
        <w:tblCellMar>
          <w:left w:w="0" w:type="dxa"/>
          <w:right w:w="0" w:type="dxa"/>
        </w:tblCellMar>
        <w:tblLook w:val="04A0" w:firstRow="1" w:lastRow="0" w:firstColumn="1" w:lastColumn="0" w:noHBand="0" w:noVBand="1"/>
      </w:tblPr>
      <w:tblGrid>
        <w:gridCol w:w="9214"/>
      </w:tblGrid>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BB48CE" w:rsidRPr="00BB48CE" w:rsidRDefault="00BB48CE" w:rsidP="00BB48CE">
            <w:pPr>
              <w:spacing w:after="0"/>
              <w:rPr>
                <w:rFonts w:ascii="Arial" w:eastAsia="Times New Roman" w:hAnsi="Arial" w:cs="Arial"/>
                <w:b/>
                <w:lang w:eastAsia="sl-SI"/>
              </w:rPr>
            </w:pPr>
            <w:r w:rsidRPr="00BB48CE">
              <w:rPr>
                <w:rFonts w:ascii="Arial" w:eastAsia="Times New Roman" w:hAnsi="Arial" w:cs="Arial"/>
                <w:lang w:eastAsia="sl-SI"/>
              </w:rPr>
              <w:t xml:space="preserve">                                                                                                                             </w:t>
            </w:r>
            <w:r w:rsidRPr="00BB48CE">
              <w:rPr>
                <w:rFonts w:ascii="Arial" w:eastAsia="Times New Roman" w:hAnsi="Arial" w:cs="Arial"/>
                <w:b/>
                <w:lang w:eastAsia="sl-SI"/>
              </w:rPr>
              <w:t>PREDLOG</w:t>
            </w:r>
          </w:p>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Na podlagi 30. člena </w:t>
            </w:r>
            <w:hyperlink r:id="rId5" w:history="1">
              <w:r w:rsidRPr="00BB48CE">
                <w:rPr>
                  <w:rFonts w:ascii="Arial" w:eastAsia="Times New Roman" w:hAnsi="Arial" w:cs="Arial"/>
                  <w:lang w:eastAsia="sl-SI"/>
                </w:rPr>
                <w:t>Zakona o lokalni samoupravi</w:t>
              </w:r>
            </w:hyperlink>
            <w:r w:rsidRPr="00BB48CE">
              <w:rPr>
                <w:rFonts w:ascii="Arial" w:eastAsia="Times New Roman" w:hAnsi="Arial" w:cs="Arial"/>
                <w:lang w:eastAsia="sl-SI"/>
              </w:rPr>
              <w:t xml:space="preserve"> (ZLS-UPB2)(Uradni list RS, štev. 94/07, 27/08-odločba US, 76/08 – ZLS-O, 79/09 – ZLS-P. 14/10 – odločba US, 51/10 – ZLS-R</w:t>
            </w:r>
            <w:r w:rsidR="00B107B0" w:rsidRPr="00BB48CE">
              <w:rPr>
                <w:rFonts w:ascii="Arial" w:eastAsia="Times New Roman" w:hAnsi="Arial" w:cs="Arial"/>
                <w:lang w:eastAsia="sl-SI"/>
              </w:rPr>
              <w:t xml:space="preserve">, </w:t>
            </w:r>
            <w:hyperlink r:id="rId6" w:tgtFrame="_blank" w:tooltip="Zakon za uravnoteženje javnih financ" w:history="1">
              <w:r w:rsidR="00B107B0" w:rsidRPr="00BB48CE">
                <w:rPr>
                  <w:rFonts w:ascii="Arial" w:hAnsi="Arial" w:cs="Arial"/>
                </w:rPr>
                <w:t>40/12</w:t>
              </w:r>
            </w:hyperlink>
            <w:r w:rsidR="00B107B0" w:rsidRPr="00BB48CE">
              <w:rPr>
                <w:rFonts w:ascii="Arial" w:hAnsi="Arial" w:cs="Arial"/>
              </w:rPr>
              <w:t xml:space="preserve"> – ZUJF, </w:t>
            </w:r>
            <w:hyperlink r:id="rId7" w:tgtFrame="_blank" w:tooltip="Zakon o ukrepih za uravnoteženje javnih financ občin" w:history="1">
              <w:r w:rsidR="00B107B0" w:rsidRPr="00BB48CE">
                <w:rPr>
                  <w:rFonts w:ascii="Arial" w:hAnsi="Arial" w:cs="Arial"/>
                </w:rPr>
                <w:t>14/15</w:t>
              </w:r>
            </w:hyperlink>
            <w:r w:rsidR="00B107B0" w:rsidRPr="00BB48CE">
              <w:rPr>
                <w:rFonts w:ascii="Arial" w:hAnsi="Arial" w:cs="Arial"/>
              </w:rPr>
              <w:t xml:space="preserve"> – ZUUJFO, </w:t>
            </w:r>
            <w:hyperlink r:id="rId8" w:tgtFrame="_blank" w:tooltip="Zakon o stvarnem premoženju države in samoupravnih lokalnih skupnosti" w:history="1">
              <w:r w:rsidR="00B107B0" w:rsidRPr="00BB48CE">
                <w:rPr>
                  <w:rFonts w:ascii="Arial" w:hAnsi="Arial" w:cs="Arial"/>
                </w:rPr>
                <w:t>11/18</w:t>
              </w:r>
            </w:hyperlink>
            <w:r w:rsidR="00B107B0" w:rsidRPr="00BB48CE">
              <w:rPr>
                <w:rFonts w:ascii="Arial" w:hAnsi="Arial" w:cs="Arial"/>
              </w:rPr>
              <w:t xml:space="preserve"> – ZSPDSLS-1 in </w:t>
            </w:r>
            <w:hyperlink r:id="rId9" w:tgtFrame="_blank" w:tooltip="Zakon o spremembah in dopolnitvah Zakona o lokalni samoupravi" w:history="1">
              <w:r w:rsidR="00B107B0" w:rsidRPr="00BB48CE">
                <w:rPr>
                  <w:rFonts w:ascii="Arial" w:hAnsi="Arial" w:cs="Arial"/>
                </w:rPr>
                <w:t>30/18</w:t>
              </w:r>
            </w:hyperlink>
            <w:r w:rsidRPr="00BB48CE">
              <w:rPr>
                <w:rFonts w:ascii="Arial" w:eastAsia="Times New Roman" w:hAnsi="Arial" w:cs="Arial"/>
                <w:lang w:eastAsia="sl-SI"/>
              </w:rPr>
              <w:t xml:space="preserve">) in </w:t>
            </w:r>
            <w:r w:rsidR="00B107B0" w:rsidRPr="00BB48CE">
              <w:rPr>
                <w:rFonts w:ascii="Arial" w:eastAsia="Times New Roman" w:hAnsi="Arial" w:cs="Arial"/>
                <w:lang w:eastAsia="sl-SI"/>
              </w:rPr>
              <w:t xml:space="preserve">56. in 57. </w:t>
            </w:r>
            <w:r w:rsidRPr="00BB48CE">
              <w:rPr>
                <w:rFonts w:ascii="Arial" w:eastAsia="Times New Roman" w:hAnsi="Arial" w:cs="Arial"/>
                <w:lang w:eastAsia="sl-SI"/>
              </w:rPr>
              <w:t xml:space="preserve">člena </w:t>
            </w:r>
            <w:hyperlink r:id="rId10" w:history="1">
              <w:r w:rsidRPr="00BB48CE">
                <w:rPr>
                  <w:rFonts w:ascii="Arial" w:eastAsia="Times New Roman" w:hAnsi="Arial" w:cs="Arial"/>
                  <w:lang w:eastAsia="sl-SI"/>
                </w:rPr>
                <w:t>Statuta Občine Vitanje</w:t>
              </w:r>
            </w:hyperlink>
            <w:r w:rsidRPr="00BB48CE">
              <w:rPr>
                <w:rFonts w:ascii="Arial" w:eastAsia="Times New Roman" w:hAnsi="Arial" w:cs="Arial"/>
                <w:lang w:eastAsia="sl-SI"/>
              </w:rPr>
              <w:t xml:space="preserve"> </w:t>
            </w:r>
            <w:r w:rsidR="00B107B0" w:rsidRPr="00BB48CE">
              <w:rPr>
                <w:rFonts w:ascii="Arial" w:eastAsia="Times New Roman" w:hAnsi="Arial" w:cs="Arial"/>
                <w:lang w:eastAsia="sl-SI"/>
              </w:rPr>
              <w:t xml:space="preserve">(Uradno glasilo slovenskih občin, št. 49/2017) </w:t>
            </w:r>
            <w:r w:rsidRPr="00BB48CE">
              <w:rPr>
                <w:rFonts w:ascii="Arial" w:eastAsia="Times New Roman" w:hAnsi="Arial" w:cs="Arial"/>
                <w:lang w:eastAsia="sl-SI"/>
              </w:rPr>
              <w:t xml:space="preserve"> je Občinsk</w:t>
            </w:r>
            <w:r w:rsidR="00B107B0" w:rsidRPr="00BB48CE">
              <w:rPr>
                <w:rFonts w:ascii="Arial" w:eastAsia="Times New Roman" w:hAnsi="Arial" w:cs="Arial"/>
                <w:lang w:eastAsia="sl-SI"/>
              </w:rPr>
              <w:t>i svet Občine Vitanje na svoji ______</w:t>
            </w:r>
            <w:r w:rsidRPr="00BB48CE">
              <w:rPr>
                <w:rFonts w:ascii="Arial" w:eastAsia="Times New Roman" w:hAnsi="Arial" w:cs="Arial"/>
                <w:lang w:eastAsia="sl-SI"/>
              </w:rPr>
              <w:t>redni seji dne</w:t>
            </w:r>
            <w:r w:rsidR="00BB48CE" w:rsidRPr="00BB48CE">
              <w:rPr>
                <w:rFonts w:ascii="Arial" w:eastAsia="Times New Roman" w:hAnsi="Arial" w:cs="Arial"/>
                <w:lang w:eastAsia="sl-SI"/>
              </w:rPr>
              <w:t xml:space="preserve"> ________ </w:t>
            </w:r>
            <w:r w:rsidRPr="00BB48CE">
              <w:rPr>
                <w:rFonts w:ascii="Arial" w:eastAsia="Times New Roman" w:hAnsi="Arial" w:cs="Arial"/>
                <w:lang w:eastAsia="sl-SI"/>
              </w:rPr>
              <w:t>sprejel</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color w:val="000000"/>
                <w:lang w:eastAsia="sl-SI"/>
              </w:rPr>
              <w:t>ODLOK O</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color w:val="000000"/>
                <w:lang w:eastAsia="sl-SI"/>
              </w:rPr>
              <w:t>USTANOVITVI SVETOV VAŠKIH SKUPNOSTI IN TRŠKE SKUPNOSTI OBČINE VITANJE</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I.       Splošne določbe</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1.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V občini Vitanje se ustanovijo sveti va</w:t>
            </w:r>
            <w:r w:rsidR="00090D34" w:rsidRPr="00BB48CE">
              <w:rPr>
                <w:rFonts w:ascii="Arial" w:eastAsia="Times New Roman" w:hAnsi="Arial" w:cs="Arial"/>
                <w:lang w:eastAsia="sl-SI"/>
              </w:rPr>
              <w:t xml:space="preserve">ških skupnosti za Ljubnico, </w:t>
            </w:r>
            <w:r w:rsidRPr="00BB48CE">
              <w:rPr>
                <w:rFonts w:ascii="Arial" w:eastAsia="Times New Roman" w:hAnsi="Arial" w:cs="Arial"/>
                <w:lang w:eastAsia="sl-SI"/>
              </w:rPr>
              <w:t>Stenico, Vitanjsko Skomarje, Brezen, Sp. Dolič, Pako in Hudinjo (v nadaljevanju vaške skupnosti).</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BB48CE" w:rsidP="00BB48CE">
            <w:pPr>
              <w:spacing w:after="0"/>
              <w:rPr>
                <w:rFonts w:ascii="Arial" w:eastAsia="Times New Roman" w:hAnsi="Arial" w:cs="Arial"/>
                <w:lang w:eastAsia="sl-SI"/>
              </w:rPr>
            </w:pPr>
            <w:r w:rsidRPr="00BB48CE">
              <w:rPr>
                <w:rFonts w:ascii="Arial" w:eastAsia="Times New Roman" w:hAnsi="Arial" w:cs="Arial"/>
                <w:lang w:eastAsia="sl-SI"/>
              </w:rPr>
              <w:t>Za naselje Vitanje se ustanovi S</w:t>
            </w:r>
            <w:r w:rsidR="002F3B17" w:rsidRPr="00BB48CE">
              <w:rPr>
                <w:rFonts w:ascii="Arial" w:eastAsia="Times New Roman" w:hAnsi="Arial" w:cs="Arial"/>
                <w:lang w:eastAsia="sl-SI"/>
              </w:rPr>
              <w:t>vet Trške skupnosti Vitanje.</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2.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Sveti vaških skupnosti in Trške skupnosti Vitanje so ustanovljeni v skladu s 30. členom zakona o lokalni samoupravi in so delovna ter posvetovalna telesa občinskemu svetu, županu in občinski upravi Občine Vitanje ter dajejo tem organom mnenja in predloge.</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Organi občine so dolžni vse predloge svetov vaških in trške skupnosti vzeti na znanje in jih obravnavati v okviru denarnih in drugih možnosti. Na mnenja pa niso vezani in lahko sprejmejo tudi drugačno odločitev.</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3.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Sveti vaških skupnosti in Trške skupnosti Vitanje imajo svojega predsednika in določeno število članov.</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Svet vaške skupnosti ima najmanj pet članov (1 svetnik + 4 člani) oziroma največ devet (1 svetnik + 8 članov), s tem da za vaško skupnost Ljubnica velja najmanjše število p</w:t>
            </w:r>
            <w:r w:rsidR="00EE0EEE" w:rsidRPr="00BB48CE">
              <w:rPr>
                <w:rFonts w:ascii="Arial" w:eastAsia="Times New Roman" w:hAnsi="Arial" w:cs="Arial"/>
                <w:lang w:eastAsia="sl-SI"/>
              </w:rPr>
              <w:t>et in največje število enajst (1</w:t>
            </w:r>
            <w:r w:rsidRPr="00BB48CE">
              <w:rPr>
                <w:rFonts w:ascii="Arial" w:eastAsia="Times New Roman" w:hAnsi="Arial" w:cs="Arial"/>
                <w:lang w:eastAsia="sl-SI"/>
              </w:rPr>
              <w:t xml:space="preserve"> svetnik</w:t>
            </w:r>
            <w:r w:rsidR="00EE0EEE" w:rsidRPr="00BB48CE">
              <w:rPr>
                <w:rFonts w:ascii="Arial" w:eastAsia="Times New Roman" w:hAnsi="Arial" w:cs="Arial"/>
                <w:lang w:eastAsia="sl-SI"/>
              </w:rPr>
              <w:t>a + 4 oz. 10</w:t>
            </w:r>
            <w:r w:rsidRPr="00BB48CE">
              <w:rPr>
                <w:rFonts w:ascii="Arial" w:eastAsia="Times New Roman" w:hAnsi="Arial" w:cs="Arial"/>
                <w:lang w:eastAsia="sl-SI"/>
              </w:rPr>
              <w:t xml:space="preserve"> članov). V svetih vaških skupnosti Ljubnica, Stenica in Vitanjsko Skomarje, kjer sta voljena dva člana občinskega sveta, sta lahko tudi oba člana omenjenih svetov vaških skupnosti.</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Člani občinskega sveta z območja posameznih vaških skupnosti so avtomatično člani svetov vaških skupnosti območja, kjer so bili izvoljeni, z omenjenimi izjemami vaških skupnostih Ljubnica, Stenica in Vitanjsko Skomarje. Vsak svet vaške skupnosti mora imeti najmanj enega člana občinskega sveta.</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Svet Trške skupnosti Vitanje mora imeti najmanj devet članov (5 svetnikov + 4 člani) oziroma največ enajst članov (5 svetnikov + 6 članov). Svetniki, izvoljeni v naselju Vitanje, so avtomatično člani sveta Trške skupnosti Vitanje.</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4.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Člani svetov vaških skupnosti in Trške skupnosti Vitanje so izvoljeni za dobo štirih let do naslednjih volitev.</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Mandat članov svetov vaških skupnosti in Trške skupnosti Vitanje sovpada z mandati članov občinskega sveta in se vsa pravila glede začetka mandatov, sej in poteka mandatov uporabljajo tudi za člane svetov vaških in trške skupnosti.</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lastRenderedPageBreak/>
              <w:t>Predsednike svetov vaških skupnosti in Trške skupnosti Vitanje izvolijo člani omenjenih skupnosti sami in ne more biti član občinskega sveta. Občinski svet občine Vitanje pri potrditvi odloka potrdi tudi predsednike svetov vaških in trške skupnosti.</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5.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Predsednik sveta vaške skupnosti in Trške skupnosti Vitanje:</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         sklicuje in vodi seje ter predlaga dnevni red,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         organizira in vodi delo skupnosti,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         sodeluje z županom, podžupanom, člani občinskega sveta in delavci občinske uprave,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         dobiva gradivo za seje občinskega sveta in lahko sodeluje na sejah,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         skrbi za izvajanje sprejetih sklepov,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         opravlja druge naloge, določene s tem odlokom.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II.      Sestava vaški</w:t>
            </w:r>
            <w:r w:rsidR="00EE0EEE" w:rsidRPr="00BB48CE">
              <w:rPr>
                <w:rFonts w:ascii="Arial" w:eastAsia="Times New Roman" w:hAnsi="Arial" w:cs="Arial"/>
                <w:b/>
                <w:bCs/>
                <w:lang w:eastAsia="sl-SI"/>
              </w:rPr>
              <w:t>h skupnosti in trške skupnosti V</w:t>
            </w:r>
            <w:r w:rsidRPr="00BB48CE">
              <w:rPr>
                <w:rFonts w:ascii="Arial" w:eastAsia="Times New Roman" w:hAnsi="Arial" w:cs="Arial"/>
                <w:b/>
                <w:bCs/>
                <w:lang w:eastAsia="sl-SI"/>
              </w:rPr>
              <w:t>itanje</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6.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II. 1.    VAŠKA SKUPNOST LJUBNICA</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II. 1. 1.       </w:t>
            </w:r>
            <w:r w:rsidR="00090D34" w:rsidRPr="00BB48CE">
              <w:rPr>
                <w:rFonts w:ascii="Arial" w:eastAsia="Times New Roman" w:hAnsi="Arial" w:cs="Arial"/>
                <w:b/>
                <w:bCs/>
                <w:lang w:eastAsia="sl-SI"/>
              </w:rPr>
              <w:t xml:space="preserve">     VAŠKA SKUPNOST LJUBNICA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S</w:t>
            </w:r>
            <w:r w:rsidR="00090D34" w:rsidRPr="00BB48CE">
              <w:rPr>
                <w:rFonts w:ascii="Arial" w:eastAsia="Times New Roman" w:hAnsi="Arial" w:cs="Arial"/>
                <w:lang w:eastAsia="sl-SI"/>
              </w:rPr>
              <w:t>vet Vaške skupnosti Ljubnica</w:t>
            </w:r>
            <w:r w:rsidRPr="00BB48CE">
              <w:rPr>
                <w:rFonts w:ascii="Arial" w:eastAsia="Times New Roman" w:hAnsi="Arial" w:cs="Arial"/>
                <w:lang w:eastAsia="sl-SI"/>
              </w:rPr>
              <w:t xml:space="preserve"> ima </w:t>
            </w:r>
            <w:r w:rsidR="00090D34" w:rsidRPr="00BB48CE">
              <w:rPr>
                <w:rFonts w:ascii="Arial" w:eastAsia="Times New Roman" w:hAnsi="Arial" w:cs="Arial"/>
                <w:lang w:eastAsia="sl-SI"/>
              </w:rPr>
              <w:t xml:space="preserve">enajst </w:t>
            </w:r>
            <w:r w:rsidR="00190BCF" w:rsidRPr="00BB48CE">
              <w:rPr>
                <w:rFonts w:ascii="Arial" w:eastAsia="Times New Roman" w:hAnsi="Arial" w:cs="Arial"/>
                <w:lang w:eastAsia="sl-SI"/>
              </w:rPr>
              <w:t>članov in sicer</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190BCF" w:rsidRPr="00BB48CE" w:rsidRDefault="00BB48CE" w:rsidP="00BB48CE">
            <w:pPr>
              <w:spacing w:after="0"/>
              <w:rPr>
                <w:rFonts w:ascii="Arial" w:eastAsia="Times New Roman" w:hAnsi="Arial" w:cs="Arial"/>
                <w:lang w:eastAsia="sl-SI"/>
              </w:rPr>
            </w:pPr>
            <w:r>
              <w:rPr>
                <w:rFonts w:ascii="Arial" w:eastAsia="Times New Roman" w:hAnsi="Arial" w:cs="Arial"/>
                <w:lang w:eastAsia="sl-SI"/>
              </w:rPr>
              <w:t>Andrej Rotovnik</w:t>
            </w:r>
            <w:r w:rsidR="00090D34" w:rsidRPr="00BB48CE">
              <w:rPr>
                <w:rFonts w:ascii="Arial" w:eastAsia="Times New Roman" w:hAnsi="Arial" w:cs="Arial"/>
                <w:lang w:eastAsia="sl-SI"/>
              </w:rPr>
              <w:t>– predsednik</w:t>
            </w:r>
            <w:r w:rsidR="000A7FC5" w:rsidRPr="00BB48CE">
              <w:rPr>
                <w:rFonts w:ascii="Arial" w:eastAsia="Times New Roman" w:hAnsi="Arial" w:cs="Arial"/>
                <w:lang w:eastAsia="sl-SI"/>
              </w:rPr>
              <w:t xml:space="preserve">, </w:t>
            </w:r>
            <w:r>
              <w:rPr>
                <w:rFonts w:ascii="Arial" w:eastAsia="Times New Roman" w:hAnsi="Arial" w:cs="Arial"/>
                <w:lang w:eastAsia="sl-SI"/>
              </w:rPr>
              <w:t>Bojan Grm, Jože Kričaj, Monika Kovše</w:t>
            </w:r>
            <w:r w:rsidR="00190BCF" w:rsidRPr="00BB48CE">
              <w:rPr>
                <w:rFonts w:ascii="Arial" w:eastAsia="Times New Roman" w:hAnsi="Arial" w:cs="Arial"/>
                <w:lang w:eastAsia="sl-SI"/>
              </w:rPr>
              <w:t xml:space="preserve">, </w:t>
            </w:r>
            <w:r>
              <w:rPr>
                <w:rFonts w:ascii="Arial" w:eastAsia="Times New Roman" w:hAnsi="Arial" w:cs="Arial"/>
                <w:lang w:eastAsia="sl-SI"/>
              </w:rPr>
              <w:t>Marko Rotovnik</w:t>
            </w:r>
            <w:r w:rsidR="00190BCF" w:rsidRPr="00BB48CE">
              <w:rPr>
                <w:rFonts w:ascii="Arial" w:eastAsia="Times New Roman" w:hAnsi="Arial" w:cs="Arial"/>
                <w:lang w:eastAsia="sl-SI"/>
              </w:rPr>
              <w:t>,</w:t>
            </w:r>
          </w:p>
          <w:p w:rsidR="002F3B17" w:rsidRPr="00BB48CE" w:rsidRDefault="00BB48CE" w:rsidP="00BB48CE">
            <w:pPr>
              <w:spacing w:after="0"/>
              <w:rPr>
                <w:rFonts w:ascii="Arial" w:eastAsia="Times New Roman" w:hAnsi="Arial" w:cs="Arial"/>
                <w:lang w:eastAsia="sl-SI"/>
              </w:rPr>
            </w:pPr>
            <w:r>
              <w:rPr>
                <w:rFonts w:ascii="Arial" w:eastAsia="Times New Roman" w:hAnsi="Arial" w:cs="Arial"/>
                <w:lang w:eastAsia="sl-SI"/>
              </w:rPr>
              <w:t xml:space="preserve">Silvo </w:t>
            </w:r>
            <w:proofErr w:type="spellStart"/>
            <w:r>
              <w:rPr>
                <w:rFonts w:ascii="Arial" w:eastAsia="Times New Roman" w:hAnsi="Arial" w:cs="Arial"/>
                <w:lang w:eastAsia="sl-SI"/>
              </w:rPr>
              <w:t>Rošer</w:t>
            </w:r>
            <w:proofErr w:type="spellEnd"/>
            <w:r>
              <w:rPr>
                <w:rFonts w:ascii="Arial" w:eastAsia="Times New Roman" w:hAnsi="Arial" w:cs="Arial"/>
                <w:lang w:eastAsia="sl-SI"/>
              </w:rPr>
              <w:t xml:space="preserve">, David </w:t>
            </w:r>
            <w:proofErr w:type="spellStart"/>
            <w:r>
              <w:rPr>
                <w:rFonts w:ascii="Arial" w:eastAsia="Times New Roman" w:hAnsi="Arial" w:cs="Arial"/>
                <w:lang w:eastAsia="sl-SI"/>
              </w:rPr>
              <w:t>Brodej</w:t>
            </w:r>
            <w:proofErr w:type="spellEnd"/>
            <w:r>
              <w:rPr>
                <w:rFonts w:ascii="Arial" w:eastAsia="Times New Roman" w:hAnsi="Arial" w:cs="Arial"/>
                <w:lang w:eastAsia="sl-SI"/>
              </w:rPr>
              <w:t xml:space="preserve">, Silvo </w:t>
            </w:r>
            <w:proofErr w:type="spellStart"/>
            <w:r>
              <w:rPr>
                <w:rFonts w:ascii="Arial" w:eastAsia="Times New Roman" w:hAnsi="Arial" w:cs="Arial"/>
                <w:lang w:eastAsia="sl-SI"/>
              </w:rPr>
              <w:t>Rušnik</w:t>
            </w:r>
            <w:proofErr w:type="spellEnd"/>
            <w:r>
              <w:rPr>
                <w:rFonts w:ascii="Arial" w:eastAsia="Times New Roman" w:hAnsi="Arial" w:cs="Arial"/>
                <w:lang w:eastAsia="sl-SI"/>
              </w:rPr>
              <w:t xml:space="preserve">, Mihael </w:t>
            </w:r>
            <w:proofErr w:type="spellStart"/>
            <w:r>
              <w:rPr>
                <w:rFonts w:ascii="Arial" w:eastAsia="Times New Roman" w:hAnsi="Arial" w:cs="Arial"/>
                <w:lang w:eastAsia="sl-SI"/>
              </w:rPr>
              <w:t>Kremar</w:t>
            </w:r>
            <w:proofErr w:type="spellEnd"/>
            <w:r>
              <w:rPr>
                <w:rFonts w:ascii="Arial" w:eastAsia="Times New Roman" w:hAnsi="Arial" w:cs="Arial"/>
                <w:lang w:eastAsia="sl-SI"/>
              </w:rPr>
              <w:t xml:space="preserve">, Janez Kričaj, Simon </w:t>
            </w:r>
            <w:proofErr w:type="spellStart"/>
            <w:r>
              <w:rPr>
                <w:rFonts w:ascii="Arial" w:eastAsia="Times New Roman" w:hAnsi="Arial" w:cs="Arial"/>
                <w:lang w:eastAsia="sl-SI"/>
              </w:rPr>
              <w:t>Golenač</w:t>
            </w:r>
            <w:proofErr w:type="spellEnd"/>
            <w:r>
              <w:rPr>
                <w:rFonts w:ascii="Arial" w:eastAsia="Times New Roman" w:hAnsi="Arial" w:cs="Arial"/>
                <w:lang w:eastAsia="sl-SI"/>
              </w:rPr>
              <w:t>.</w:t>
            </w:r>
            <w:r w:rsidR="00090D34" w:rsidRPr="00BB48CE">
              <w:rPr>
                <w:rFonts w:ascii="Arial" w:eastAsia="Times New Roman" w:hAnsi="Arial" w:cs="Arial"/>
                <w:lang w:eastAsia="sl-SI"/>
              </w:rPr>
              <w:t xml:space="preserve">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190BCF" w:rsidRPr="00BB48CE" w:rsidRDefault="00190BCF" w:rsidP="00BB48CE">
            <w:pPr>
              <w:spacing w:after="0"/>
              <w:jc w:val="center"/>
              <w:rPr>
                <w:rFonts w:ascii="Arial" w:eastAsia="Times New Roman" w:hAnsi="Arial" w:cs="Arial"/>
                <w:b/>
                <w:bCs/>
                <w:lang w:eastAsia="sl-SI"/>
              </w:rPr>
            </w:pPr>
          </w:p>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7.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II. 2.    VAŠKA SKUPNOST STENICA</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Svet </w:t>
            </w:r>
            <w:r w:rsidR="00FF43E7" w:rsidRPr="00BB48CE">
              <w:rPr>
                <w:rFonts w:ascii="Arial" w:eastAsia="Times New Roman" w:hAnsi="Arial" w:cs="Arial"/>
                <w:lang w:eastAsia="sl-SI"/>
              </w:rPr>
              <w:t>Vaške skupnosti Stenica ima devet</w:t>
            </w:r>
            <w:r w:rsidRPr="00BB48CE">
              <w:rPr>
                <w:rFonts w:ascii="Arial" w:eastAsia="Times New Roman" w:hAnsi="Arial" w:cs="Arial"/>
                <w:lang w:eastAsia="sl-SI"/>
              </w:rPr>
              <w:t xml:space="preserve"> članov in sicer:</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BB48CE" w:rsidP="00BB48CE">
            <w:pPr>
              <w:spacing w:after="0"/>
              <w:rPr>
                <w:rFonts w:ascii="Arial" w:eastAsia="Times New Roman" w:hAnsi="Arial" w:cs="Arial"/>
                <w:lang w:eastAsia="sl-SI"/>
              </w:rPr>
            </w:pPr>
            <w:r>
              <w:rPr>
                <w:rFonts w:ascii="Arial" w:eastAsia="Times New Roman" w:hAnsi="Arial" w:cs="Arial"/>
                <w:lang w:eastAsia="sl-SI"/>
              </w:rPr>
              <w:t xml:space="preserve">Stanko Gorjup – predsednik, Edi Vodovnik, Peter Jelenko, Peter Bukovec, Petra Bukovec </w:t>
            </w:r>
            <w:proofErr w:type="spellStart"/>
            <w:r>
              <w:rPr>
                <w:rFonts w:ascii="Arial" w:eastAsia="Times New Roman" w:hAnsi="Arial" w:cs="Arial"/>
                <w:lang w:eastAsia="sl-SI"/>
              </w:rPr>
              <w:t>Mauh</w:t>
            </w:r>
            <w:proofErr w:type="spellEnd"/>
            <w:r>
              <w:rPr>
                <w:rFonts w:ascii="Arial" w:eastAsia="Times New Roman" w:hAnsi="Arial" w:cs="Arial"/>
                <w:lang w:eastAsia="sl-SI"/>
              </w:rPr>
              <w:t xml:space="preserve">, Herman Mlinšek, Štefan </w:t>
            </w:r>
            <w:proofErr w:type="spellStart"/>
            <w:r>
              <w:rPr>
                <w:rFonts w:ascii="Arial" w:eastAsia="Times New Roman" w:hAnsi="Arial" w:cs="Arial"/>
                <w:lang w:eastAsia="sl-SI"/>
              </w:rPr>
              <w:t>Brodej</w:t>
            </w:r>
            <w:proofErr w:type="spellEnd"/>
            <w:r>
              <w:rPr>
                <w:rFonts w:ascii="Arial" w:eastAsia="Times New Roman" w:hAnsi="Arial" w:cs="Arial"/>
                <w:lang w:eastAsia="sl-SI"/>
              </w:rPr>
              <w:t xml:space="preserve">, Janez Kričaj, Simon </w:t>
            </w:r>
            <w:proofErr w:type="spellStart"/>
            <w:r>
              <w:rPr>
                <w:rFonts w:ascii="Arial" w:eastAsia="Times New Roman" w:hAnsi="Arial" w:cs="Arial"/>
                <w:lang w:eastAsia="sl-SI"/>
              </w:rPr>
              <w:t>Golenač</w:t>
            </w:r>
            <w:proofErr w:type="spellEnd"/>
            <w:r>
              <w:rPr>
                <w:rFonts w:ascii="Arial" w:eastAsia="Times New Roman" w:hAnsi="Arial" w:cs="Arial"/>
                <w:lang w:eastAsia="sl-SI"/>
              </w:rPr>
              <w:t>.</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8.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II. 3.    VAŠKA SKUPNOST VITANJSKO SKOMARJE</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Svet Vaške skupnosti Vitanjsko Skomarje ima sedem članov in sicer:</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BB48CE" w:rsidP="00BB48CE">
            <w:pPr>
              <w:spacing w:after="0"/>
              <w:rPr>
                <w:rFonts w:ascii="Arial" w:eastAsia="Times New Roman" w:hAnsi="Arial" w:cs="Arial"/>
                <w:lang w:eastAsia="sl-SI"/>
              </w:rPr>
            </w:pPr>
            <w:r>
              <w:rPr>
                <w:rFonts w:ascii="Arial" w:eastAsia="Times New Roman" w:hAnsi="Arial" w:cs="Arial"/>
                <w:lang w:eastAsia="sl-SI"/>
              </w:rPr>
              <w:t xml:space="preserve">Simon </w:t>
            </w:r>
            <w:proofErr w:type="spellStart"/>
            <w:r>
              <w:rPr>
                <w:rFonts w:ascii="Arial" w:eastAsia="Times New Roman" w:hAnsi="Arial" w:cs="Arial"/>
                <w:lang w:eastAsia="sl-SI"/>
              </w:rPr>
              <w:t>Sojč</w:t>
            </w:r>
            <w:proofErr w:type="spellEnd"/>
            <w:r w:rsidR="00190BCF" w:rsidRPr="00BB48CE">
              <w:rPr>
                <w:rFonts w:ascii="Arial" w:eastAsia="Times New Roman" w:hAnsi="Arial" w:cs="Arial"/>
                <w:lang w:eastAsia="sl-SI"/>
              </w:rPr>
              <w:t xml:space="preserve"> –</w:t>
            </w:r>
            <w:r w:rsidR="002F3B17" w:rsidRPr="00BB48CE">
              <w:rPr>
                <w:rFonts w:ascii="Arial" w:eastAsia="Times New Roman" w:hAnsi="Arial" w:cs="Arial"/>
                <w:lang w:eastAsia="sl-SI"/>
              </w:rPr>
              <w:t xml:space="preserve"> predsednik</w:t>
            </w:r>
            <w:r>
              <w:rPr>
                <w:rFonts w:ascii="Arial" w:eastAsia="Times New Roman" w:hAnsi="Arial" w:cs="Arial"/>
                <w:lang w:eastAsia="sl-SI"/>
              </w:rPr>
              <w:t xml:space="preserve">, Emil Kričaj, Ivan Kranjčan, Franc Klemenc, Jože Fijavž, Janez Kričaj, Simon </w:t>
            </w:r>
            <w:proofErr w:type="spellStart"/>
            <w:r>
              <w:rPr>
                <w:rFonts w:ascii="Arial" w:eastAsia="Times New Roman" w:hAnsi="Arial" w:cs="Arial"/>
                <w:lang w:eastAsia="sl-SI"/>
              </w:rPr>
              <w:t>Golenač</w:t>
            </w:r>
            <w:proofErr w:type="spellEnd"/>
            <w:r>
              <w:rPr>
                <w:rFonts w:ascii="Arial" w:eastAsia="Times New Roman" w:hAnsi="Arial" w:cs="Arial"/>
                <w:lang w:eastAsia="sl-SI"/>
              </w:rPr>
              <w:t>.</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9.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II. 4. VAŠKA SKUPNOST BREZEN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Svet </w:t>
            </w:r>
            <w:r w:rsidR="00311055" w:rsidRPr="00BB48CE">
              <w:rPr>
                <w:rFonts w:ascii="Arial" w:eastAsia="Times New Roman" w:hAnsi="Arial" w:cs="Arial"/>
                <w:lang w:eastAsia="sl-SI"/>
              </w:rPr>
              <w:t>Vaške skupnosti Brezen ima devet</w:t>
            </w:r>
            <w:r w:rsidRPr="00BB48CE">
              <w:rPr>
                <w:rFonts w:ascii="Arial" w:eastAsia="Times New Roman" w:hAnsi="Arial" w:cs="Arial"/>
                <w:lang w:eastAsia="sl-SI"/>
              </w:rPr>
              <w:t xml:space="preserve"> članov in sicer:</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BB48CE" w:rsidP="00BB48CE">
            <w:pPr>
              <w:spacing w:after="0"/>
              <w:rPr>
                <w:rFonts w:ascii="Arial" w:eastAsia="Times New Roman" w:hAnsi="Arial" w:cs="Arial"/>
                <w:lang w:eastAsia="sl-SI"/>
              </w:rPr>
            </w:pPr>
            <w:r>
              <w:rPr>
                <w:rFonts w:ascii="Arial" w:eastAsia="Times New Roman" w:hAnsi="Arial" w:cs="Arial"/>
                <w:lang w:eastAsia="sl-SI"/>
              </w:rPr>
              <w:t xml:space="preserve">Ivan Založnik – predsednik, Robert Lončarič, Jože Javornik, Vera </w:t>
            </w:r>
            <w:proofErr w:type="spellStart"/>
            <w:r>
              <w:rPr>
                <w:rFonts w:ascii="Arial" w:eastAsia="Times New Roman" w:hAnsi="Arial" w:cs="Arial"/>
                <w:lang w:eastAsia="sl-SI"/>
              </w:rPr>
              <w:t>Brezlan</w:t>
            </w:r>
            <w:proofErr w:type="spellEnd"/>
            <w:r>
              <w:rPr>
                <w:rFonts w:ascii="Arial" w:eastAsia="Times New Roman" w:hAnsi="Arial" w:cs="Arial"/>
                <w:lang w:eastAsia="sl-SI"/>
              </w:rPr>
              <w:t xml:space="preserve">, Anton Skok, Rado Kovše, Jože </w:t>
            </w:r>
            <w:proofErr w:type="spellStart"/>
            <w:r>
              <w:rPr>
                <w:rFonts w:ascii="Arial" w:eastAsia="Times New Roman" w:hAnsi="Arial" w:cs="Arial"/>
                <w:lang w:eastAsia="sl-SI"/>
              </w:rPr>
              <w:t>Brodej</w:t>
            </w:r>
            <w:proofErr w:type="spellEnd"/>
            <w:r>
              <w:rPr>
                <w:rFonts w:ascii="Arial" w:eastAsia="Times New Roman" w:hAnsi="Arial" w:cs="Arial"/>
                <w:lang w:eastAsia="sl-SI"/>
              </w:rPr>
              <w:t>, Viki Oprešnik, Milan Ovčar.</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10.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II. 5. VAŠKA SKUPNOST SPODNJI DOLIČ</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Svet Vaške skupnosti Spodnji Dolič ima </w:t>
            </w:r>
            <w:r w:rsidR="001B3C15" w:rsidRPr="00BB48CE">
              <w:rPr>
                <w:rFonts w:ascii="Arial" w:eastAsia="Times New Roman" w:hAnsi="Arial" w:cs="Arial"/>
                <w:lang w:eastAsia="sl-SI"/>
              </w:rPr>
              <w:t>sedem</w:t>
            </w:r>
            <w:r w:rsidRPr="00BB48CE">
              <w:rPr>
                <w:rFonts w:ascii="Arial" w:eastAsia="Times New Roman" w:hAnsi="Arial" w:cs="Arial"/>
                <w:lang w:eastAsia="sl-SI"/>
              </w:rPr>
              <w:t xml:space="preserve"> članov in sicer:</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F83BD2" w:rsidRPr="00BB48CE" w:rsidRDefault="00BB48CE" w:rsidP="00BB48CE">
            <w:pPr>
              <w:spacing w:after="0"/>
              <w:rPr>
                <w:rFonts w:ascii="Arial" w:eastAsia="Times New Roman" w:hAnsi="Arial" w:cs="Arial"/>
                <w:lang w:eastAsia="sl-SI"/>
              </w:rPr>
            </w:pPr>
            <w:r>
              <w:rPr>
                <w:rFonts w:ascii="Arial" w:eastAsia="Times New Roman" w:hAnsi="Arial" w:cs="Arial"/>
                <w:lang w:eastAsia="sl-SI"/>
              </w:rPr>
              <w:t>Drago Lužnik</w:t>
            </w:r>
            <w:r w:rsidR="006C2E63" w:rsidRPr="00BB48CE">
              <w:rPr>
                <w:rFonts w:ascii="Arial" w:eastAsia="Times New Roman" w:hAnsi="Arial" w:cs="Arial"/>
                <w:lang w:eastAsia="sl-SI"/>
              </w:rPr>
              <w:t xml:space="preserve"> </w:t>
            </w:r>
            <w:r w:rsidR="00F83BD2" w:rsidRPr="00BB48CE">
              <w:rPr>
                <w:rFonts w:ascii="Arial" w:eastAsia="Times New Roman" w:hAnsi="Arial" w:cs="Arial"/>
                <w:lang w:eastAsia="sl-SI"/>
              </w:rPr>
              <w:t>–</w:t>
            </w:r>
            <w:r>
              <w:rPr>
                <w:rFonts w:ascii="Arial" w:eastAsia="Times New Roman" w:hAnsi="Arial" w:cs="Arial"/>
                <w:lang w:eastAsia="sl-SI"/>
              </w:rPr>
              <w:t xml:space="preserve"> predsednik, Milan </w:t>
            </w:r>
            <w:proofErr w:type="spellStart"/>
            <w:r>
              <w:rPr>
                <w:rFonts w:ascii="Arial" w:eastAsia="Times New Roman" w:hAnsi="Arial" w:cs="Arial"/>
                <w:lang w:eastAsia="sl-SI"/>
              </w:rPr>
              <w:t>Rošer</w:t>
            </w:r>
            <w:proofErr w:type="spellEnd"/>
            <w:r>
              <w:rPr>
                <w:rFonts w:ascii="Arial" w:eastAsia="Times New Roman" w:hAnsi="Arial" w:cs="Arial"/>
                <w:lang w:eastAsia="sl-SI"/>
              </w:rPr>
              <w:t xml:space="preserve">, Peter </w:t>
            </w:r>
            <w:proofErr w:type="spellStart"/>
            <w:r>
              <w:rPr>
                <w:rFonts w:ascii="Arial" w:eastAsia="Times New Roman" w:hAnsi="Arial" w:cs="Arial"/>
                <w:lang w:eastAsia="sl-SI"/>
              </w:rPr>
              <w:t>Mauc</w:t>
            </w:r>
            <w:proofErr w:type="spellEnd"/>
            <w:r>
              <w:rPr>
                <w:rFonts w:ascii="Arial" w:eastAsia="Times New Roman" w:hAnsi="Arial" w:cs="Arial"/>
                <w:lang w:eastAsia="sl-SI"/>
              </w:rPr>
              <w:t xml:space="preserve">, Roman Kričaj, Vili </w:t>
            </w:r>
            <w:proofErr w:type="spellStart"/>
            <w:r>
              <w:rPr>
                <w:rFonts w:ascii="Arial" w:eastAsia="Times New Roman" w:hAnsi="Arial" w:cs="Arial"/>
                <w:lang w:eastAsia="sl-SI"/>
              </w:rPr>
              <w:t>Repas</w:t>
            </w:r>
            <w:proofErr w:type="spellEnd"/>
            <w:r>
              <w:rPr>
                <w:rFonts w:ascii="Arial" w:eastAsia="Times New Roman" w:hAnsi="Arial" w:cs="Arial"/>
                <w:lang w:eastAsia="sl-SI"/>
              </w:rPr>
              <w:t>, Vlado Pogladič, Anton Kuzman.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11.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II. 6.    VAŠKA SKUPNOST PAKA</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Svet Vaške skupnosti Paka ima </w:t>
            </w:r>
            <w:r w:rsidR="00311055" w:rsidRPr="00BB48CE">
              <w:rPr>
                <w:rFonts w:ascii="Arial" w:eastAsia="Times New Roman" w:hAnsi="Arial" w:cs="Arial"/>
                <w:lang w:eastAsia="sl-SI"/>
              </w:rPr>
              <w:t>devet</w:t>
            </w:r>
            <w:r w:rsidRPr="00BB48CE">
              <w:rPr>
                <w:rFonts w:ascii="Arial" w:eastAsia="Times New Roman" w:hAnsi="Arial" w:cs="Arial"/>
                <w:lang w:eastAsia="sl-SI"/>
              </w:rPr>
              <w:t xml:space="preserve"> članov in sicer:</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BB48CE" w:rsidP="00BB48CE">
            <w:pPr>
              <w:spacing w:after="0"/>
              <w:rPr>
                <w:rFonts w:ascii="Arial" w:eastAsia="Times New Roman" w:hAnsi="Arial" w:cs="Arial"/>
                <w:lang w:eastAsia="sl-SI"/>
              </w:rPr>
            </w:pPr>
            <w:r>
              <w:rPr>
                <w:rFonts w:ascii="Arial" w:eastAsia="Times New Roman" w:hAnsi="Arial" w:cs="Arial"/>
                <w:lang w:eastAsia="sl-SI"/>
              </w:rPr>
              <w:lastRenderedPageBreak/>
              <w:t>Simon Krajnc</w:t>
            </w:r>
            <w:r w:rsidR="006C2E63" w:rsidRPr="00BB48CE">
              <w:rPr>
                <w:rFonts w:ascii="Arial" w:eastAsia="Times New Roman" w:hAnsi="Arial" w:cs="Arial"/>
                <w:lang w:eastAsia="sl-SI"/>
              </w:rPr>
              <w:t xml:space="preserve"> –</w:t>
            </w:r>
            <w:r w:rsidR="003D6762" w:rsidRPr="00BB48CE">
              <w:rPr>
                <w:rFonts w:ascii="Arial" w:eastAsia="Times New Roman" w:hAnsi="Arial" w:cs="Arial"/>
                <w:lang w:eastAsia="sl-SI"/>
              </w:rPr>
              <w:t xml:space="preserve"> predsednik</w:t>
            </w:r>
            <w:r>
              <w:rPr>
                <w:rFonts w:ascii="Arial" w:eastAsia="Times New Roman" w:hAnsi="Arial" w:cs="Arial"/>
                <w:lang w:eastAsia="sl-SI"/>
              </w:rPr>
              <w:t xml:space="preserve">, Edi Ošlak, Damjan Pušnik, Jernej </w:t>
            </w:r>
            <w:proofErr w:type="spellStart"/>
            <w:r>
              <w:rPr>
                <w:rFonts w:ascii="Arial" w:eastAsia="Times New Roman" w:hAnsi="Arial" w:cs="Arial"/>
                <w:lang w:eastAsia="sl-SI"/>
              </w:rPr>
              <w:t>Skarlovnik</w:t>
            </w:r>
            <w:proofErr w:type="spellEnd"/>
            <w:r>
              <w:rPr>
                <w:rFonts w:ascii="Arial" w:eastAsia="Times New Roman" w:hAnsi="Arial" w:cs="Arial"/>
                <w:lang w:eastAsia="sl-SI"/>
              </w:rPr>
              <w:t xml:space="preserve">, Matej Jeseničnik, Janko Oprešnik, Andrej Ošlak, Gregor Hrovat, Anton </w:t>
            </w:r>
            <w:proofErr w:type="spellStart"/>
            <w:r>
              <w:rPr>
                <w:rFonts w:ascii="Arial" w:eastAsia="Times New Roman" w:hAnsi="Arial" w:cs="Arial"/>
                <w:lang w:eastAsia="sl-SI"/>
              </w:rPr>
              <w:t>Slatinek</w:t>
            </w:r>
            <w:proofErr w:type="spellEnd"/>
            <w:r>
              <w:rPr>
                <w:rFonts w:ascii="Arial" w:eastAsia="Times New Roman" w:hAnsi="Arial" w:cs="Arial"/>
                <w:lang w:eastAsia="sl-SI"/>
              </w:rPr>
              <w:t>.</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12.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II. 7.    VAŠKA SKUPNOST HUDINJA</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Svet Vaške skupnosti Hudinja ima </w:t>
            </w:r>
            <w:r w:rsidR="003D6762" w:rsidRPr="00BB48CE">
              <w:rPr>
                <w:rFonts w:ascii="Arial" w:eastAsia="Times New Roman" w:hAnsi="Arial" w:cs="Arial"/>
                <w:lang w:eastAsia="sl-SI"/>
              </w:rPr>
              <w:t>osem</w:t>
            </w:r>
            <w:r w:rsidRPr="00BB48CE">
              <w:rPr>
                <w:rFonts w:ascii="Arial" w:eastAsia="Times New Roman" w:hAnsi="Arial" w:cs="Arial"/>
                <w:lang w:eastAsia="sl-SI"/>
              </w:rPr>
              <w:t xml:space="preserve"> članov in sicer:</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BB48CE" w:rsidP="00BB48CE">
            <w:pPr>
              <w:spacing w:after="0"/>
              <w:rPr>
                <w:rFonts w:ascii="Arial" w:eastAsia="Times New Roman" w:hAnsi="Arial" w:cs="Arial"/>
                <w:lang w:eastAsia="sl-SI"/>
              </w:rPr>
            </w:pPr>
            <w:r>
              <w:rPr>
                <w:rFonts w:ascii="Arial" w:eastAsia="Times New Roman" w:hAnsi="Arial" w:cs="Arial"/>
                <w:lang w:eastAsia="sl-SI"/>
              </w:rPr>
              <w:t>Silvo Klemenc</w:t>
            </w:r>
            <w:r w:rsidR="006C2E63" w:rsidRPr="00BB48CE">
              <w:rPr>
                <w:rFonts w:ascii="Arial" w:eastAsia="Times New Roman" w:hAnsi="Arial" w:cs="Arial"/>
                <w:lang w:eastAsia="sl-SI"/>
              </w:rPr>
              <w:t xml:space="preserve"> –</w:t>
            </w:r>
            <w:r w:rsidR="003D6762" w:rsidRPr="00BB48CE">
              <w:rPr>
                <w:rFonts w:ascii="Arial" w:eastAsia="Times New Roman" w:hAnsi="Arial" w:cs="Arial"/>
                <w:lang w:eastAsia="sl-SI"/>
              </w:rPr>
              <w:t xml:space="preserve"> predsednik</w:t>
            </w:r>
            <w:r>
              <w:rPr>
                <w:rFonts w:ascii="Arial" w:eastAsia="Times New Roman" w:hAnsi="Arial" w:cs="Arial"/>
                <w:lang w:eastAsia="sl-SI"/>
              </w:rPr>
              <w:t>, Matej Hren, Matjaž Črešnar, Milan Klemenc, Emil Sevšek, Ivan Pungartnik, Janez Pogorevc, Milan Hrovat.</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rPr>
          <w:trHeight w:val="204"/>
        </w:trPr>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13.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II. 8. TRŠKA SKUPNOST VITANJE</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xml:space="preserve">Svet Trške skupnosti Vitanje ima </w:t>
            </w:r>
            <w:r w:rsidR="00A762E5" w:rsidRPr="00BB48CE">
              <w:rPr>
                <w:rFonts w:ascii="Arial" w:eastAsia="Times New Roman" w:hAnsi="Arial" w:cs="Arial"/>
                <w:lang w:eastAsia="sl-SI"/>
              </w:rPr>
              <w:t>dvanajst</w:t>
            </w:r>
            <w:r w:rsidRPr="00BB48CE">
              <w:rPr>
                <w:rFonts w:ascii="Arial" w:eastAsia="Times New Roman" w:hAnsi="Arial" w:cs="Arial"/>
                <w:lang w:eastAsia="sl-SI"/>
              </w:rPr>
              <w:t xml:space="preserve"> članov in sicer:</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185E4F" w:rsidP="00185E4F">
            <w:pPr>
              <w:spacing w:after="0"/>
              <w:rPr>
                <w:rFonts w:ascii="Arial" w:eastAsia="Times New Roman" w:hAnsi="Arial" w:cs="Arial"/>
                <w:lang w:eastAsia="sl-SI"/>
              </w:rPr>
            </w:pPr>
            <w:r>
              <w:rPr>
                <w:rFonts w:ascii="Arial" w:eastAsia="Times New Roman" w:hAnsi="Arial" w:cs="Arial"/>
                <w:lang w:eastAsia="sl-SI"/>
              </w:rPr>
              <w:t>Urška Maligoj</w:t>
            </w:r>
            <w:r w:rsidR="006C2E63" w:rsidRPr="00BB48CE">
              <w:rPr>
                <w:rFonts w:ascii="Arial" w:eastAsia="Times New Roman" w:hAnsi="Arial" w:cs="Arial"/>
                <w:lang w:eastAsia="sl-SI"/>
              </w:rPr>
              <w:t xml:space="preserve"> –</w:t>
            </w:r>
            <w:r w:rsidR="00D86EF2" w:rsidRPr="00BB48CE">
              <w:rPr>
                <w:rFonts w:ascii="Arial" w:eastAsia="Times New Roman" w:hAnsi="Arial" w:cs="Arial"/>
                <w:lang w:eastAsia="sl-SI"/>
              </w:rPr>
              <w:t xml:space="preserve"> predsednica</w:t>
            </w:r>
            <w:r>
              <w:rPr>
                <w:rFonts w:ascii="Arial" w:eastAsia="Times New Roman" w:hAnsi="Arial" w:cs="Arial"/>
                <w:lang w:eastAsia="sl-SI"/>
              </w:rPr>
              <w:t xml:space="preserve">, Božidar Pesjak, Ivan </w:t>
            </w:r>
            <w:proofErr w:type="spellStart"/>
            <w:r>
              <w:rPr>
                <w:rFonts w:ascii="Arial" w:eastAsia="Times New Roman" w:hAnsi="Arial" w:cs="Arial"/>
                <w:lang w:eastAsia="sl-SI"/>
              </w:rPr>
              <w:t>Višnjar</w:t>
            </w:r>
            <w:proofErr w:type="spellEnd"/>
            <w:r>
              <w:rPr>
                <w:rFonts w:ascii="Arial" w:eastAsia="Times New Roman" w:hAnsi="Arial" w:cs="Arial"/>
                <w:lang w:eastAsia="sl-SI"/>
              </w:rPr>
              <w:t xml:space="preserve">, Ivan Borovnik, Matjaž Hrženjak, Matic Borovnik, Dejan Fijavž, Andraž Pogorevc, Marija Jeseničnik, Viljem </w:t>
            </w:r>
            <w:proofErr w:type="spellStart"/>
            <w:r>
              <w:rPr>
                <w:rFonts w:ascii="Arial" w:eastAsia="Times New Roman" w:hAnsi="Arial" w:cs="Arial"/>
                <w:lang w:eastAsia="sl-SI"/>
              </w:rPr>
              <w:t>Petaci</w:t>
            </w:r>
            <w:proofErr w:type="spellEnd"/>
            <w:r>
              <w:rPr>
                <w:rFonts w:ascii="Arial" w:eastAsia="Times New Roman" w:hAnsi="Arial" w:cs="Arial"/>
                <w:lang w:eastAsia="sl-SI"/>
              </w:rPr>
              <w:t>, Andrej Poklič, Rok Zlodej.</w:t>
            </w:r>
          </w:p>
          <w:p w:rsidR="006C2E63" w:rsidRPr="00BB48CE" w:rsidRDefault="006C2E63" w:rsidP="00BB48CE">
            <w:pPr>
              <w:spacing w:after="0"/>
              <w:ind w:left="142"/>
              <w:rPr>
                <w:rFonts w:ascii="Arial" w:eastAsia="Times New Roman" w:hAnsi="Arial" w:cs="Arial"/>
                <w:lang w:eastAsia="sl-SI"/>
              </w:rPr>
            </w:pP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 III.   Prehodne in končne določbe</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b/>
                <w:bCs/>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14.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EE0EEE" w:rsidRPr="00BB48CE" w:rsidRDefault="002F3B17" w:rsidP="00BB48CE">
            <w:pPr>
              <w:spacing w:after="0"/>
              <w:rPr>
                <w:rFonts w:ascii="Arial" w:eastAsia="Times New Roman" w:hAnsi="Arial" w:cs="Arial"/>
                <w:color w:val="0070C0"/>
                <w:lang w:eastAsia="sl-SI"/>
              </w:rPr>
            </w:pPr>
            <w:r w:rsidRPr="00BB48CE">
              <w:rPr>
                <w:rFonts w:ascii="Arial" w:eastAsia="Times New Roman" w:hAnsi="Arial" w:cs="Arial"/>
                <w:lang w:eastAsia="sl-SI"/>
              </w:rPr>
              <w:t xml:space="preserve">Z dnem, ko začne veljati ta odlok, preneha veljati </w:t>
            </w:r>
            <w:r w:rsidR="00EE0EEE" w:rsidRPr="00185E4F">
              <w:rPr>
                <w:rFonts w:ascii="Arial" w:eastAsia="Times New Roman" w:hAnsi="Arial" w:cs="Arial"/>
                <w:lang w:eastAsia="sl-SI"/>
              </w:rPr>
              <w:t xml:space="preserve">Odlok o ustanovitvi svetov vaških in trške skupnosti Občine Vitanje (Uradno glasilo slovenskih občin, št. </w:t>
            </w:r>
            <w:r w:rsidR="00106F93" w:rsidRPr="00185E4F">
              <w:rPr>
                <w:rFonts w:ascii="Arial" w:eastAsia="Times New Roman" w:hAnsi="Arial" w:cs="Arial"/>
                <w:lang w:eastAsia="sl-SI"/>
              </w:rPr>
              <w:t>16/2015).</w:t>
            </w:r>
          </w:p>
          <w:tbl>
            <w:tblPr>
              <w:tblW w:w="5000" w:type="pct"/>
              <w:tblCellSpacing w:w="0" w:type="dxa"/>
              <w:tblCellMar>
                <w:left w:w="0" w:type="dxa"/>
                <w:right w:w="0" w:type="dxa"/>
              </w:tblCellMar>
              <w:tblLook w:val="04A0" w:firstRow="1" w:lastRow="0" w:firstColumn="1" w:lastColumn="0" w:noHBand="0" w:noVBand="1"/>
            </w:tblPr>
            <w:tblGrid>
              <w:gridCol w:w="8998"/>
            </w:tblGrid>
            <w:tr w:rsidR="00EE0EEE" w:rsidRPr="00BB48CE" w:rsidTr="00473001">
              <w:trPr>
                <w:tblCellSpacing w:w="0" w:type="dxa"/>
              </w:trPr>
              <w:tc>
                <w:tcPr>
                  <w:tcW w:w="0" w:type="auto"/>
                  <w:hideMark/>
                </w:tcPr>
                <w:p w:rsidR="00EE0EEE" w:rsidRPr="00BB48CE" w:rsidRDefault="00EE0EEE" w:rsidP="00BB48CE">
                  <w:pPr>
                    <w:spacing w:after="0"/>
                    <w:rPr>
                      <w:rFonts w:ascii="Arial" w:eastAsia="Times New Roman" w:hAnsi="Arial" w:cs="Arial"/>
                      <w:color w:val="0070C0"/>
                      <w:lang w:eastAsia="sl-SI"/>
                    </w:rPr>
                  </w:pPr>
                </w:p>
              </w:tc>
            </w:tr>
            <w:tr w:rsidR="00EE0EEE" w:rsidRPr="00BB48CE" w:rsidTr="00473001">
              <w:trPr>
                <w:tblCellSpacing w:w="0" w:type="dxa"/>
              </w:trPr>
              <w:tc>
                <w:tcPr>
                  <w:tcW w:w="0" w:type="auto"/>
                  <w:tcMar>
                    <w:top w:w="0" w:type="dxa"/>
                    <w:left w:w="90" w:type="dxa"/>
                    <w:bottom w:w="0" w:type="dxa"/>
                    <w:right w:w="90" w:type="dxa"/>
                  </w:tcMar>
                  <w:vAlign w:val="center"/>
                  <w:hideMark/>
                </w:tcPr>
                <w:p w:rsidR="00EE0EEE" w:rsidRPr="00BB48CE" w:rsidRDefault="00EE0EEE" w:rsidP="00BB48CE">
                  <w:pPr>
                    <w:spacing w:after="0"/>
                    <w:rPr>
                      <w:rFonts w:ascii="Arial" w:eastAsia="Times New Roman" w:hAnsi="Arial" w:cs="Arial"/>
                      <w:color w:val="0070C0"/>
                      <w:lang w:eastAsia="sl-SI"/>
                    </w:rPr>
                  </w:pPr>
                </w:p>
              </w:tc>
            </w:tr>
            <w:tr w:rsidR="00EE0EEE" w:rsidRPr="00BB48CE" w:rsidTr="00473001">
              <w:trPr>
                <w:tblCellSpacing w:w="0" w:type="dxa"/>
              </w:trPr>
              <w:tc>
                <w:tcPr>
                  <w:tcW w:w="0" w:type="auto"/>
                  <w:tcMar>
                    <w:top w:w="0" w:type="dxa"/>
                    <w:left w:w="90" w:type="dxa"/>
                    <w:bottom w:w="0" w:type="dxa"/>
                    <w:right w:w="90" w:type="dxa"/>
                  </w:tcMar>
                  <w:vAlign w:val="center"/>
                  <w:hideMark/>
                </w:tcPr>
                <w:p w:rsidR="00EE0EEE" w:rsidRPr="00BB48CE" w:rsidRDefault="00EE0EEE" w:rsidP="00BB48CE">
                  <w:pPr>
                    <w:spacing w:after="0"/>
                    <w:rPr>
                      <w:rFonts w:ascii="Arial" w:eastAsia="Times New Roman" w:hAnsi="Arial" w:cs="Arial"/>
                      <w:color w:val="0070C0"/>
                      <w:lang w:eastAsia="sl-SI"/>
                    </w:rPr>
                  </w:pPr>
                </w:p>
              </w:tc>
            </w:tr>
            <w:tr w:rsidR="00EE0EEE" w:rsidRPr="00BB48CE" w:rsidTr="00473001">
              <w:trPr>
                <w:tblCellSpacing w:w="0" w:type="dxa"/>
              </w:trPr>
              <w:tc>
                <w:tcPr>
                  <w:tcW w:w="0" w:type="auto"/>
                  <w:tcMar>
                    <w:top w:w="0" w:type="dxa"/>
                    <w:left w:w="90" w:type="dxa"/>
                    <w:bottom w:w="0" w:type="dxa"/>
                    <w:right w:w="90" w:type="dxa"/>
                  </w:tcMar>
                  <w:vAlign w:val="center"/>
                  <w:hideMark/>
                </w:tcPr>
                <w:p w:rsidR="00EE0EEE" w:rsidRPr="00BB48CE" w:rsidRDefault="00EE0EEE" w:rsidP="00BB48CE">
                  <w:pPr>
                    <w:spacing w:after="0"/>
                    <w:rPr>
                      <w:rFonts w:ascii="Arial" w:eastAsia="Times New Roman" w:hAnsi="Arial" w:cs="Arial"/>
                      <w:color w:val="0070C0"/>
                      <w:lang w:eastAsia="sl-SI"/>
                    </w:rPr>
                  </w:pPr>
                </w:p>
              </w:tc>
            </w:tr>
            <w:tr w:rsidR="00EE0EEE" w:rsidRPr="00BB48CE" w:rsidTr="00473001">
              <w:trPr>
                <w:tblCellSpacing w:w="0" w:type="dxa"/>
              </w:trPr>
              <w:tc>
                <w:tcPr>
                  <w:tcW w:w="0" w:type="auto"/>
                  <w:tcMar>
                    <w:top w:w="0" w:type="dxa"/>
                    <w:left w:w="90" w:type="dxa"/>
                    <w:bottom w:w="0" w:type="dxa"/>
                    <w:right w:w="90" w:type="dxa"/>
                  </w:tcMar>
                  <w:vAlign w:val="center"/>
                  <w:hideMark/>
                </w:tcPr>
                <w:p w:rsidR="00EE0EEE" w:rsidRPr="00BB48CE" w:rsidRDefault="00EE0EEE" w:rsidP="00BB48CE">
                  <w:pPr>
                    <w:spacing w:after="0"/>
                    <w:rPr>
                      <w:rFonts w:ascii="Arial" w:eastAsia="Times New Roman" w:hAnsi="Arial" w:cs="Arial"/>
                      <w:color w:val="0070C0"/>
                      <w:lang w:eastAsia="sl-SI"/>
                    </w:rPr>
                  </w:pPr>
                </w:p>
              </w:tc>
            </w:tr>
            <w:tr w:rsidR="00EE0EEE" w:rsidRPr="00BB48CE" w:rsidTr="00473001">
              <w:trPr>
                <w:tblCellSpacing w:w="0" w:type="dxa"/>
              </w:trPr>
              <w:tc>
                <w:tcPr>
                  <w:tcW w:w="0" w:type="auto"/>
                  <w:tcMar>
                    <w:top w:w="0" w:type="dxa"/>
                    <w:left w:w="90" w:type="dxa"/>
                    <w:bottom w:w="0" w:type="dxa"/>
                    <w:right w:w="90" w:type="dxa"/>
                  </w:tcMar>
                  <w:vAlign w:val="center"/>
                  <w:hideMark/>
                </w:tcPr>
                <w:p w:rsidR="00EE0EEE" w:rsidRPr="00BB48CE" w:rsidRDefault="00EE0EEE" w:rsidP="00BB48CE">
                  <w:pPr>
                    <w:spacing w:after="0"/>
                    <w:rPr>
                      <w:rFonts w:ascii="Arial" w:eastAsia="Times New Roman" w:hAnsi="Arial" w:cs="Arial"/>
                      <w:color w:val="0070C0"/>
                      <w:lang w:eastAsia="sl-SI"/>
                    </w:rPr>
                  </w:pPr>
                </w:p>
              </w:tc>
            </w:tr>
          </w:tbl>
          <w:p w:rsidR="002F3B17" w:rsidRPr="00BB48CE" w:rsidRDefault="002F3B17" w:rsidP="00BB48CE">
            <w:pPr>
              <w:spacing w:after="0"/>
              <w:rPr>
                <w:rFonts w:ascii="Arial" w:eastAsia="Times New Roman" w:hAnsi="Arial" w:cs="Arial"/>
                <w:lang w:eastAsia="sl-SI"/>
              </w:rPr>
            </w:pP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jc w:val="center"/>
              <w:rPr>
                <w:rFonts w:ascii="Arial" w:eastAsia="Times New Roman" w:hAnsi="Arial" w:cs="Arial"/>
                <w:lang w:eastAsia="sl-SI"/>
              </w:rPr>
            </w:pPr>
            <w:r w:rsidRPr="00BB48CE">
              <w:rPr>
                <w:rFonts w:ascii="Arial" w:eastAsia="Times New Roman" w:hAnsi="Arial" w:cs="Arial"/>
                <w:b/>
                <w:bCs/>
                <w:lang w:eastAsia="sl-SI"/>
              </w:rPr>
              <w:t>15. člen</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Ta odlok začne veljati takoj po objavi v Uradnem glasilu slovenskih občin in se uporablja od sprejema na občinskem svetu.</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106F93" w:rsidRPr="00BB48CE" w:rsidRDefault="00106F93" w:rsidP="00BB48CE">
            <w:pPr>
              <w:spacing w:after="0"/>
              <w:rPr>
                <w:rFonts w:ascii="Arial" w:eastAsia="Times New Roman" w:hAnsi="Arial" w:cs="Arial"/>
                <w:lang w:eastAsia="sl-SI"/>
              </w:rPr>
            </w:pPr>
          </w:p>
          <w:p w:rsidR="002F3B17" w:rsidRPr="00BB48CE" w:rsidRDefault="00D86EF2" w:rsidP="00BB48CE">
            <w:pPr>
              <w:spacing w:after="0"/>
              <w:rPr>
                <w:rFonts w:ascii="Arial" w:eastAsia="Times New Roman" w:hAnsi="Arial" w:cs="Arial"/>
                <w:lang w:eastAsia="sl-SI"/>
              </w:rPr>
            </w:pPr>
            <w:r w:rsidRPr="00BB48CE">
              <w:rPr>
                <w:rFonts w:ascii="Arial" w:eastAsia="Times New Roman" w:hAnsi="Arial" w:cs="Arial"/>
                <w:lang w:eastAsia="sl-SI"/>
              </w:rPr>
              <w:t>Številka:</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A762E5" w:rsidP="00185E4F">
            <w:pPr>
              <w:spacing w:after="0"/>
              <w:rPr>
                <w:rFonts w:ascii="Arial" w:eastAsia="Times New Roman" w:hAnsi="Arial" w:cs="Arial"/>
                <w:lang w:eastAsia="sl-SI"/>
              </w:rPr>
            </w:pPr>
            <w:r w:rsidRPr="00BB48CE">
              <w:rPr>
                <w:rFonts w:ascii="Arial" w:eastAsia="Times New Roman" w:hAnsi="Arial" w:cs="Arial"/>
                <w:lang w:eastAsia="sl-SI"/>
              </w:rPr>
              <w:t xml:space="preserve">Datum: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w:t>
            </w:r>
          </w:p>
        </w:tc>
      </w:tr>
      <w:tr w:rsidR="002F3B17" w:rsidRPr="00BB48CE" w:rsidTr="00190BCF">
        <w:tc>
          <w:tcPr>
            <w:tcW w:w="9214" w:type="dxa"/>
            <w:tcBorders>
              <w:top w:val="nil"/>
              <w:left w:val="nil"/>
              <w:bottom w:val="nil"/>
              <w:right w:val="nil"/>
            </w:tcBorders>
            <w:tcMar>
              <w:top w:w="0" w:type="dxa"/>
              <w:left w:w="108" w:type="dxa"/>
              <w:bottom w:w="0" w:type="dxa"/>
              <w:right w:w="108" w:type="dxa"/>
            </w:tcMar>
            <w:hideMark/>
          </w:tcPr>
          <w:tbl>
            <w:tblPr>
              <w:tblW w:w="0" w:type="auto"/>
              <w:jc w:val="right"/>
              <w:tblCellMar>
                <w:left w:w="0" w:type="dxa"/>
                <w:right w:w="0" w:type="dxa"/>
              </w:tblCellMar>
              <w:tblLook w:val="04A0" w:firstRow="1" w:lastRow="0" w:firstColumn="1" w:lastColumn="0" w:noHBand="0" w:noVBand="1"/>
            </w:tblPr>
            <w:tblGrid>
              <w:gridCol w:w="1101"/>
              <w:gridCol w:w="3543"/>
            </w:tblGrid>
            <w:tr w:rsidR="002F3B17" w:rsidRPr="00BB48CE">
              <w:trPr>
                <w:jc w:val="right"/>
              </w:trPr>
              <w:tc>
                <w:tcPr>
                  <w:tcW w:w="1101" w:type="dxa"/>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w:t>
                  </w:r>
                </w:p>
              </w:tc>
              <w:tc>
                <w:tcPr>
                  <w:tcW w:w="3543" w:type="dxa"/>
                  <w:tcMar>
                    <w:top w:w="0" w:type="dxa"/>
                    <w:left w:w="108" w:type="dxa"/>
                    <w:bottom w:w="0" w:type="dxa"/>
                    <w:right w:w="108" w:type="dxa"/>
                  </w:tcMar>
                  <w:hideMark/>
                </w:tcPr>
                <w:p w:rsidR="002F3B17" w:rsidRPr="00BB48CE" w:rsidRDefault="00BF7B09" w:rsidP="00BF7B09">
                  <w:pPr>
                    <w:spacing w:after="0"/>
                    <w:rPr>
                      <w:rFonts w:ascii="Arial" w:eastAsia="Times New Roman" w:hAnsi="Arial" w:cs="Arial"/>
                      <w:lang w:eastAsia="sl-SI"/>
                    </w:rPr>
                  </w:pPr>
                  <w:r>
                    <w:rPr>
                      <w:rFonts w:ascii="Arial" w:eastAsia="Times New Roman" w:hAnsi="Arial" w:cs="Arial"/>
                      <w:lang w:eastAsia="sl-SI"/>
                    </w:rPr>
                    <w:t xml:space="preserve">     Župan </w:t>
                  </w:r>
                  <w:r w:rsidR="002F3B17" w:rsidRPr="00BB48CE">
                    <w:rPr>
                      <w:rFonts w:ascii="Arial" w:eastAsia="Times New Roman" w:hAnsi="Arial" w:cs="Arial"/>
                      <w:lang w:eastAsia="sl-SI"/>
                    </w:rPr>
                    <w:t xml:space="preserve">Občina Vitanje </w:t>
                  </w:r>
                </w:p>
              </w:tc>
            </w:tr>
            <w:tr w:rsidR="002F3B17" w:rsidRPr="00BB48CE">
              <w:trPr>
                <w:jc w:val="right"/>
              </w:trPr>
              <w:tc>
                <w:tcPr>
                  <w:tcW w:w="1101" w:type="dxa"/>
                  <w:tcMar>
                    <w:top w:w="0" w:type="dxa"/>
                    <w:left w:w="108" w:type="dxa"/>
                    <w:bottom w:w="0" w:type="dxa"/>
                    <w:right w:w="108" w:type="dxa"/>
                  </w:tcMar>
                  <w:hideMark/>
                </w:tcPr>
                <w:p w:rsidR="002F3B17" w:rsidRPr="00BB48CE" w:rsidRDefault="002F3B17" w:rsidP="00BB48CE">
                  <w:pPr>
                    <w:spacing w:after="0"/>
                    <w:rPr>
                      <w:rFonts w:ascii="Arial" w:eastAsia="Times New Roman" w:hAnsi="Arial" w:cs="Arial"/>
                      <w:lang w:eastAsia="sl-SI"/>
                    </w:rPr>
                  </w:pPr>
                  <w:r w:rsidRPr="00BB48CE">
                    <w:rPr>
                      <w:rFonts w:ascii="Arial" w:eastAsia="Times New Roman" w:hAnsi="Arial" w:cs="Arial"/>
                      <w:lang w:eastAsia="sl-SI"/>
                    </w:rPr>
                    <w:t> </w:t>
                  </w:r>
                </w:p>
              </w:tc>
              <w:tc>
                <w:tcPr>
                  <w:tcW w:w="3543" w:type="dxa"/>
                  <w:tcMar>
                    <w:top w:w="0" w:type="dxa"/>
                    <w:left w:w="108" w:type="dxa"/>
                    <w:bottom w:w="0" w:type="dxa"/>
                    <w:right w:w="108" w:type="dxa"/>
                  </w:tcMar>
                  <w:hideMark/>
                </w:tcPr>
                <w:p w:rsidR="002F3B17" w:rsidRPr="00BB48CE" w:rsidRDefault="00BF7B09" w:rsidP="00BF7B09">
                  <w:pPr>
                    <w:spacing w:after="0"/>
                    <w:rPr>
                      <w:rFonts w:ascii="Arial" w:eastAsia="Times New Roman" w:hAnsi="Arial" w:cs="Arial"/>
                      <w:lang w:eastAsia="sl-SI"/>
                    </w:rPr>
                  </w:pPr>
                  <w:r>
                    <w:rPr>
                      <w:rFonts w:ascii="Arial" w:eastAsia="Times New Roman" w:hAnsi="Arial" w:cs="Arial"/>
                      <w:lang w:eastAsia="sl-SI"/>
                    </w:rPr>
                    <w:t xml:space="preserve">          </w:t>
                  </w:r>
                  <w:r w:rsidR="00A762E5" w:rsidRPr="00BB48CE">
                    <w:rPr>
                      <w:rFonts w:ascii="Arial" w:eastAsia="Times New Roman" w:hAnsi="Arial" w:cs="Arial"/>
                      <w:lang w:eastAsia="sl-SI"/>
                    </w:rPr>
                    <w:t>Slavko Vetrih</w:t>
                  </w:r>
                </w:p>
              </w:tc>
            </w:tr>
          </w:tbl>
          <w:p w:rsidR="002F3B17" w:rsidRPr="00BB48CE" w:rsidRDefault="002F3B17" w:rsidP="00BB48CE">
            <w:pPr>
              <w:spacing w:after="0"/>
              <w:jc w:val="right"/>
              <w:rPr>
                <w:rFonts w:ascii="Arial" w:eastAsia="Times New Roman" w:hAnsi="Arial" w:cs="Arial"/>
                <w:lang w:eastAsia="sl-SI"/>
              </w:rPr>
            </w:pPr>
          </w:p>
        </w:tc>
      </w:tr>
    </w:tbl>
    <w:p w:rsidR="006715E8" w:rsidRPr="00BB48CE" w:rsidRDefault="006715E8" w:rsidP="00BB48CE">
      <w:pPr>
        <w:rPr>
          <w:rFonts w:ascii="Arial" w:hAnsi="Arial" w:cs="Arial"/>
        </w:rPr>
      </w:pPr>
    </w:p>
    <w:sectPr w:rsidR="006715E8" w:rsidRPr="00BB48CE" w:rsidSect="00001219">
      <w:pgSz w:w="11905" w:h="16837"/>
      <w:pgMar w:top="1418" w:right="1418" w:bottom="1418"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9A5"/>
    <w:multiLevelType w:val="hybridMultilevel"/>
    <w:tmpl w:val="2D8A566A"/>
    <w:lvl w:ilvl="0" w:tplc="C4265B84">
      <w:start w:val="1"/>
      <w:numFmt w:val="decimal"/>
      <w:lvlText w:val="%1."/>
      <w:lvlJc w:val="left"/>
      <w:pPr>
        <w:ind w:left="682" w:hanging="54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17"/>
    <w:rsid w:val="00001219"/>
    <w:rsid w:val="00090D34"/>
    <w:rsid w:val="000A7FC5"/>
    <w:rsid w:val="00106F93"/>
    <w:rsid w:val="00185E4F"/>
    <w:rsid w:val="00190BCF"/>
    <w:rsid w:val="001B3C15"/>
    <w:rsid w:val="00230C40"/>
    <w:rsid w:val="002804E5"/>
    <w:rsid w:val="002F3B17"/>
    <w:rsid w:val="00311055"/>
    <w:rsid w:val="003D6762"/>
    <w:rsid w:val="00460766"/>
    <w:rsid w:val="00642A18"/>
    <w:rsid w:val="006715E8"/>
    <w:rsid w:val="006C2E63"/>
    <w:rsid w:val="007C3785"/>
    <w:rsid w:val="00A40313"/>
    <w:rsid w:val="00A762E5"/>
    <w:rsid w:val="00B107B0"/>
    <w:rsid w:val="00BB48CE"/>
    <w:rsid w:val="00BF7B09"/>
    <w:rsid w:val="00D86EF2"/>
    <w:rsid w:val="00EE0EEE"/>
    <w:rsid w:val="00F83BD2"/>
    <w:rsid w:val="00FF43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EFBD5-CD77-46F0-89EA-111EC28F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vadnicrnitext">
    <w:name w:val="navadni_crni_text"/>
    <w:basedOn w:val="Privzetapisavaodstavka"/>
    <w:rsid w:val="002F3B17"/>
  </w:style>
  <w:style w:type="character" w:styleId="Hiperpovezava">
    <w:name w:val="Hyperlink"/>
    <w:basedOn w:val="Privzetapisavaodstavka"/>
    <w:uiPriority w:val="99"/>
    <w:semiHidden/>
    <w:unhideWhenUsed/>
    <w:rsid w:val="002F3B17"/>
    <w:rPr>
      <w:color w:val="0000FF"/>
      <w:u w:val="single"/>
    </w:rPr>
  </w:style>
  <w:style w:type="paragraph" w:styleId="Besedilooblaka">
    <w:name w:val="Balloon Text"/>
    <w:basedOn w:val="Navaden"/>
    <w:link w:val="BesedilooblakaZnak"/>
    <w:uiPriority w:val="99"/>
    <w:semiHidden/>
    <w:unhideWhenUsed/>
    <w:rsid w:val="002F3B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3B17"/>
    <w:rPr>
      <w:rFonts w:ascii="Tahoma" w:hAnsi="Tahoma" w:cs="Tahoma"/>
      <w:sz w:val="16"/>
      <w:szCs w:val="16"/>
    </w:rPr>
  </w:style>
  <w:style w:type="paragraph" w:styleId="Odstavekseznama">
    <w:name w:val="List Paragraph"/>
    <w:basedOn w:val="Navaden"/>
    <w:uiPriority w:val="34"/>
    <w:qFormat/>
    <w:rsid w:val="00F8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3" Type="http://schemas.openxmlformats.org/officeDocument/2006/relationships/settings" Target="settings.xml"/><Relationship Id="rId7" Type="http://schemas.openxmlformats.org/officeDocument/2006/relationships/hyperlink" Target="http://www.uradni-list.si/1/objava.jsp?sop=2015-01-05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2-01-1700" TargetMode="External"/><Relationship Id="rId11" Type="http://schemas.openxmlformats.org/officeDocument/2006/relationships/fontTable" Target="fontTable.xml"/><Relationship Id="rId5" Type="http://schemas.openxmlformats.org/officeDocument/2006/relationships/hyperlink" Target="http://www.pisrs.si/Pis.web/pregledPredpisa?id=ZAKO307" TargetMode="External"/><Relationship Id="rId10" Type="http://schemas.openxmlformats.org/officeDocument/2006/relationships/hyperlink" Target="http://www.lex-localis.info/KatalogInformacij/PodrobnostiDokumenta.aspx?SectionID=a69e4465-aca2-4d2b-9c29-ac7c45d049b1" TargetMode="External"/><Relationship Id="rId4" Type="http://schemas.openxmlformats.org/officeDocument/2006/relationships/webSettings" Target="webSettings.xml"/><Relationship Id="rId9" Type="http://schemas.openxmlformats.org/officeDocument/2006/relationships/hyperlink" Target="http://www.uradni-list.si/1/objava.jsp?sop=2018-01-135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Ivica</cp:lastModifiedBy>
  <cp:revision>2</cp:revision>
  <dcterms:created xsi:type="dcterms:W3CDTF">2019-03-29T10:05:00Z</dcterms:created>
  <dcterms:modified xsi:type="dcterms:W3CDTF">2019-03-29T10:05:00Z</dcterms:modified>
</cp:coreProperties>
</file>