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08A3" w14:textId="6FC0B465" w:rsidR="00500003" w:rsidRPr="00637749" w:rsidRDefault="00500003" w:rsidP="00500003">
      <w:p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Na podlagi 24. člena Zakona o kmetijstvu (Uradni list RS, št. 45/08, 57/12, 90/12-ZdZPVHVVR, 26/14, 32/15, 27/17, 22/18, 86/21-odl.US, 123/21, 44/22, 130/22-ZPOmK-2</w:t>
      </w:r>
      <w:r w:rsidR="00315152" w:rsidRPr="00637749">
        <w:rPr>
          <w:rFonts w:ascii="Arial" w:eastAsia="Times New Roman" w:hAnsi="Arial" w:cs="Arial"/>
          <w:sz w:val="20"/>
          <w:szCs w:val="20"/>
          <w:lang w:eastAsia="sl-SI"/>
        </w:rPr>
        <w:t>,</w:t>
      </w:r>
      <w:r w:rsidRPr="00637749">
        <w:rPr>
          <w:rFonts w:ascii="Arial" w:eastAsia="Times New Roman" w:hAnsi="Arial" w:cs="Arial"/>
          <w:sz w:val="20"/>
          <w:szCs w:val="20"/>
          <w:lang w:eastAsia="sl-SI"/>
        </w:rPr>
        <w:t xml:space="preserve"> 18/23</w:t>
      </w:r>
      <w:r w:rsidR="00315152" w:rsidRPr="00637749">
        <w:rPr>
          <w:rFonts w:ascii="Arial" w:eastAsia="Times New Roman" w:hAnsi="Arial" w:cs="Arial"/>
          <w:sz w:val="20"/>
          <w:szCs w:val="20"/>
          <w:lang w:eastAsia="sl-SI"/>
        </w:rPr>
        <w:t xml:space="preserve"> in 78/23</w:t>
      </w:r>
      <w:r w:rsidRPr="00637749">
        <w:rPr>
          <w:rFonts w:ascii="Arial" w:eastAsia="Times New Roman" w:hAnsi="Arial" w:cs="Arial"/>
          <w:sz w:val="20"/>
          <w:szCs w:val="20"/>
          <w:lang w:eastAsia="sl-SI"/>
        </w:rPr>
        <w:t>) ter 1</w:t>
      </w:r>
      <w:r w:rsidR="00BE131F">
        <w:rPr>
          <w:rFonts w:ascii="Arial" w:eastAsia="Times New Roman" w:hAnsi="Arial" w:cs="Arial"/>
          <w:sz w:val="20"/>
          <w:szCs w:val="20"/>
          <w:lang w:eastAsia="sl-SI"/>
        </w:rPr>
        <w:t>6</w:t>
      </w:r>
      <w:r w:rsidRPr="00637749">
        <w:rPr>
          <w:rFonts w:ascii="Arial" w:eastAsia="Times New Roman" w:hAnsi="Arial" w:cs="Arial"/>
          <w:sz w:val="20"/>
          <w:szCs w:val="20"/>
          <w:lang w:eastAsia="sl-SI"/>
        </w:rPr>
        <w:t xml:space="preserve">. člena Statuta Občine </w:t>
      </w:r>
      <w:r w:rsidR="00BE131F">
        <w:rPr>
          <w:rFonts w:ascii="Arial" w:eastAsia="Times New Roman" w:hAnsi="Arial" w:cs="Arial"/>
          <w:sz w:val="20"/>
          <w:szCs w:val="20"/>
          <w:lang w:eastAsia="sl-SI"/>
        </w:rPr>
        <w:t>Makole</w:t>
      </w:r>
      <w:r w:rsidRPr="00637749">
        <w:rPr>
          <w:rFonts w:ascii="Arial" w:eastAsia="Times New Roman" w:hAnsi="Arial" w:cs="Arial"/>
          <w:sz w:val="20"/>
          <w:szCs w:val="20"/>
          <w:lang w:eastAsia="sl-SI"/>
        </w:rPr>
        <w:t xml:space="preserve"> (</w:t>
      </w:r>
      <w:r w:rsidR="00BE131F" w:rsidRPr="00BE131F">
        <w:rPr>
          <w:rFonts w:ascii="Arial" w:eastAsia="Times New Roman" w:hAnsi="Arial" w:cs="Arial"/>
          <w:sz w:val="20"/>
          <w:szCs w:val="20"/>
          <w:lang w:eastAsia="sl-SI"/>
        </w:rPr>
        <w:t>Uradno glasilo slovenskih občin, št. 2/2007</w:t>
      </w:r>
      <w:r w:rsidR="00BE131F">
        <w:rPr>
          <w:rFonts w:ascii="Arial" w:eastAsia="Times New Roman" w:hAnsi="Arial" w:cs="Arial"/>
          <w:sz w:val="20"/>
          <w:szCs w:val="20"/>
          <w:lang w:eastAsia="sl-SI"/>
        </w:rPr>
        <w:t>, 45/2014 in 64/2016</w:t>
      </w:r>
      <w:r w:rsidRPr="00637749">
        <w:rPr>
          <w:rFonts w:ascii="Arial" w:eastAsia="Times New Roman" w:hAnsi="Arial" w:cs="Arial"/>
          <w:sz w:val="20"/>
          <w:szCs w:val="20"/>
          <w:lang w:eastAsia="sl-SI"/>
        </w:rPr>
        <w:t xml:space="preserve">) je Občinski svet Občine </w:t>
      </w:r>
      <w:r w:rsidR="00BE131F">
        <w:rPr>
          <w:rFonts w:ascii="Arial" w:eastAsia="Times New Roman" w:hAnsi="Arial" w:cs="Arial"/>
          <w:sz w:val="20"/>
          <w:szCs w:val="20"/>
          <w:lang w:eastAsia="sl-SI"/>
        </w:rPr>
        <w:t>Makole</w:t>
      </w:r>
      <w:r w:rsidRPr="00637749">
        <w:rPr>
          <w:rFonts w:ascii="Arial" w:eastAsia="Times New Roman" w:hAnsi="Arial" w:cs="Arial"/>
          <w:sz w:val="20"/>
          <w:szCs w:val="20"/>
          <w:lang w:eastAsia="sl-SI"/>
        </w:rPr>
        <w:t>, na ____ redni seji dne ________ sprejel</w:t>
      </w:r>
    </w:p>
    <w:p w14:paraId="71CB0B89" w14:textId="5338720E" w:rsidR="00500003" w:rsidRPr="00637749" w:rsidRDefault="00500003" w:rsidP="00500003">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77C7581" w14:textId="77777777" w:rsidR="00EF68F5" w:rsidRPr="00637749" w:rsidRDefault="00EF68F5" w:rsidP="00500003">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15867B10"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637749">
        <w:rPr>
          <w:rFonts w:ascii="Arial" w:eastAsia="Times New Roman" w:hAnsi="Arial" w:cs="Arial"/>
          <w:b/>
          <w:sz w:val="20"/>
          <w:szCs w:val="20"/>
          <w:lang w:eastAsia="sl-SI"/>
        </w:rPr>
        <w:t>PRAVILNIK</w:t>
      </w:r>
    </w:p>
    <w:p w14:paraId="632BC4B1" w14:textId="77777777" w:rsidR="002B637B" w:rsidRPr="00637749" w:rsidRDefault="00F20AEE" w:rsidP="00F20AEE">
      <w:pPr>
        <w:tabs>
          <w:tab w:val="left" w:pos="284"/>
        </w:tabs>
        <w:overflowPunct w:val="0"/>
        <w:autoSpaceDE w:val="0"/>
        <w:autoSpaceDN w:val="0"/>
        <w:adjustRightInd w:val="0"/>
        <w:spacing w:after="0" w:line="240" w:lineRule="auto"/>
        <w:jc w:val="center"/>
        <w:rPr>
          <w:rFonts w:ascii="Arial" w:eastAsia="Times New Roman" w:hAnsi="Arial" w:cs="Arial"/>
          <w:b/>
          <w:sz w:val="20"/>
          <w:szCs w:val="20"/>
          <w:lang w:eastAsia="sl-SI"/>
        </w:rPr>
      </w:pPr>
      <w:r w:rsidRPr="00637749">
        <w:rPr>
          <w:rFonts w:ascii="Arial" w:eastAsia="Times New Roman" w:hAnsi="Arial" w:cs="Arial"/>
          <w:b/>
          <w:sz w:val="20"/>
          <w:szCs w:val="20"/>
          <w:lang w:eastAsia="sl-SI"/>
        </w:rPr>
        <w:t>o ohranjanju in spodbujanju razvoja kmetijstva</w:t>
      </w:r>
      <w:r w:rsidR="000D6FE0" w:rsidRPr="00637749">
        <w:rPr>
          <w:rFonts w:ascii="Arial" w:eastAsia="Times New Roman" w:hAnsi="Arial" w:cs="Arial"/>
          <w:b/>
          <w:sz w:val="20"/>
          <w:szCs w:val="20"/>
          <w:lang w:eastAsia="sl-SI"/>
        </w:rPr>
        <w:t>, gozdarstva</w:t>
      </w:r>
      <w:r w:rsidRPr="00637749">
        <w:rPr>
          <w:rFonts w:ascii="Arial" w:eastAsia="Times New Roman" w:hAnsi="Arial" w:cs="Arial"/>
          <w:b/>
          <w:sz w:val="20"/>
          <w:szCs w:val="20"/>
          <w:lang w:eastAsia="sl-SI"/>
        </w:rPr>
        <w:t xml:space="preserve"> in podeželja</w:t>
      </w:r>
      <w:r w:rsidR="002B637B" w:rsidRPr="00637749">
        <w:rPr>
          <w:rFonts w:ascii="Arial" w:eastAsia="Times New Roman" w:hAnsi="Arial" w:cs="Arial"/>
          <w:b/>
          <w:sz w:val="20"/>
          <w:szCs w:val="20"/>
          <w:lang w:eastAsia="sl-SI"/>
        </w:rPr>
        <w:t xml:space="preserve"> </w:t>
      </w:r>
    </w:p>
    <w:p w14:paraId="212596C4" w14:textId="24FBC6D7" w:rsidR="00F20AEE" w:rsidRPr="00637749" w:rsidRDefault="002B637B" w:rsidP="00F20AEE">
      <w:pPr>
        <w:tabs>
          <w:tab w:val="left" w:pos="284"/>
        </w:tabs>
        <w:overflowPunct w:val="0"/>
        <w:autoSpaceDE w:val="0"/>
        <w:autoSpaceDN w:val="0"/>
        <w:adjustRightInd w:val="0"/>
        <w:spacing w:after="0" w:line="240" w:lineRule="auto"/>
        <w:jc w:val="center"/>
        <w:rPr>
          <w:rFonts w:ascii="Arial" w:eastAsia="Times New Roman" w:hAnsi="Arial" w:cs="Arial"/>
          <w:b/>
          <w:sz w:val="20"/>
          <w:szCs w:val="20"/>
          <w:lang w:eastAsia="sl-SI"/>
        </w:rPr>
      </w:pPr>
      <w:r w:rsidRPr="00637749">
        <w:rPr>
          <w:rFonts w:ascii="Arial" w:eastAsia="Times New Roman" w:hAnsi="Arial" w:cs="Arial"/>
          <w:b/>
          <w:sz w:val="20"/>
          <w:szCs w:val="20"/>
          <w:lang w:eastAsia="sl-SI"/>
        </w:rPr>
        <w:t xml:space="preserve">v občini </w:t>
      </w:r>
      <w:r w:rsidR="00BE131F">
        <w:rPr>
          <w:rFonts w:ascii="Arial" w:eastAsia="Times New Roman" w:hAnsi="Arial" w:cs="Arial"/>
          <w:b/>
          <w:sz w:val="20"/>
          <w:szCs w:val="20"/>
          <w:lang w:eastAsia="sl-SI"/>
        </w:rPr>
        <w:t>Makole</w:t>
      </w:r>
    </w:p>
    <w:p w14:paraId="3A159639" w14:textId="3CB4975A" w:rsidR="00F20AEE" w:rsidRPr="00637749" w:rsidRDefault="00F20AEE" w:rsidP="00F20AEE">
      <w:pPr>
        <w:overflowPunct w:val="0"/>
        <w:autoSpaceDE w:val="0"/>
        <w:autoSpaceDN w:val="0"/>
        <w:adjustRightInd w:val="0"/>
        <w:spacing w:after="0" w:line="240" w:lineRule="auto"/>
        <w:rPr>
          <w:rFonts w:ascii="Arial" w:eastAsia="Times New Roman" w:hAnsi="Arial" w:cs="Arial"/>
          <w:sz w:val="20"/>
          <w:szCs w:val="20"/>
          <w:lang w:eastAsia="sl-SI"/>
        </w:rPr>
      </w:pPr>
    </w:p>
    <w:p w14:paraId="771F2817" w14:textId="77777777" w:rsidR="00EF68F5" w:rsidRPr="00637749" w:rsidRDefault="00EF68F5" w:rsidP="00F20AEE">
      <w:pPr>
        <w:overflowPunct w:val="0"/>
        <w:autoSpaceDE w:val="0"/>
        <w:autoSpaceDN w:val="0"/>
        <w:adjustRightInd w:val="0"/>
        <w:spacing w:after="0" w:line="240" w:lineRule="auto"/>
        <w:rPr>
          <w:rFonts w:ascii="Arial" w:eastAsia="Times New Roman" w:hAnsi="Arial" w:cs="Arial"/>
          <w:sz w:val="20"/>
          <w:szCs w:val="20"/>
          <w:lang w:eastAsia="sl-SI"/>
        </w:rPr>
      </w:pPr>
    </w:p>
    <w:p w14:paraId="6930EB4F"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I. SPLOŠNE DOLOČBE</w:t>
      </w:r>
    </w:p>
    <w:p w14:paraId="14C03767"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p>
    <w:p w14:paraId="2D1A2E01"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1. člen</w:t>
      </w:r>
    </w:p>
    <w:p w14:paraId="6063B00E"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(vsebina pravilnika)</w:t>
      </w:r>
    </w:p>
    <w:p w14:paraId="6B66052A" w14:textId="600CFE69" w:rsidR="00F20AEE" w:rsidRPr="00637749" w:rsidRDefault="00F20AEE" w:rsidP="00F20AEE">
      <w:pPr>
        <w:numPr>
          <w:ilvl w:val="0"/>
          <w:numId w:val="4"/>
        </w:numPr>
        <w:overflowPunct w:val="0"/>
        <w:autoSpaceDE w:val="0"/>
        <w:autoSpaceDN w:val="0"/>
        <w:adjustRightInd w:val="0"/>
        <w:spacing w:after="0" w:line="240" w:lineRule="auto"/>
        <w:ind w:right="17"/>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Ta pravilnik določa področje uporabe, vrste pomoči, pogoje in upravičence do denarne pomoči ter druge ukrepe Občine za ohranjanje in spodbujanje razvoja kmetijstva, gozdarstva in podeželja v občini</w:t>
      </w:r>
      <w:r w:rsidR="00C64939" w:rsidRPr="00637749">
        <w:rPr>
          <w:rFonts w:ascii="Arial" w:eastAsia="Times New Roman" w:hAnsi="Arial" w:cs="Arial"/>
          <w:sz w:val="20"/>
          <w:szCs w:val="20"/>
          <w:lang w:eastAsia="sl-SI"/>
        </w:rPr>
        <w:t xml:space="preserve"> </w:t>
      </w:r>
      <w:r w:rsidR="00BE131F">
        <w:rPr>
          <w:rFonts w:ascii="Arial" w:eastAsia="Times New Roman" w:hAnsi="Arial" w:cs="Arial"/>
          <w:sz w:val="20"/>
          <w:szCs w:val="20"/>
          <w:lang w:eastAsia="sl-SI"/>
        </w:rPr>
        <w:t>Makole</w:t>
      </w:r>
      <w:r w:rsidRPr="00637749">
        <w:rPr>
          <w:rFonts w:ascii="Arial" w:eastAsia="Times New Roman" w:hAnsi="Arial" w:cs="Arial"/>
          <w:sz w:val="20"/>
          <w:szCs w:val="20"/>
          <w:lang w:eastAsia="sl-SI"/>
        </w:rPr>
        <w:t>.</w:t>
      </w:r>
    </w:p>
    <w:p w14:paraId="43E114AB" w14:textId="77777777" w:rsidR="00F20AEE" w:rsidRPr="00637749" w:rsidRDefault="00F20AEE" w:rsidP="00F20AEE">
      <w:pPr>
        <w:numPr>
          <w:ilvl w:val="0"/>
          <w:numId w:val="4"/>
        </w:numPr>
        <w:overflowPunct w:val="0"/>
        <w:autoSpaceDE w:val="0"/>
        <w:autoSpaceDN w:val="0"/>
        <w:adjustRightInd w:val="0"/>
        <w:spacing w:after="0" w:line="240" w:lineRule="auto"/>
        <w:ind w:right="17"/>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Sredstva po tem pravilniku se dodelijo za:</w:t>
      </w:r>
    </w:p>
    <w:p w14:paraId="2CE2BA11" w14:textId="77777777" w:rsidR="00F20AEE" w:rsidRPr="00637749" w:rsidRDefault="00F20AEE" w:rsidP="00F20AEE">
      <w:pPr>
        <w:numPr>
          <w:ilvl w:val="1"/>
          <w:numId w:val="5"/>
        </w:numPr>
        <w:tabs>
          <w:tab w:val="left" w:pos="709"/>
        </w:tabs>
        <w:overflowPunct w:val="0"/>
        <w:autoSpaceDE w:val="0"/>
        <w:autoSpaceDN w:val="0"/>
        <w:adjustRightInd w:val="0"/>
        <w:spacing w:after="0" w:line="240" w:lineRule="auto"/>
        <w:ind w:left="709" w:right="17" w:hanging="283"/>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državne pomoči v skladu z Uredbo Komisije (EU) 2022/2472 z dne 14. december 2022 o razglasitvi nekaterih vrst pomoči v kmetijskem in gozdarskem sektorju ter na podeželju za združljive z notranjim trgom z uporabo členov 107 in 108 Pogodbe o delovanju Evropske unije (UL L št. 327 z dne 21. 12. 2022, str. 1, - v nadaljnjem besedilu: Uredba Komisije (EU) št. 2022/2472),</w:t>
      </w:r>
    </w:p>
    <w:p w14:paraId="1108DEC4" w14:textId="77777777" w:rsidR="00F20AEE" w:rsidRPr="00637749" w:rsidRDefault="00F20AEE" w:rsidP="00F20AEE">
      <w:pPr>
        <w:numPr>
          <w:ilvl w:val="1"/>
          <w:numId w:val="5"/>
        </w:numPr>
        <w:tabs>
          <w:tab w:val="left" w:pos="709"/>
        </w:tabs>
        <w:overflowPunct w:val="0"/>
        <w:autoSpaceDE w:val="0"/>
        <w:autoSpaceDN w:val="0"/>
        <w:adjustRightInd w:val="0"/>
        <w:spacing w:after="0" w:line="240" w:lineRule="auto"/>
        <w:ind w:left="709" w:right="17" w:hanging="283"/>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pomoči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xml:space="preserve"> v skladu z Uredbo Komisije (EU) št. 1407/2013 z dne 18. decembra 2013 o uporabi členov 107 in 108 Pogodbe o delovanju Evropske unije pri pomoči </w:t>
      </w:r>
      <w:r w:rsidRPr="00637749">
        <w:rPr>
          <w:rFonts w:ascii="Arial" w:eastAsia="Times New Roman" w:hAnsi="Arial" w:cs="Arial"/>
          <w:i/>
          <w:sz w:val="20"/>
          <w:szCs w:val="20"/>
          <w:lang w:eastAsia="sl-SI"/>
        </w:rPr>
        <w:t xml:space="preserve">de minimis </w:t>
      </w:r>
      <w:r w:rsidRPr="00637749">
        <w:rPr>
          <w:rFonts w:ascii="Arial" w:eastAsia="Times New Roman" w:hAnsi="Arial" w:cs="Arial"/>
          <w:sz w:val="20"/>
          <w:szCs w:val="20"/>
          <w:lang w:eastAsia="sl-SI"/>
        </w:rPr>
        <w:t>(UL L št. 352 z dne 24. 12. 2013,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 v nadaljnjem besedilu: Uredba Komisije (EU) št. 1407/2013) ter</w:t>
      </w:r>
    </w:p>
    <w:p w14:paraId="1C56CEB6" w14:textId="77777777" w:rsidR="00F20AEE" w:rsidRPr="00637749" w:rsidRDefault="00F20AEE" w:rsidP="00F20AEE">
      <w:pPr>
        <w:numPr>
          <w:ilvl w:val="1"/>
          <w:numId w:val="5"/>
        </w:numPr>
        <w:tabs>
          <w:tab w:val="left" w:pos="709"/>
        </w:tabs>
        <w:overflowPunct w:val="0"/>
        <w:autoSpaceDE w:val="0"/>
        <w:autoSpaceDN w:val="0"/>
        <w:adjustRightInd w:val="0"/>
        <w:spacing w:after="0" w:line="240" w:lineRule="auto"/>
        <w:ind w:left="709" w:right="17" w:hanging="283"/>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druge ukrepe občine.</w:t>
      </w:r>
    </w:p>
    <w:p w14:paraId="4944D6DC" w14:textId="77777777" w:rsidR="00F20AEE" w:rsidRPr="00637749" w:rsidRDefault="00F20AEE" w:rsidP="00F20AEE">
      <w:pPr>
        <w:spacing w:after="0" w:line="240" w:lineRule="auto"/>
        <w:rPr>
          <w:rFonts w:ascii="Arial" w:eastAsia="Times New Roman" w:hAnsi="Arial" w:cs="Arial"/>
          <w:sz w:val="20"/>
          <w:szCs w:val="20"/>
          <w:lang w:eastAsia="sl-SI"/>
        </w:rPr>
      </w:pPr>
    </w:p>
    <w:p w14:paraId="70F39F58"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2. člen</w:t>
      </w:r>
    </w:p>
    <w:p w14:paraId="4D34E29D"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(način in višina zagotavljanja sredstev)</w:t>
      </w:r>
    </w:p>
    <w:p w14:paraId="00E66D64" w14:textId="0F426457" w:rsidR="00F20AEE" w:rsidRPr="00637749" w:rsidRDefault="00F20AEE" w:rsidP="00F20AEE">
      <w:pPr>
        <w:spacing w:after="0" w:line="240" w:lineRule="auto"/>
        <w:ind w:right="17"/>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Sredstva za izvedbo ukrepov ohranjanja in spodbujanja razvoja kmetijstva, gozdarstva in podeželja v občini </w:t>
      </w:r>
      <w:r w:rsidR="00BE131F">
        <w:rPr>
          <w:rFonts w:ascii="Arial" w:eastAsia="Times New Roman" w:hAnsi="Arial" w:cs="Arial"/>
          <w:sz w:val="20"/>
          <w:szCs w:val="20"/>
          <w:lang w:eastAsia="sl-SI"/>
        </w:rPr>
        <w:t>Makole</w:t>
      </w:r>
      <w:r w:rsidRPr="00637749">
        <w:rPr>
          <w:rFonts w:ascii="Arial" w:eastAsia="Times New Roman" w:hAnsi="Arial" w:cs="Arial"/>
          <w:sz w:val="20"/>
          <w:szCs w:val="20"/>
          <w:lang w:eastAsia="sl-SI"/>
        </w:rPr>
        <w:t xml:space="preserve"> (v nadaljnjem besedilu: občina), se zagotavljajo v proračunu občine. Višina sredstev se določi z odlokom o proračunu občine za tekoče leto.</w:t>
      </w:r>
    </w:p>
    <w:p w14:paraId="22FF4C54"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b/>
          <w:sz w:val="20"/>
          <w:szCs w:val="20"/>
          <w:lang w:eastAsia="sl-SI"/>
        </w:rPr>
      </w:pPr>
    </w:p>
    <w:p w14:paraId="371FF26E"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3. člen</w:t>
      </w:r>
    </w:p>
    <w:p w14:paraId="5FA448FA"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(oblika pomoči)</w:t>
      </w:r>
    </w:p>
    <w:p w14:paraId="3C908D44"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noProof/>
          <w:sz w:val="20"/>
          <w:szCs w:val="20"/>
          <w:lang w:eastAsia="sl-SI"/>
        </w:rPr>
      </w:pPr>
      <w:r w:rsidRPr="00637749">
        <w:rPr>
          <w:rFonts w:ascii="Arial" w:eastAsia="Times New Roman" w:hAnsi="Arial" w:cs="Arial"/>
          <w:sz w:val="20"/>
          <w:szCs w:val="20"/>
          <w:lang w:eastAsia="sl-SI"/>
        </w:rPr>
        <w:t xml:space="preserve">Sredstva za ukrepe po tem pravilniku se dodeljujejo v določeni višini za posamezne namene kot nepovratna sredstva v obliki dotacij in/ali </w:t>
      </w:r>
      <w:r w:rsidRPr="00637749">
        <w:rPr>
          <w:rFonts w:ascii="Arial" w:eastAsia="Times New Roman" w:hAnsi="Arial" w:cs="Arial"/>
          <w:noProof/>
          <w:sz w:val="20"/>
          <w:szCs w:val="20"/>
          <w:lang w:eastAsia="sl-SI"/>
        </w:rPr>
        <w:t>v obliki subvencioniranih storitev.</w:t>
      </w:r>
    </w:p>
    <w:p w14:paraId="10883981"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5512CE7F"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4. člen</w:t>
      </w:r>
    </w:p>
    <w:p w14:paraId="4D88C6A9"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(opredelitev pojmov)</w:t>
      </w:r>
    </w:p>
    <w:p w14:paraId="133A2A26"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Izrazi, uporabljeni po tem pravilniku, imajo naslednji pomen:</w:t>
      </w:r>
    </w:p>
    <w:p w14:paraId="396FA4BC"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»pomoč« pomeni vsak ukrep, ki izpolnjuje merila iz prvega odstavka 107. člena Pogodbe o delovanju Evropske unije (prečiščeno besedilo 2016, UL C št. 202 z dne 7. 6. 2016, str. 1; v nadaljevanju besedila: Pogodba);</w:t>
      </w:r>
    </w:p>
    <w:p w14:paraId="0B0F8B3B"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»mikro, malo in srednje podjetje« pomeni podjetje, ki izpolnjuje merila iz Priloge I Uredbe Komisije (EU) št. 2022/2472; </w:t>
      </w:r>
    </w:p>
    <w:p w14:paraId="6E5CFC1F"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»kmetijski sektor« pomeni vsa podjetja, ki so dejavna v primarni kmetijski proizvodnji, predelavi in trženju kmetijskih proizvodov;</w:t>
      </w:r>
    </w:p>
    <w:p w14:paraId="0041191E"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»kmetijski proizvod« pomeni proizvode s seznama v Prilogi I k Pogodbi, razen ribiških proizvodov in proizvodov iz ribogojstva s seznama v Prilogi I k Uredbi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str.1), zadnjič spremenjene z Uredbo (EU) 2020/560 Evropskega parlamenta in Sveta z dne 23. aprila 2020 o spremembi uredb (EU) št. 508/2014 in (EU) št. 1379/2013 </w:t>
      </w:r>
      <w:r w:rsidRPr="00637749">
        <w:rPr>
          <w:rFonts w:ascii="Arial" w:eastAsia="Times New Roman" w:hAnsi="Arial" w:cs="Arial"/>
          <w:sz w:val="20"/>
          <w:szCs w:val="20"/>
          <w:lang w:eastAsia="sl-SI"/>
        </w:rPr>
        <w:lastRenderedPageBreak/>
        <w:t>glede posebnih ukrepov za ublažitev vpliva izbruha COVID-19 na sektor ribištva in akvakulture (UL L št. 130 z dne 24. 4. 2020, str. 11);</w:t>
      </w:r>
    </w:p>
    <w:p w14:paraId="5C6D3E15"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bCs/>
          <w:sz w:val="20"/>
          <w:szCs w:val="20"/>
          <w:lang w:eastAsia="sl-SI"/>
        </w:rPr>
        <w:t>»primarna kmetijska proizvodnja«</w:t>
      </w:r>
      <w:r w:rsidRPr="00637749">
        <w:rPr>
          <w:rFonts w:ascii="Arial" w:eastAsia="Times New Roman" w:hAnsi="Arial" w:cs="Arial"/>
          <w:b/>
          <w:sz w:val="20"/>
          <w:szCs w:val="20"/>
          <w:lang w:eastAsia="sl-SI"/>
        </w:rPr>
        <w:t xml:space="preserve"> </w:t>
      </w:r>
      <w:r w:rsidRPr="00637749">
        <w:rPr>
          <w:rFonts w:ascii="Arial" w:eastAsia="Times New Roman" w:hAnsi="Arial" w:cs="Arial"/>
          <w:sz w:val="20"/>
          <w:szCs w:val="20"/>
          <w:lang w:eastAsia="sl-SI"/>
        </w:rPr>
        <w:t xml:space="preserve">pomeni proizvodnjo rastlinskih in živinorejskih proizvodov s seznama v prilogi I k Pogodbi, brez kakršnih koli nadaljnjih postopkov, ki bi spremenili naravo takih proizvodov; </w:t>
      </w:r>
    </w:p>
    <w:p w14:paraId="65F38F95"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bCs/>
          <w:sz w:val="20"/>
          <w:szCs w:val="20"/>
          <w:lang w:eastAsia="sl-SI"/>
        </w:rPr>
        <w:t>»predelava kmetijskih proizvodov«</w:t>
      </w:r>
      <w:r w:rsidRPr="00637749">
        <w:rPr>
          <w:rFonts w:ascii="Arial" w:eastAsia="Times New Roman" w:hAnsi="Arial" w:cs="Arial"/>
          <w:b/>
          <w:sz w:val="20"/>
          <w:szCs w:val="20"/>
          <w:lang w:eastAsia="sl-SI"/>
        </w:rPr>
        <w:t xml:space="preserve"> </w:t>
      </w:r>
      <w:r w:rsidRPr="00637749">
        <w:rPr>
          <w:rFonts w:ascii="Arial" w:eastAsia="Times New Roman" w:hAnsi="Arial" w:cs="Arial"/>
          <w:sz w:val="20"/>
          <w:szCs w:val="20"/>
          <w:lang w:eastAsia="sl-SI"/>
        </w:rPr>
        <w:t>pomeni vsak postopek na kmetijskem proizvodu, po katerem proizvod ostane kmetijski proizvod, razen dejavnosti na kmetiji, potrebnih za pripravo živalskega ali rastlinskega proizvoda za prvo prodajo;</w:t>
      </w:r>
    </w:p>
    <w:p w14:paraId="4BD83B31"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»trženje kmetijskih proizvodov« pomeni imeti na zalogi ali razstavljati z namenom prodaje, ponujati za prodajo, dobavljati ali na kateri koli drug način dajati na trg, razen prve prodaje primarnega proizvajalca prodajnemu posredniku ali predelovalcu, ter vsake dejavnosti, s katero se proizvod pripravi za tako prvo podajo; prodaja, ki jo opravi primarni proizvajalec končnemu potrošniku, se šteje za trženje kmetijskih proizvodov, če se opravlja v ločenih, za to namenjenih prostorih;</w:t>
      </w:r>
    </w:p>
    <w:p w14:paraId="4163AE80"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bCs/>
          <w:sz w:val="20"/>
          <w:szCs w:val="20"/>
          <w:lang w:eastAsia="sl-SI"/>
        </w:rPr>
        <w:t>»kmetijsko gospodarstvo«</w:t>
      </w:r>
      <w:r w:rsidRPr="00637749">
        <w:rPr>
          <w:rFonts w:ascii="Arial" w:eastAsia="Times New Roman" w:hAnsi="Arial" w:cs="Arial"/>
          <w:b/>
          <w:sz w:val="20"/>
          <w:szCs w:val="20"/>
          <w:lang w:eastAsia="sl-SI"/>
        </w:rPr>
        <w:t xml:space="preserve"> </w:t>
      </w:r>
      <w:r w:rsidRPr="00637749">
        <w:rPr>
          <w:rFonts w:ascii="Arial" w:eastAsia="Times New Roman" w:hAnsi="Arial" w:cs="Arial"/>
          <w:sz w:val="20"/>
          <w:szCs w:val="20"/>
          <w:lang w:eastAsia="sl-SI"/>
        </w:rPr>
        <w:t>pomeni enoto, ki obsega zemljišče, objekte in naprave, ki se uporabljajo za primarno kmetijsko proizvodnjo;</w:t>
      </w:r>
    </w:p>
    <w:p w14:paraId="282A4D54"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»nosilec ali nosilka kmetijskega gospodarstva« je odgovorna oseba za opravljanje kmetijske dejavnosti na kmetijskem gospodarstvu;</w:t>
      </w:r>
    </w:p>
    <w:p w14:paraId="79E54769"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»podjetje v težavah« pomeni podjetje v skladu s 58. točko 2. člena Uredbe Komisije (EU) št. 2022/2427;</w:t>
      </w:r>
    </w:p>
    <w:p w14:paraId="6BF17450"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»začetek izvajanja projekta ali dejavnosti« pomeni bodisi začetek dejavnosti ali gradbenih del, povezanih z naložbo, bodisi prvo pravno zavezujočo zavezo za naročilo opreme ali uporabo storitev ali vsako drugo zavezo, zaradi katere projekta ali dejavnosti ni več mogoče preklicati, odvisno od tega, kar nastopi prej; nakup zemljišč in pripravljalna dela, kot je pridobivanje dovoljenj in opravljanje študij izvedljivosti, se ne štejejo za začetek izvajanja projekta ali dejavnosti;</w:t>
      </w:r>
    </w:p>
    <w:p w14:paraId="290813EE"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»opredmetena sredstva« pomenijo sredstva, ki jih sestavljajo zemljišča, stavbe in obrati, stroji in oprema;</w:t>
      </w:r>
    </w:p>
    <w:p w14:paraId="35F15679"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»intenzivnost pomoči« pomeni bruto znesek pomoči, izražen kot odstotek upravičenih stroškov pred odbitkom davkov ali drugih dajatev;</w:t>
      </w:r>
    </w:p>
    <w:p w14:paraId="068F1E9A"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»standard Unije« pomeni obvezen standard, predpisan z zakonodajo EU, ki določa raven, ki jo morajo doseči posamezna podjetja, zlasti glede okolja, higiene in dobrobiti živali;  posledično se standardi ali cilji, zastavljeni na ravni Unije, ki so zavezujoči za države članice, ne pa tudi za posamezna podjetja, ne štejejo za standarde Unije;</w:t>
      </w:r>
    </w:p>
    <w:p w14:paraId="3B95A7BA"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»naložbe za skladnost s standardom Unije« pomenijo naložbe, ki se izvedejo za doseganje skladnosti s standardom Evropske unije po zaključku prehodnega obdobja, določenega z zakonodajo Evropske unije;</w:t>
      </w:r>
    </w:p>
    <w:p w14:paraId="775063BB"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bCs/>
          <w:sz w:val="20"/>
          <w:szCs w:val="20"/>
          <w:lang w:eastAsia="sl-SI"/>
        </w:rPr>
        <w:t>»enotno podjetje</w:t>
      </w:r>
      <w:r w:rsidRPr="00637749">
        <w:rPr>
          <w:rFonts w:ascii="Arial" w:eastAsia="Times New Roman" w:hAnsi="Arial" w:cs="Arial"/>
          <w:b/>
          <w:sz w:val="20"/>
          <w:szCs w:val="20"/>
          <w:lang w:eastAsia="sl-SI"/>
        </w:rPr>
        <w:t>«</w:t>
      </w:r>
      <w:r w:rsidRPr="00637749">
        <w:rPr>
          <w:rFonts w:ascii="Arial" w:eastAsia="Times New Roman" w:hAnsi="Arial" w:cs="Arial"/>
          <w:sz w:val="20"/>
          <w:szCs w:val="20"/>
          <w:lang w:eastAsia="sl-SI"/>
        </w:rPr>
        <w:t xml:space="preserve"> pomeni vsa podjetja, ki so med seboj najmanj v enem od naslednjih razmerij:</w:t>
      </w:r>
    </w:p>
    <w:p w14:paraId="620F02FB" w14:textId="77777777" w:rsidR="00F20AEE" w:rsidRPr="00637749" w:rsidRDefault="00F20AEE" w:rsidP="00F20AEE">
      <w:pPr>
        <w:numPr>
          <w:ilvl w:val="0"/>
          <w:numId w:val="1"/>
        </w:numPr>
        <w:overflowPunct w:val="0"/>
        <w:autoSpaceDE w:val="0"/>
        <w:autoSpaceDN w:val="0"/>
        <w:adjustRightInd w:val="0"/>
        <w:spacing w:after="0" w:line="240" w:lineRule="auto"/>
        <w:ind w:left="993" w:hanging="426"/>
        <w:jc w:val="both"/>
        <w:rPr>
          <w:rFonts w:ascii="Arial" w:eastAsia="Times New Roman" w:hAnsi="Arial" w:cs="Arial"/>
          <w:sz w:val="20"/>
          <w:szCs w:val="20"/>
          <w:lang w:val="x-none" w:eastAsia="x-none"/>
        </w:rPr>
      </w:pPr>
      <w:r w:rsidRPr="00637749">
        <w:rPr>
          <w:rFonts w:ascii="Arial" w:eastAsia="Times New Roman" w:hAnsi="Arial" w:cs="Arial"/>
          <w:sz w:val="20"/>
          <w:szCs w:val="20"/>
          <w:lang w:val="x-none" w:eastAsia="x-none"/>
        </w:rPr>
        <w:t>podjetje ima večino glasovalnih pravic delničarjev ali družbenikov drugega podjetja,</w:t>
      </w:r>
    </w:p>
    <w:p w14:paraId="74F22F5F" w14:textId="77777777" w:rsidR="00F20AEE" w:rsidRPr="00637749" w:rsidRDefault="00F20AEE" w:rsidP="00F20AEE">
      <w:pPr>
        <w:numPr>
          <w:ilvl w:val="0"/>
          <w:numId w:val="1"/>
        </w:numPr>
        <w:overflowPunct w:val="0"/>
        <w:autoSpaceDE w:val="0"/>
        <w:autoSpaceDN w:val="0"/>
        <w:adjustRightInd w:val="0"/>
        <w:spacing w:after="0" w:line="240" w:lineRule="auto"/>
        <w:ind w:left="993" w:hanging="426"/>
        <w:jc w:val="both"/>
        <w:rPr>
          <w:rFonts w:ascii="Arial" w:eastAsia="Times New Roman" w:hAnsi="Arial" w:cs="Arial"/>
          <w:sz w:val="20"/>
          <w:szCs w:val="20"/>
          <w:lang w:val="x-none" w:eastAsia="x-none"/>
        </w:rPr>
      </w:pPr>
      <w:r w:rsidRPr="00637749">
        <w:rPr>
          <w:rFonts w:ascii="Arial" w:eastAsia="Times New Roman" w:hAnsi="Arial" w:cs="Arial"/>
          <w:sz w:val="20"/>
          <w:szCs w:val="20"/>
          <w:lang w:val="x-none" w:eastAsia="x-none"/>
        </w:rPr>
        <w:t>podjetje ima pravico imenovati ali odpoklicati večino članov upravnega, poslovodnega ali nadzornega organa drugega podjetja;</w:t>
      </w:r>
    </w:p>
    <w:p w14:paraId="0A1047B3" w14:textId="77777777" w:rsidR="00F20AEE" w:rsidRPr="00637749" w:rsidRDefault="00F20AEE" w:rsidP="00F20AEE">
      <w:pPr>
        <w:numPr>
          <w:ilvl w:val="0"/>
          <w:numId w:val="1"/>
        </w:numPr>
        <w:overflowPunct w:val="0"/>
        <w:autoSpaceDE w:val="0"/>
        <w:autoSpaceDN w:val="0"/>
        <w:adjustRightInd w:val="0"/>
        <w:spacing w:after="0" w:line="240" w:lineRule="auto"/>
        <w:ind w:left="993" w:hanging="426"/>
        <w:jc w:val="both"/>
        <w:rPr>
          <w:rFonts w:ascii="Arial" w:eastAsia="Times New Roman" w:hAnsi="Arial" w:cs="Arial"/>
          <w:sz w:val="20"/>
          <w:szCs w:val="20"/>
          <w:lang w:val="x-none" w:eastAsia="x-none"/>
        </w:rPr>
      </w:pPr>
      <w:r w:rsidRPr="00637749">
        <w:rPr>
          <w:rFonts w:ascii="Arial" w:eastAsia="Times New Roman" w:hAnsi="Arial" w:cs="Arial"/>
          <w:sz w:val="20"/>
          <w:szCs w:val="20"/>
          <w:lang w:val="x-none" w:eastAsia="x-none"/>
        </w:rPr>
        <w:t>podjetje ima pravico izvrševati prevladujoč vpliv na drugo podjetje na podlagi pogodbe, sklenjene z navedenim podjetjem, ali določbe v njegovi družbeni pogodbi ali statutu;</w:t>
      </w:r>
    </w:p>
    <w:p w14:paraId="2D9B5EFE" w14:textId="77777777" w:rsidR="00F20AEE" w:rsidRPr="00637749" w:rsidRDefault="00F20AEE" w:rsidP="00F20AEE">
      <w:pPr>
        <w:numPr>
          <w:ilvl w:val="0"/>
          <w:numId w:val="1"/>
        </w:numPr>
        <w:overflowPunct w:val="0"/>
        <w:autoSpaceDE w:val="0"/>
        <w:autoSpaceDN w:val="0"/>
        <w:adjustRightInd w:val="0"/>
        <w:spacing w:after="0" w:line="240" w:lineRule="auto"/>
        <w:ind w:left="993" w:hanging="426"/>
        <w:jc w:val="both"/>
        <w:rPr>
          <w:rFonts w:ascii="Arial" w:eastAsia="Times New Roman" w:hAnsi="Arial" w:cs="Arial"/>
          <w:sz w:val="20"/>
          <w:szCs w:val="20"/>
          <w:lang w:val="x-none" w:eastAsia="x-none"/>
        </w:rPr>
      </w:pPr>
      <w:r w:rsidRPr="00637749">
        <w:rPr>
          <w:rFonts w:ascii="Arial" w:eastAsia="Times New Roman" w:hAnsi="Arial" w:cs="Arial"/>
          <w:sz w:val="20"/>
          <w:szCs w:val="20"/>
          <w:lang w:val="x-none" w:eastAsia="x-none"/>
        </w:rPr>
        <w:t>podjetje, ki je delničar ali družbenik drugega podjetja, na podlagi dogovora z drugimi delničarji ali družbeniki navedenega podjetja samo nadzoruje večino glasovalnih pravic delničarjev ali družbenikov navedenega podjetja;</w:t>
      </w:r>
    </w:p>
    <w:p w14:paraId="3C97FC42" w14:textId="77777777" w:rsidR="00F20AEE" w:rsidRPr="00637749" w:rsidRDefault="00F20AEE" w:rsidP="00F20AEE">
      <w:pPr>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Podjetja, ki so v katerem koli razmerju iz točk (a) do (d) tega odstavka, preko enega ali več drugih podjetij, prav tako velja za enotno podjetje.</w:t>
      </w:r>
    </w:p>
    <w:p w14:paraId="1CDDFF9F" w14:textId="5A8BF614" w:rsidR="00F20AEE" w:rsidRPr="00052795" w:rsidRDefault="00F20AEE" w:rsidP="00052795">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sz w:val="20"/>
          <w:szCs w:val="20"/>
          <w:lang w:eastAsia="sl-SI"/>
        </w:rPr>
      </w:pPr>
      <w:r w:rsidRPr="00637749">
        <w:rPr>
          <w:rFonts w:ascii="Arial" w:eastAsia="Times New Roman" w:hAnsi="Arial" w:cs="Arial"/>
          <w:bCs/>
          <w:sz w:val="20"/>
          <w:szCs w:val="20"/>
          <w:lang w:eastAsia="sl-SI"/>
        </w:rPr>
        <w:t>»slabe vremenske razmere, ki jih je mogoče enačiti z naravnimi nesrečami« pomenijo</w:t>
      </w:r>
      <w:r w:rsidRPr="00637749">
        <w:rPr>
          <w:rFonts w:ascii="Arial" w:eastAsia="Times New Roman" w:hAnsi="Arial" w:cs="Arial"/>
          <w:sz w:val="20"/>
          <w:szCs w:val="20"/>
          <w:lang w:eastAsia="sl-SI"/>
        </w:rPr>
        <w:t xml:space="preserve"> neugodne vremenske pogoje, kot so zmrzal, neurja in toča, led, močno ali obilno deževje ali huda suša, ki v kmetijskem sektorju uničijo več kot 30% povprečne letne proizvodnje, izračunane na podlagi predhodnega triletnega ali štiriletnega obdobja ali triletnega povprečja na podlagi predhodnega petletnega ali osemletnega obdobja, pri čemer sta izključeni najvišja ali najnižja vrednost, v gozdarskem sektorju pa več kot 20 % proizvodnega potenciala gozdov;</w:t>
      </w:r>
    </w:p>
    <w:p w14:paraId="0BA42E70"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»druge slabe vremenske razmere« pomenijo neugodne vremenske razmere, ki ne spadajo v opredelitev slabih vremenskih razmer, ki jih je mogoče enačiti z naravnimi nesrečami;</w:t>
      </w:r>
    </w:p>
    <w:p w14:paraId="34963097"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»škodljivi organizem rastline« pomeni katero koli vrsto, sev ali biotip rastline, živali ali patogenega povzročitelja, škodljivega za rastline ali rastlinske proizvode;</w:t>
      </w:r>
    </w:p>
    <w:p w14:paraId="00D2E9A6"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»zaščitena žival« pomeni katero koli žival, ki je zaščitena z zakonodajo Unije ali nacionalno zakonodajo, vključno z živalskimi vrstami, za katere nacionalna zakonodaja določa posebna pravila za ohranitev populacije;</w:t>
      </w:r>
    </w:p>
    <w:p w14:paraId="365A4226"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»investicijska dela« pomenijo dela, ki jih opravljajo kmet osebno ali kmetovi delavci, da ustvarijo sredstva;</w:t>
      </w:r>
    </w:p>
    <w:p w14:paraId="3FA8722A" w14:textId="77777777"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»naravne nesreče« pomenijo potrese, snežne plazove, zemeljske plazove, in poplave, tornade, hurikane, izbruhe vulkanov in požare v naravi naravnega izvora; </w:t>
      </w:r>
    </w:p>
    <w:p w14:paraId="3C3089B4" w14:textId="348CCF6B" w:rsidR="00F20AEE" w:rsidRPr="00637749" w:rsidRDefault="00F20AEE" w:rsidP="00F20AEE">
      <w:pPr>
        <w:numPr>
          <w:ilvl w:val="0"/>
          <w:numId w:val="2"/>
        </w:numPr>
        <w:tabs>
          <w:tab w:val="left" w:pos="567"/>
        </w:tabs>
        <w:overflowPunct w:val="0"/>
        <w:autoSpaceDE w:val="0"/>
        <w:autoSpaceDN w:val="0"/>
        <w:adjustRightInd w:val="0"/>
        <w:spacing w:after="0" w:line="240" w:lineRule="auto"/>
        <w:ind w:left="567" w:hanging="502"/>
        <w:contextualSpacing/>
        <w:jc w:val="both"/>
        <w:rPr>
          <w:rFonts w:ascii="Arial" w:eastAsia="Times New Roman" w:hAnsi="Arial" w:cs="Arial"/>
          <w:bCs/>
          <w:sz w:val="20"/>
          <w:szCs w:val="20"/>
          <w:lang w:eastAsia="sl-SI"/>
        </w:rPr>
      </w:pPr>
      <w:bookmarkStart w:id="0" w:name="_Hlk134091876"/>
      <w:r w:rsidRPr="00637749">
        <w:rPr>
          <w:rFonts w:ascii="Arial" w:eastAsia="Times New Roman" w:hAnsi="Arial" w:cs="Arial"/>
          <w:bCs/>
          <w:sz w:val="20"/>
          <w:szCs w:val="20"/>
          <w:lang w:eastAsia="sl-SI"/>
        </w:rPr>
        <w:lastRenderedPageBreak/>
        <w:t>»podjetje v težavah« je podjetje, ki izpolnjuje merila iz 18. točke 2. člena Uredbe Komisije (EU) št. 651/2014 z dne 17. junija 2014 o razglasitvi nekaterih vrst pomoči za združljive z notranjim trgom pri uporabi členov 107 in 108 Pogodbe (UL L št. 187 z dne 26. 6. 2014, str. 1), zadnjič spremenjene z Uredbo Komisije (EU) 2021/1237 z dne 23. julija 2021 o spremembi Uredbe (EU) št. 651/2014 o razglasitvi nekaterih vrst pomoči za združljive z notranjim trgom pri uporabi členov 107 in 108 Pogodbe (UL L št. 270 z dne 29. 7. 2021, str. 39)</w:t>
      </w:r>
      <w:r w:rsidR="002F3BEF">
        <w:rPr>
          <w:rFonts w:ascii="Arial" w:eastAsia="Times New Roman" w:hAnsi="Arial" w:cs="Arial"/>
          <w:bCs/>
          <w:sz w:val="20"/>
          <w:szCs w:val="20"/>
          <w:lang w:eastAsia="sl-SI"/>
        </w:rPr>
        <w:t>.</w:t>
      </w:r>
    </w:p>
    <w:bookmarkEnd w:id="0"/>
    <w:p w14:paraId="4156BEF1" w14:textId="77777777" w:rsidR="003A2C45" w:rsidRPr="00637749" w:rsidRDefault="003A2C45" w:rsidP="00F20AEE">
      <w:pPr>
        <w:spacing w:after="0" w:line="240" w:lineRule="auto"/>
        <w:contextualSpacing/>
        <w:jc w:val="both"/>
        <w:rPr>
          <w:rFonts w:ascii="Arial" w:eastAsia="Times New Roman" w:hAnsi="Arial" w:cs="Arial"/>
          <w:sz w:val="20"/>
          <w:szCs w:val="20"/>
          <w:lang w:eastAsia="sl-SI"/>
        </w:rPr>
      </w:pPr>
    </w:p>
    <w:p w14:paraId="37E808A1"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5. člen</w:t>
      </w:r>
    </w:p>
    <w:p w14:paraId="5B9FE39A"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(vrste pomoči in ukrepi)</w:t>
      </w:r>
    </w:p>
    <w:p w14:paraId="1FEB5FFE"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Za uresničevanje ciljev ohranjanja in razvoja kmetijstva in podeželja v občini se finančna sredstva usmerjajo preko pravil za državne pomoči, ki imajo podlago v uredbah komisije EU, navedenih v drugem odstavku 1. člena tega pravilnika in omogočajo izvedbo naslednjih vrst pomoči oz. ukrepov:</w:t>
      </w:r>
    </w:p>
    <w:p w14:paraId="23CE4CF8"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Cs/>
          <w:iCs/>
          <w:sz w:val="20"/>
          <w:szCs w:val="20"/>
          <w:lang w:eastAsia="sl-S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7407"/>
      </w:tblGrid>
      <w:tr w:rsidR="00F20AEE" w:rsidRPr="00637749" w14:paraId="12789E2F" w14:textId="77777777" w:rsidTr="00784C09">
        <w:trPr>
          <w:trHeight w:val="500"/>
        </w:trPr>
        <w:tc>
          <w:tcPr>
            <w:tcW w:w="2799" w:type="dxa"/>
            <w:shd w:val="clear" w:color="auto" w:fill="auto"/>
            <w:vAlign w:val="center"/>
          </w:tcPr>
          <w:p w14:paraId="3C6B9AB0"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
                <w:iCs/>
                <w:sz w:val="20"/>
                <w:szCs w:val="20"/>
                <w:lang w:eastAsia="sl-SI"/>
              </w:rPr>
            </w:pPr>
            <w:r w:rsidRPr="00637749">
              <w:rPr>
                <w:rFonts w:ascii="Arial" w:eastAsia="Times New Roman" w:hAnsi="Arial" w:cs="Arial"/>
                <w:b/>
                <w:iCs/>
                <w:sz w:val="20"/>
                <w:szCs w:val="20"/>
                <w:lang w:eastAsia="sl-SI"/>
              </w:rPr>
              <w:t>VRSTE POMOČI</w:t>
            </w:r>
          </w:p>
        </w:tc>
        <w:tc>
          <w:tcPr>
            <w:tcW w:w="7407" w:type="dxa"/>
            <w:shd w:val="clear" w:color="auto" w:fill="auto"/>
            <w:vAlign w:val="center"/>
          </w:tcPr>
          <w:p w14:paraId="071A2E8D"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iCs/>
                <w:sz w:val="20"/>
                <w:szCs w:val="20"/>
                <w:lang w:eastAsia="sl-SI"/>
              </w:rPr>
            </w:pPr>
            <w:r w:rsidRPr="00637749">
              <w:rPr>
                <w:rFonts w:ascii="Arial" w:eastAsia="Times New Roman" w:hAnsi="Arial" w:cs="Arial"/>
                <w:b/>
                <w:iCs/>
                <w:sz w:val="20"/>
                <w:szCs w:val="20"/>
                <w:lang w:eastAsia="sl-SI"/>
              </w:rPr>
              <w:t>UKREPI</w:t>
            </w:r>
          </w:p>
        </w:tc>
      </w:tr>
      <w:tr w:rsidR="00F20AEE" w:rsidRPr="00637749" w14:paraId="0856163C" w14:textId="77777777" w:rsidTr="00784C09">
        <w:trPr>
          <w:trHeight w:val="426"/>
        </w:trPr>
        <w:tc>
          <w:tcPr>
            <w:tcW w:w="2799" w:type="dxa"/>
            <w:shd w:val="clear" w:color="auto" w:fill="auto"/>
            <w:vAlign w:val="center"/>
          </w:tcPr>
          <w:p w14:paraId="38592513"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bCs/>
                <w:i/>
                <w:sz w:val="20"/>
                <w:szCs w:val="20"/>
                <w:lang w:eastAsia="sl-SI"/>
              </w:rPr>
            </w:pPr>
            <w:r w:rsidRPr="00637749">
              <w:rPr>
                <w:rFonts w:ascii="Arial" w:eastAsia="Times New Roman" w:hAnsi="Arial" w:cs="Arial"/>
                <w:bCs/>
                <w:i/>
                <w:sz w:val="20"/>
                <w:szCs w:val="20"/>
                <w:lang w:eastAsia="sl-SI"/>
              </w:rPr>
              <w:t>Državna pomoč po skupinski izjemi v kmetijstvu in gozdarstvu z Uredbo Komisije (EU) št. 2022/2472</w:t>
            </w:r>
          </w:p>
        </w:tc>
        <w:tc>
          <w:tcPr>
            <w:tcW w:w="7407" w:type="dxa"/>
            <w:shd w:val="clear" w:color="auto" w:fill="auto"/>
          </w:tcPr>
          <w:p w14:paraId="4EF025FD"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
                <w:i/>
                <w:sz w:val="20"/>
                <w:szCs w:val="20"/>
                <w:lang w:eastAsia="sl-SI"/>
              </w:rPr>
            </w:pPr>
            <w:r w:rsidRPr="00637749">
              <w:rPr>
                <w:rFonts w:ascii="Arial" w:eastAsia="Times New Roman" w:hAnsi="Arial" w:cs="Arial"/>
                <w:bCs/>
                <w:iCs/>
                <w:sz w:val="20"/>
                <w:szCs w:val="20"/>
                <w:lang w:eastAsia="sl-SI"/>
              </w:rPr>
              <w:t xml:space="preserve">UKREP 1: </w:t>
            </w:r>
            <w:r w:rsidRPr="00637749">
              <w:rPr>
                <w:rFonts w:ascii="Arial" w:eastAsia="Times New Roman" w:hAnsi="Arial" w:cs="Arial"/>
                <w:b/>
                <w:i/>
                <w:sz w:val="20"/>
                <w:szCs w:val="20"/>
                <w:lang w:eastAsia="sl-SI"/>
              </w:rPr>
              <w:t>Pomoč za naložbe na kmetijskih gospodarstvih v zvezi s</w:t>
            </w:r>
          </w:p>
          <w:p w14:paraId="6DEE3DD0"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
                <w:i/>
                <w:sz w:val="20"/>
                <w:szCs w:val="20"/>
                <w:lang w:eastAsia="sl-SI"/>
              </w:rPr>
            </w:pPr>
            <w:r w:rsidRPr="00637749">
              <w:rPr>
                <w:rFonts w:ascii="Arial" w:eastAsia="Times New Roman" w:hAnsi="Arial" w:cs="Arial"/>
                <w:b/>
                <w:i/>
                <w:sz w:val="20"/>
                <w:szCs w:val="20"/>
                <w:lang w:eastAsia="sl-SI"/>
              </w:rPr>
              <w:t xml:space="preserve">                  primarno kmetijsko proizvodnjo</w:t>
            </w:r>
          </w:p>
          <w:p w14:paraId="2B054BEC" w14:textId="77777777" w:rsidR="008A1549" w:rsidRPr="00637749" w:rsidRDefault="00F20AEE" w:rsidP="008A1549">
            <w:pPr>
              <w:spacing w:after="0" w:line="276" w:lineRule="auto"/>
              <w:jc w:val="both"/>
              <w:rPr>
                <w:rFonts w:ascii="Arial" w:eastAsia="Times New Roman" w:hAnsi="Arial" w:cs="Arial"/>
                <w:sz w:val="20"/>
                <w:szCs w:val="20"/>
                <w:lang w:eastAsia="sl-SI"/>
              </w:rPr>
            </w:pPr>
            <w:r w:rsidRPr="00637749">
              <w:rPr>
                <w:rFonts w:ascii="Arial" w:eastAsia="Times New Roman" w:hAnsi="Arial" w:cs="Arial"/>
                <w:iCs/>
                <w:sz w:val="20"/>
                <w:szCs w:val="20"/>
                <w:lang w:eastAsia="sl-SI"/>
              </w:rPr>
              <w:t xml:space="preserve">                    (14. člen Uredbe Komisije (EU) št. 2022/2472)</w:t>
            </w:r>
            <w:r w:rsidR="008A1549" w:rsidRPr="00637749">
              <w:rPr>
                <w:rFonts w:ascii="Arial" w:eastAsia="Times New Roman" w:hAnsi="Arial" w:cs="Arial"/>
                <w:sz w:val="20"/>
                <w:szCs w:val="20"/>
                <w:lang w:eastAsia="sl-SI"/>
              </w:rPr>
              <w:t xml:space="preserve"> </w:t>
            </w:r>
          </w:p>
          <w:p w14:paraId="0F821FD9" w14:textId="09276CC7" w:rsidR="008A1549" w:rsidRPr="00637749" w:rsidRDefault="008A1549" w:rsidP="008A1549">
            <w:pPr>
              <w:spacing w:after="0" w:line="276"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UKREP 2: </w:t>
            </w:r>
            <w:r w:rsidRPr="00637749">
              <w:rPr>
                <w:rFonts w:ascii="Arial" w:eastAsia="Times New Roman" w:hAnsi="Arial" w:cs="Arial"/>
                <w:b/>
                <w:i/>
                <w:sz w:val="20"/>
                <w:szCs w:val="20"/>
                <w:lang w:eastAsia="sl-SI"/>
              </w:rPr>
              <w:t xml:space="preserve">Pomoč za </w:t>
            </w:r>
            <w:r w:rsidR="004A0847" w:rsidRPr="00637749">
              <w:rPr>
                <w:rFonts w:ascii="Arial" w:eastAsia="Times New Roman" w:hAnsi="Arial" w:cs="Arial"/>
                <w:b/>
                <w:i/>
                <w:sz w:val="20"/>
                <w:szCs w:val="20"/>
                <w:lang w:eastAsia="sl-SI"/>
              </w:rPr>
              <w:t>promocijske ukrepe za kmetijske proizvode</w:t>
            </w:r>
          </w:p>
          <w:p w14:paraId="67C64BC5" w14:textId="1C616AC6" w:rsidR="00F20AEE" w:rsidRPr="00637749" w:rsidRDefault="008A1549" w:rsidP="008A1549">
            <w:pPr>
              <w:overflowPunct w:val="0"/>
              <w:autoSpaceDE w:val="0"/>
              <w:autoSpaceDN w:val="0"/>
              <w:adjustRightInd w:val="0"/>
              <w:spacing w:after="0" w:line="240" w:lineRule="auto"/>
              <w:jc w:val="both"/>
              <w:rPr>
                <w:rFonts w:ascii="Arial" w:eastAsia="Times New Roman" w:hAnsi="Arial" w:cs="Arial"/>
                <w:iCs/>
                <w:sz w:val="20"/>
                <w:szCs w:val="20"/>
                <w:lang w:eastAsia="sl-SI"/>
              </w:rPr>
            </w:pPr>
            <w:r w:rsidRPr="00637749">
              <w:rPr>
                <w:rFonts w:ascii="Arial" w:eastAsia="Times New Roman" w:hAnsi="Arial" w:cs="Arial"/>
                <w:i/>
                <w:sz w:val="20"/>
                <w:szCs w:val="20"/>
                <w:lang w:eastAsia="sl-SI"/>
              </w:rPr>
              <w:t xml:space="preserve">                   (2</w:t>
            </w:r>
            <w:r w:rsidR="004A0847" w:rsidRPr="00637749">
              <w:rPr>
                <w:rFonts w:ascii="Arial" w:eastAsia="Times New Roman" w:hAnsi="Arial" w:cs="Arial"/>
                <w:i/>
                <w:sz w:val="20"/>
                <w:szCs w:val="20"/>
                <w:lang w:eastAsia="sl-SI"/>
              </w:rPr>
              <w:t>4</w:t>
            </w:r>
            <w:r w:rsidRPr="00637749">
              <w:rPr>
                <w:rFonts w:ascii="Arial" w:eastAsia="Times New Roman" w:hAnsi="Arial" w:cs="Arial"/>
                <w:i/>
                <w:sz w:val="20"/>
                <w:szCs w:val="20"/>
                <w:lang w:eastAsia="sl-SI"/>
              </w:rPr>
              <w:t>. člen Uredbe Komisije (EU) št. 2022/2472)</w:t>
            </w:r>
          </w:p>
          <w:p w14:paraId="67C1BAA2" w14:textId="349DA20A"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
                <w:i/>
                <w:sz w:val="20"/>
                <w:szCs w:val="20"/>
                <w:lang w:eastAsia="sl-SI"/>
              </w:rPr>
            </w:pPr>
            <w:r w:rsidRPr="00637749">
              <w:rPr>
                <w:rFonts w:ascii="Arial" w:eastAsia="Times New Roman" w:hAnsi="Arial" w:cs="Arial"/>
                <w:bCs/>
                <w:iCs/>
                <w:sz w:val="20"/>
                <w:szCs w:val="20"/>
                <w:lang w:eastAsia="sl-SI"/>
              </w:rPr>
              <w:t xml:space="preserve">UKREP </w:t>
            </w:r>
            <w:r w:rsidR="008A1549" w:rsidRPr="00637749">
              <w:rPr>
                <w:rFonts w:ascii="Arial" w:eastAsia="Times New Roman" w:hAnsi="Arial" w:cs="Arial"/>
                <w:bCs/>
                <w:iCs/>
                <w:sz w:val="20"/>
                <w:szCs w:val="20"/>
                <w:lang w:eastAsia="sl-SI"/>
              </w:rPr>
              <w:t>3</w:t>
            </w:r>
            <w:r w:rsidRPr="00637749">
              <w:rPr>
                <w:rFonts w:ascii="Arial" w:eastAsia="Times New Roman" w:hAnsi="Arial" w:cs="Arial"/>
                <w:bCs/>
                <w:iCs/>
                <w:sz w:val="20"/>
                <w:szCs w:val="20"/>
                <w:lang w:eastAsia="sl-SI"/>
              </w:rPr>
              <w:t xml:space="preserve">: </w:t>
            </w:r>
            <w:r w:rsidRPr="00637749">
              <w:rPr>
                <w:rFonts w:ascii="Arial" w:eastAsia="Times New Roman" w:hAnsi="Arial" w:cs="Arial"/>
                <w:b/>
                <w:i/>
                <w:sz w:val="20"/>
                <w:szCs w:val="20"/>
                <w:lang w:eastAsia="sl-SI"/>
              </w:rPr>
              <w:t>Pomoč za plačilo zavarovalnih premij</w:t>
            </w:r>
          </w:p>
          <w:p w14:paraId="0E21D90F" w14:textId="77777777" w:rsidR="00F20AEE" w:rsidRPr="00637749" w:rsidRDefault="00F20AEE" w:rsidP="00F20AEE">
            <w:pPr>
              <w:spacing w:after="0" w:line="240" w:lineRule="auto"/>
              <w:rPr>
                <w:rFonts w:ascii="Arial" w:eastAsia="Times New Roman" w:hAnsi="Arial" w:cs="Arial"/>
                <w:iCs/>
                <w:sz w:val="20"/>
                <w:szCs w:val="20"/>
                <w:lang w:eastAsia="sl-SI"/>
              </w:rPr>
            </w:pPr>
            <w:r w:rsidRPr="00637749">
              <w:rPr>
                <w:rFonts w:ascii="Arial" w:eastAsia="Times New Roman" w:hAnsi="Arial" w:cs="Arial"/>
                <w:bCs/>
                <w:iCs/>
                <w:sz w:val="20"/>
                <w:szCs w:val="20"/>
                <w:lang w:eastAsia="sl-SI"/>
              </w:rPr>
              <w:t xml:space="preserve">                   (28</w:t>
            </w:r>
            <w:r w:rsidRPr="00637749">
              <w:rPr>
                <w:rFonts w:ascii="Arial" w:eastAsia="Times New Roman" w:hAnsi="Arial" w:cs="Arial"/>
                <w:iCs/>
                <w:sz w:val="20"/>
                <w:szCs w:val="20"/>
                <w:lang w:eastAsia="sl-SI"/>
              </w:rPr>
              <w:t>. člen Uredbe Komisije (EU) št. 2022/2472)</w:t>
            </w:r>
          </w:p>
          <w:p w14:paraId="39B24D8E" w14:textId="32019980" w:rsidR="00BC2450" w:rsidRPr="00637749" w:rsidRDefault="00BC2450" w:rsidP="008A1549">
            <w:pPr>
              <w:overflowPunct w:val="0"/>
              <w:autoSpaceDE w:val="0"/>
              <w:autoSpaceDN w:val="0"/>
              <w:adjustRightInd w:val="0"/>
              <w:spacing w:after="0" w:line="240" w:lineRule="auto"/>
              <w:rPr>
                <w:rFonts w:ascii="Arial" w:eastAsia="Times New Roman" w:hAnsi="Arial" w:cs="Arial"/>
                <w:b/>
                <w:i/>
                <w:sz w:val="20"/>
                <w:szCs w:val="20"/>
                <w:lang w:eastAsia="sl-SI"/>
              </w:rPr>
            </w:pPr>
          </w:p>
        </w:tc>
      </w:tr>
      <w:tr w:rsidR="00F20AEE" w:rsidRPr="00637749" w14:paraId="645C667F" w14:textId="77777777" w:rsidTr="00784C09">
        <w:trPr>
          <w:trHeight w:val="426"/>
        </w:trPr>
        <w:tc>
          <w:tcPr>
            <w:tcW w:w="2799" w:type="dxa"/>
            <w:shd w:val="clear" w:color="auto" w:fill="auto"/>
            <w:vAlign w:val="center"/>
          </w:tcPr>
          <w:p w14:paraId="699FA082"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bCs/>
                <w:i/>
                <w:sz w:val="20"/>
                <w:szCs w:val="20"/>
                <w:lang w:eastAsia="sl-SI"/>
              </w:rPr>
            </w:pPr>
            <w:r w:rsidRPr="00637749">
              <w:rPr>
                <w:rFonts w:ascii="Arial" w:eastAsia="Times New Roman" w:hAnsi="Arial" w:cs="Arial"/>
                <w:bCs/>
                <w:i/>
                <w:sz w:val="20"/>
                <w:szCs w:val="20"/>
                <w:lang w:eastAsia="sl-SI"/>
              </w:rPr>
              <w:t>Pomoč de minimis pomoči v skladu z Uredbo Komisije (EU) št. 1407/2013</w:t>
            </w:r>
          </w:p>
        </w:tc>
        <w:tc>
          <w:tcPr>
            <w:tcW w:w="7407" w:type="dxa"/>
            <w:shd w:val="clear" w:color="auto" w:fill="auto"/>
          </w:tcPr>
          <w:p w14:paraId="2BDD9B95" w14:textId="4FCF5C84" w:rsidR="00F20AEE" w:rsidRPr="00637749" w:rsidRDefault="00F20AEE" w:rsidP="00F20AEE">
            <w:pPr>
              <w:overflowPunct w:val="0"/>
              <w:autoSpaceDE w:val="0"/>
              <w:autoSpaceDN w:val="0"/>
              <w:adjustRightInd w:val="0"/>
              <w:spacing w:after="0" w:line="240" w:lineRule="auto"/>
              <w:rPr>
                <w:rFonts w:ascii="Arial" w:eastAsia="Times New Roman" w:hAnsi="Arial" w:cs="Arial"/>
                <w:bCs/>
                <w:i/>
                <w:iCs/>
                <w:sz w:val="20"/>
                <w:szCs w:val="20"/>
                <w:lang w:eastAsia="sl-SI"/>
              </w:rPr>
            </w:pPr>
            <w:r w:rsidRPr="00637749">
              <w:rPr>
                <w:rFonts w:ascii="Arial" w:eastAsia="Times New Roman" w:hAnsi="Arial" w:cs="Arial"/>
                <w:bCs/>
                <w:sz w:val="20"/>
                <w:szCs w:val="20"/>
                <w:lang w:eastAsia="sl-SI"/>
              </w:rPr>
              <w:t xml:space="preserve">UKREP </w:t>
            </w:r>
            <w:r w:rsidR="00637749" w:rsidRPr="00637749">
              <w:rPr>
                <w:rFonts w:ascii="Arial" w:eastAsia="Times New Roman" w:hAnsi="Arial" w:cs="Arial"/>
                <w:bCs/>
                <w:sz w:val="20"/>
                <w:szCs w:val="20"/>
                <w:lang w:eastAsia="sl-SI"/>
              </w:rPr>
              <w:t>4</w:t>
            </w:r>
            <w:r w:rsidRPr="00637749">
              <w:rPr>
                <w:rFonts w:ascii="Arial" w:eastAsia="Times New Roman" w:hAnsi="Arial" w:cs="Arial"/>
                <w:bCs/>
                <w:i/>
                <w:iCs/>
                <w:sz w:val="20"/>
                <w:szCs w:val="20"/>
                <w:lang w:eastAsia="sl-SI"/>
              </w:rPr>
              <w:t xml:space="preserve">: Pomoč za naložbe v predelavo in trženje </w:t>
            </w:r>
          </w:p>
          <w:p w14:paraId="6FA65C5F"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bCs/>
                <w:i/>
                <w:iCs/>
                <w:sz w:val="20"/>
                <w:szCs w:val="20"/>
                <w:lang w:eastAsia="sl-SI"/>
              </w:rPr>
            </w:pPr>
            <w:r w:rsidRPr="00637749">
              <w:rPr>
                <w:rFonts w:ascii="Arial" w:eastAsia="Times New Roman" w:hAnsi="Arial" w:cs="Arial"/>
                <w:bCs/>
                <w:i/>
                <w:iCs/>
                <w:sz w:val="20"/>
                <w:szCs w:val="20"/>
                <w:lang w:eastAsia="sl-SI"/>
              </w:rPr>
              <w:t xml:space="preserve">                  kmetijskih in živilskih proizvodov ter naložbe v</w:t>
            </w:r>
          </w:p>
          <w:p w14:paraId="5C32A005"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bCs/>
                <w:i/>
                <w:iCs/>
                <w:sz w:val="20"/>
                <w:szCs w:val="20"/>
                <w:lang w:eastAsia="sl-SI"/>
              </w:rPr>
            </w:pPr>
            <w:r w:rsidRPr="00637749">
              <w:rPr>
                <w:rFonts w:ascii="Arial" w:eastAsia="Times New Roman" w:hAnsi="Arial" w:cs="Arial"/>
                <w:bCs/>
                <w:i/>
                <w:iCs/>
                <w:sz w:val="20"/>
                <w:szCs w:val="20"/>
                <w:lang w:eastAsia="sl-SI"/>
              </w:rPr>
              <w:t xml:space="preserve">                  nekmetijsko dejavnost na kmetiji</w:t>
            </w:r>
          </w:p>
          <w:p w14:paraId="1D31D53B" w14:textId="35C62978" w:rsidR="00F20AEE" w:rsidRPr="00637749" w:rsidRDefault="00F20AEE" w:rsidP="00F20AEE">
            <w:pPr>
              <w:overflowPunct w:val="0"/>
              <w:autoSpaceDE w:val="0"/>
              <w:autoSpaceDN w:val="0"/>
              <w:adjustRightInd w:val="0"/>
              <w:spacing w:after="0" w:line="240" w:lineRule="auto"/>
              <w:rPr>
                <w:rFonts w:ascii="Arial" w:eastAsia="Times New Roman" w:hAnsi="Arial" w:cs="Arial"/>
                <w:bCs/>
                <w:i/>
                <w:iCs/>
                <w:sz w:val="20"/>
                <w:szCs w:val="20"/>
                <w:lang w:eastAsia="sl-SI"/>
              </w:rPr>
            </w:pPr>
            <w:r w:rsidRPr="00637749">
              <w:rPr>
                <w:rFonts w:ascii="Arial" w:eastAsia="Times New Roman" w:hAnsi="Arial" w:cs="Arial"/>
                <w:bCs/>
                <w:sz w:val="20"/>
                <w:szCs w:val="20"/>
                <w:lang w:eastAsia="sl-SI"/>
              </w:rPr>
              <w:t>UKREP</w:t>
            </w:r>
            <w:r w:rsidR="00BC2450" w:rsidRPr="00637749">
              <w:rPr>
                <w:rFonts w:ascii="Arial" w:eastAsia="Times New Roman" w:hAnsi="Arial" w:cs="Arial"/>
                <w:bCs/>
                <w:sz w:val="20"/>
                <w:szCs w:val="20"/>
                <w:lang w:eastAsia="sl-SI"/>
              </w:rPr>
              <w:t xml:space="preserve"> </w:t>
            </w:r>
            <w:r w:rsidR="00637749" w:rsidRPr="00637749">
              <w:rPr>
                <w:rFonts w:ascii="Arial" w:eastAsia="Times New Roman" w:hAnsi="Arial" w:cs="Arial"/>
                <w:bCs/>
                <w:sz w:val="20"/>
                <w:szCs w:val="20"/>
                <w:lang w:eastAsia="sl-SI"/>
              </w:rPr>
              <w:t>5</w:t>
            </w:r>
            <w:r w:rsidRPr="00637749">
              <w:rPr>
                <w:rFonts w:ascii="Arial" w:eastAsia="Times New Roman" w:hAnsi="Arial" w:cs="Arial"/>
                <w:bCs/>
                <w:i/>
                <w:iCs/>
                <w:sz w:val="20"/>
                <w:szCs w:val="20"/>
                <w:lang w:eastAsia="sl-SI"/>
              </w:rPr>
              <w:t>: Pomoč za izobraževanje in usposabljanje na področju</w:t>
            </w:r>
          </w:p>
          <w:p w14:paraId="1BCE041D" w14:textId="77777777" w:rsidR="00F20AEE" w:rsidRPr="00637749" w:rsidRDefault="00F20AEE" w:rsidP="00F20AEE">
            <w:pPr>
              <w:tabs>
                <w:tab w:val="left" w:pos="1039"/>
              </w:tabs>
              <w:overflowPunct w:val="0"/>
              <w:autoSpaceDE w:val="0"/>
              <w:autoSpaceDN w:val="0"/>
              <w:adjustRightInd w:val="0"/>
              <w:spacing w:after="0" w:line="240" w:lineRule="auto"/>
              <w:rPr>
                <w:rFonts w:ascii="Arial" w:eastAsia="Times New Roman" w:hAnsi="Arial" w:cs="Arial"/>
                <w:bCs/>
                <w:i/>
                <w:iCs/>
                <w:sz w:val="20"/>
                <w:szCs w:val="20"/>
                <w:lang w:eastAsia="sl-SI"/>
              </w:rPr>
            </w:pPr>
            <w:r w:rsidRPr="00637749">
              <w:rPr>
                <w:rFonts w:ascii="Arial" w:eastAsia="Times New Roman" w:hAnsi="Arial" w:cs="Arial"/>
                <w:bCs/>
                <w:i/>
                <w:iCs/>
                <w:sz w:val="20"/>
                <w:szCs w:val="20"/>
                <w:lang w:eastAsia="sl-SI"/>
              </w:rPr>
              <w:t xml:space="preserve">                  dopolnilnih in nekmetijskih dejavnosti na kmetiji ter </w:t>
            </w:r>
          </w:p>
          <w:p w14:paraId="4980918B" w14:textId="24262D5F" w:rsidR="008E628D" w:rsidRPr="00637749" w:rsidRDefault="00F20AEE" w:rsidP="00D15162">
            <w:pPr>
              <w:tabs>
                <w:tab w:val="left" w:pos="1039"/>
              </w:tabs>
              <w:overflowPunct w:val="0"/>
              <w:autoSpaceDE w:val="0"/>
              <w:autoSpaceDN w:val="0"/>
              <w:adjustRightInd w:val="0"/>
              <w:spacing w:after="0" w:line="240" w:lineRule="auto"/>
              <w:rPr>
                <w:rFonts w:ascii="Arial" w:eastAsia="Times New Roman" w:hAnsi="Arial" w:cs="Arial"/>
                <w:bCs/>
                <w:i/>
                <w:iCs/>
                <w:sz w:val="20"/>
                <w:szCs w:val="20"/>
                <w:lang w:eastAsia="sl-SI"/>
              </w:rPr>
            </w:pPr>
            <w:r w:rsidRPr="00637749">
              <w:rPr>
                <w:rFonts w:ascii="Arial" w:eastAsia="Times New Roman" w:hAnsi="Arial" w:cs="Arial"/>
                <w:bCs/>
                <w:i/>
                <w:iCs/>
                <w:sz w:val="20"/>
                <w:szCs w:val="20"/>
                <w:lang w:eastAsia="sl-SI"/>
              </w:rPr>
              <w:t xml:space="preserve">                  predelave in trženja</w:t>
            </w:r>
          </w:p>
        </w:tc>
      </w:tr>
    </w:tbl>
    <w:p w14:paraId="39D7D3E4"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27E89CAF"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bookmarkStart w:id="1" w:name="_Hlk128579720"/>
      <w:r w:rsidRPr="00637749">
        <w:rPr>
          <w:rFonts w:ascii="Arial" w:eastAsia="Times New Roman" w:hAnsi="Arial" w:cs="Arial"/>
          <w:b/>
          <w:bCs/>
          <w:sz w:val="20"/>
          <w:szCs w:val="20"/>
          <w:lang w:eastAsia="sl-SI"/>
        </w:rPr>
        <w:t>6. člen</w:t>
      </w:r>
    </w:p>
    <w:p w14:paraId="21CFAAA9"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(upravičenci do pomoči in izvajalci storitev)</w:t>
      </w:r>
    </w:p>
    <w:bookmarkEnd w:id="1"/>
    <w:p w14:paraId="36D2DB01"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Upravičenci do pomoči so:</w:t>
      </w:r>
    </w:p>
    <w:p w14:paraId="52288563" w14:textId="77777777" w:rsidR="00F20AEE" w:rsidRPr="00637749" w:rsidRDefault="00F20AEE" w:rsidP="000D6FE0">
      <w:pPr>
        <w:pStyle w:val="Odstavekseznama"/>
        <w:numPr>
          <w:ilvl w:val="0"/>
          <w:numId w:val="34"/>
        </w:numPr>
        <w:overflowPunct w:val="0"/>
        <w:autoSpaceDE w:val="0"/>
        <w:autoSpaceDN w:val="0"/>
        <w:adjustRightInd w:val="0"/>
        <w:jc w:val="both"/>
        <w:rPr>
          <w:rFonts w:ascii="Arial" w:hAnsi="Arial" w:cs="Arial"/>
          <w:sz w:val="20"/>
          <w:szCs w:val="20"/>
        </w:rPr>
      </w:pPr>
      <w:r w:rsidRPr="00637749">
        <w:rPr>
          <w:rFonts w:ascii="Arial" w:hAnsi="Arial" w:cs="Arial"/>
          <w:sz w:val="20"/>
          <w:szCs w:val="20"/>
        </w:rPr>
        <w:t>kmetijska gospodarstva dejavna v primarni kmetijski proizvodnji, na področju predelave in/ali trženja kmetijskih proizvodov ter v gozdarstvu in so vpisana v register kmetijskih gospodarstev;</w:t>
      </w:r>
    </w:p>
    <w:p w14:paraId="77920080" w14:textId="77777777" w:rsidR="00F20AEE" w:rsidRPr="00637749" w:rsidRDefault="00F20AEE" w:rsidP="000D6FE0">
      <w:pPr>
        <w:pStyle w:val="Odstavekseznama"/>
        <w:numPr>
          <w:ilvl w:val="0"/>
          <w:numId w:val="34"/>
        </w:numPr>
        <w:overflowPunct w:val="0"/>
        <w:autoSpaceDE w:val="0"/>
        <w:autoSpaceDN w:val="0"/>
        <w:adjustRightInd w:val="0"/>
        <w:jc w:val="both"/>
        <w:rPr>
          <w:rFonts w:ascii="Arial" w:hAnsi="Arial" w:cs="Arial"/>
          <w:sz w:val="20"/>
          <w:szCs w:val="20"/>
        </w:rPr>
      </w:pPr>
      <w:r w:rsidRPr="00637749">
        <w:rPr>
          <w:rFonts w:ascii="Arial" w:hAnsi="Arial" w:cs="Arial"/>
          <w:sz w:val="20"/>
          <w:szCs w:val="20"/>
        </w:rPr>
        <w:t xml:space="preserve">v primerih ukrepov za pomoči </w:t>
      </w:r>
      <w:r w:rsidRPr="00637749">
        <w:rPr>
          <w:rFonts w:ascii="Arial" w:hAnsi="Arial" w:cs="Arial"/>
          <w:i/>
          <w:iCs/>
          <w:sz w:val="20"/>
          <w:szCs w:val="20"/>
        </w:rPr>
        <w:t>de minimis</w:t>
      </w:r>
      <w:r w:rsidRPr="00637749">
        <w:rPr>
          <w:rFonts w:ascii="Arial" w:hAnsi="Arial" w:cs="Arial"/>
          <w:sz w:val="20"/>
          <w:szCs w:val="20"/>
        </w:rPr>
        <w:t xml:space="preserve"> po Uredbi komisije (EU) št. 1407/2013 so to nosilci kmetijskih gospodarstev in člani kmetijskega gospodinjstva, ki imajo stalno prebivališče na naslovu nosilca dejavnosti, so registrirani za opravljanje dopolnilne dejavnosti na kmetiji. Kmetijsko gospodarstvo je vpisano v register kmetijskih gospodarstev;</w:t>
      </w:r>
    </w:p>
    <w:p w14:paraId="68A79D33" w14:textId="77777777" w:rsidR="00F20AEE" w:rsidRPr="00637749" w:rsidRDefault="00F20AEE" w:rsidP="000D6FE0">
      <w:pPr>
        <w:pStyle w:val="Odstavekseznama"/>
        <w:numPr>
          <w:ilvl w:val="0"/>
          <w:numId w:val="34"/>
        </w:numPr>
        <w:overflowPunct w:val="0"/>
        <w:autoSpaceDE w:val="0"/>
        <w:autoSpaceDN w:val="0"/>
        <w:adjustRightInd w:val="0"/>
        <w:jc w:val="both"/>
        <w:rPr>
          <w:rFonts w:ascii="Arial" w:hAnsi="Arial" w:cs="Arial"/>
          <w:sz w:val="20"/>
          <w:szCs w:val="20"/>
        </w:rPr>
      </w:pPr>
      <w:bookmarkStart w:id="2" w:name="_GoBack"/>
      <w:bookmarkEnd w:id="2"/>
      <w:r w:rsidRPr="00637749">
        <w:rPr>
          <w:rFonts w:ascii="Arial" w:hAnsi="Arial" w:cs="Arial"/>
          <w:sz w:val="20"/>
          <w:szCs w:val="20"/>
        </w:rPr>
        <w:t>registrirana društva ali združenja,</w:t>
      </w:r>
      <w:r w:rsidR="000D6FE0" w:rsidRPr="00637749">
        <w:rPr>
          <w:rFonts w:ascii="Arial" w:hAnsi="Arial" w:cs="Arial"/>
          <w:sz w:val="20"/>
          <w:szCs w:val="20"/>
        </w:rPr>
        <w:t xml:space="preserve"> organizacije in zavodi</w:t>
      </w:r>
      <w:r w:rsidRPr="00637749">
        <w:rPr>
          <w:rFonts w:ascii="Arial" w:hAnsi="Arial" w:cs="Arial"/>
          <w:sz w:val="20"/>
          <w:szCs w:val="20"/>
        </w:rPr>
        <w:t xml:space="preserve"> ki delujejo na področju kmetijstva, gozdarstv</w:t>
      </w:r>
      <w:r w:rsidR="000D6FE0" w:rsidRPr="00637749">
        <w:rPr>
          <w:rFonts w:ascii="Arial" w:hAnsi="Arial" w:cs="Arial"/>
          <w:sz w:val="20"/>
          <w:szCs w:val="20"/>
        </w:rPr>
        <w:t>a in prehrane na območju občine.</w:t>
      </w:r>
    </w:p>
    <w:p w14:paraId="0146AE8F"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0FA34F30"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7. člen</w:t>
      </w:r>
    </w:p>
    <w:p w14:paraId="07219080"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(izvzeta področja uporabe Komisije (EU) št. 2022/2472)</w:t>
      </w:r>
    </w:p>
    <w:p w14:paraId="2DB135FC" w14:textId="77777777" w:rsidR="00F20AEE" w:rsidRPr="00637749" w:rsidRDefault="00F20AEE" w:rsidP="00F20AEE">
      <w:pPr>
        <w:numPr>
          <w:ilvl w:val="0"/>
          <w:numId w:val="3"/>
        </w:numPr>
        <w:overflowPunct w:val="0"/>
        <w:autoSpaceDE w:val="0"/>
        <w:autoSpaceDN w:val="0"/>
        <w:adjustRightInd w:val="0"/>
        <w:spacing w:after="0" w:line="240" w:lineRule="auto"/>
        <w:ind w:left="360"/>
        <w:jc w:val="both"/>
        <w:rPr>
          <w:rFonts w:ascii="Arial" w:eastAsia="Times New Roman" w:hAnsi="Arial" w:cs="Arial"/>
          <w:sz w:val="20"/>
          <w:szCs w:val="20"/>
          <w:u w:val="single"/>
          <w:lang w:eastAsia="sl-SI"/>
        </w:rPr>
      </w:pPr>
      <w:r w:rsidRPr="00637749">
        <w:rPr>
          <w:rFonts w:ascii="Arial" w:eastAsia="Times New Roman" w:hAnsi="Arial" w:cs="Arial"/>
          <w:sz w:val="20"/>
          <w:szCs w:val="20"/>
          <w:lang w:eastAsia="sl-SI"/>
        </w:rPr>
        <w:t>Do pomoči po tem pravilniku, v okviru ukrepov v skladu z Uredbo Komisije (EU) št. 2022/2472, niso upravičeni subjekti, ki so:</w:t>
      </w:r>
    </w:p>
    <w:p w14:paraId="0270DE94" w14:textId="77777777" w:rsidR="00F20AEE" w:rsidRPr="00637749" w:rsidRDefault="00F20AEE" w:rsidP="000D6FE0">
      <w:pPr>
        <w:pStyle w:val="Odstavekseznama"/>
        <w:numPr>
          <w:ilvl w:val="0"/>
          <w:numId w:val="35"/>
        </w:numPr>
        <w:overflowPunct w:val="0"/>
        <w:autoSpaceDE w:val="0"/>
        <w:autoSpaceDN w:val="0"/>
        <w:adjustRightInd w:val="0"/>
        <w:jc w:val="both"/>
        <w:rPr>
          <w:rFonts w:ascii="Arial" w:hAnsi="Arial" w:cs="Arial"/>
          <w:sz w:val="20"/>
          <w:szCs w:val="20"/>
        </w:rPr>
      </w:pPr>
      <w:r w:rsidRPr="00637749">
        <w:rPr>
          <w:rFonts w:ascii="Arial" w:hAnsi="Arial" w:cs="Arial"/>
          <w:sz w:val="20"/>
          <w:szCs w:val="20"/>
        </w:rPr>
        <w:t>naslovniki neporavnanega naloga za izterjavo, na podlagi predhodnega sklepa Evropske unije, s katerim je pomoč, ki jo je dodelil organ Republike Slovenije, razglasila za nezakonito in nezdružljivo z notranjim trgom;</w:t>
      </w:r>
    </w:p>
    <w:p w14:paraId="3F177D50" w14:textId="77777777" w:rsidR="00F20AEE" w:rsidRPr="00637749" w:rsidRDefault="00F20AEE" w:rsidP="000D6FE0">
      <w:pPr>
        <w:pStyle w:val="Odstavekseznama"/>
        <w:numPr>
          <w:ilvl w:val="0"/>
          <w:numId w:val="35"/>
        </w:numPr>
        <w:overflowPunct w:val="0"/>
        <w:autoSpaceDE w:val="0"/>
        <w:autoSpaceDN w:val="0"/>
        <w:adjustRightInd w:val="0"/>
        <w:jc w:val="both"/>
        <w:rPr>
          <w:rFonts w:ascii="Arial" w:hAnsi="Arial" w:cs="Arial"/>
          <w:sz w:val="20"/>
          <w:szCs w:val="20"/>
        </w:rPr>
      </w:pPr>
      <w:r w:rsidRPr="00637749">
        <w:rPr>
          <w:rFonts w:ascii="Arial" w:hAnsi="Arial" w:cs="Arial"/>
          <w:sz w:val="20"/>
          <w:szCs w:val="20"/>
        </w:rPr>
        <w:t>podjetja v težavah.</w:t>
      </w:r>
    </w:p>
    <w:p w14:paraId="032F4856" w14:textId="77777777" w:rsidR="00F20AEE" w:rsidRPr="00637749" w:rsidRDefault="00F20AEE" w:rsidP="00F20AEE">
      <w:pPr>
        <w:numPr>
          <w:ilvl w:val="0"/>
          <w:numId w:val="3"/>
        </w:numPr>
        <w:overflowPunct w:val="0"/>
        <w:autoSpaceDE w:val="0"/>
        <w:autoSpaceDN w:val="0"/>
        <w:adjustRightInd w:val="0"/>
        <w:spacing w:after="0" w:line="240" w:lineRule="auto"/>
        <w:ind w:left="360"/>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Pomoči po tem pravilniku se ne dodelijo:</w:t>
      </w:r>
    </w:p>
    <w:p w14:paraId="47F6CB02" w14:textId="77777777" w:rsidR="00F20AEE" w:rsidRPr="00637749" w:rsidRDefault="00F20AEE" w:rsidP="000D6FE0">
      <w:pPr>
        <w:pStyle w:val="Odstavekseznama"/>
        <w:numPr>
          <w:ilvl w:val="0"/>
          <w:numId w:val="36"/>
        </w:numPr>
        <w:overflowPunct w:val="0"/>
        <w:autoSpaceDE w:val="0"/>
        <w:autoSpaceDN w:val="0"/>
        <w:adjustRightInd w:val="0"/>
        <w:jc w:val="both"/>
        <w:rPr>
          <w:rFonts w:ascii="Arial" w:hAnsi="Arial" w:cs="Arial"/>
          <w:sz w:val="20"/>
          <w:szCs w:val="20"/>
        </w:rPr>
      </w:pPr>
      <w:r w:rsidRPr="00637749">
        <w:rPr>
          <w:rFonts w:ascii="Arial" w:hAnsi="Arial" w:cs="Arial"/>
          <w:sz w:val="20"/>
          <w:szCs w:val="20"/>
        </w:rPr>
        <w:t>za dejavnosti, povezane z izvozom v tretje države ali države članice, in sicer če je pomoč neposredno povezana z izvoznimi količinami, vzpostavitvijo in delovanjem distribucijske mreže ali drugimi tekočimi stroški, povezanimi z izvozno dejavnostjo;</w:t>
      </w:r>
    </w:p>
    <w:p w14:paraId="61D6D54F" w14:textId="77777777" w:rsidR="00F20AEE" w:rsidRPr="00637749" w:rsidRDefault="00F20AEE" w:rsidP="000D6FE0">
      <w:pPr>
        <w:pStyle w:val="Odstavekseznama"/>
        <w:numPr>
          <w:ilvl w:val="0"/>
          <w:numId w:val="36"/>
        </w:numPr>
        <w:overflowPunct w:val="0"/>
        <w:autoSpaceDE w:val="0"/>
        <w:autoSpaceDN w:val="0"/>
        <w:adjustRightInd w:val="0"/>
        <w:jc w:val="both"/>
        <w:rPr>
          <w:rFonts w:ascii="Arial" w:hAnsi="Arial" w:cs="Arial"/>
          <w:sz w:val="20"/>
          <w:szCs w:val="20"/>
        </w:rPr>
      </w:pPr>
      <w:r w:rsidRPr="00637749">
        <w:rPr>
          <w:rFonts w:ascii="Arial" w:hAnsi="Arial" w:cs="Arial"/>
          <w:sz w:val="20"/>
          <w:szCs w:val="20"/>
        </w:rPr>
        <w:t>za pomoč, ki je odvisna od prednostne uporabe domačega blaga pred uporabo uvoženega blaga.</w:t>
      </w:r>
    </w:p>
    <w:p w14:paraId="09C2106B" w14:textId="77777777" w:rsidR="00F20AEE" w:rsidRPr="00637749" w:rsidRDefault="00F20AEE" w:rsidP="00F20AEE">
      <w:pPr>
        <w:numPr>
          <w:ilvl w:val="0"/>
          <w:numId w:val="3"/>
        </w:numPr>
        <w:overflowPunct w:val="0"/>
        <w:autoSpaceDE w:val="0"/>
        <w:autoSpaceDN w:val="0"/>
        <w:adjustRightInd w:val="0"/>
        <w:spacing w:after="0" w:line="240" w:lineRule="auto"/>
        <w:ind w:left="360"/>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Pomoči po tem pravilniku, v okviru ukrepov v skladu z Uredbo Komisije (EU) št. 2022/2472, se ne dodeli za davek na dodano vrednost, razen, kadar po predpisih, ki urejajo davek na dodano vrednost, le-ta ni izterljiv.</w:t>
      </w:r>
    </w:p>
    <w:p w14:paraId="74FC8EBE"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17FCFFDE"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8. člen</w:t>
      </w:r>
    </w:p>
    <w:p w14:paraId="5FF0B067"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(način, pogoji in merila za dodeljevanje pomoči)</w:t>
      </w:r>
    </w:p>
    <w:p w14:paraId="2FAC4792" w14:textId="77777777" w:rsidR="00F20AEE" w:rsidRPr="00637749" w:rsidRDefault="00F20AEE" w:rsidP="00F20AEE">
      <w:pPr>
        <w:numPr>
          <w:ilvl w:val="0"/>
          <w:numId w:val="8"/>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Državne pomoči in pomoči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 xml:space="preserve"> se dodeljujejo upravičencem na podlagi izvedenega javnega razpisa, objavljenega na občinski internetni strani, skladno z veljavnimi predpisi s področja javnih financ ter tem pravilnikom.</w:t>
      </w:r>
    </w:p>
    <w:p w14:paraId="7F4271F2" w14:textId="77777777" w:rsidR="00F20AEE" w:rsidRPr="00637749" w:rsidRDefault="00F20AEE" w:rsidP="00F20AEE">
      <w:pPr>
        <w:numPr>
          <w:ilvl w:val="0"/>
          <w:numId w:val="8"/>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 javnem razpisu se opredelijo posamezni ukrepi in višina razpoložljivih sredstev, kot to določa odlok o proračunu občine za tekoče leto.</w:t>
      </w:r>
    </w:p>
    <w:p w14:paraId="331A3CD0" w14:textId="77777777" w:rsidR="00F20AEE" w:rsidRPr="00637749" w:rsidRDefault="00F20AEE" w:rsidP="00F20AEE">
      <w:pPr>
        <w:numPr>
          <w:ilvl w:val="0"/>
          <w:numId w:val="8"/>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Podrobnejša merila za dodeljevanje državnih pomoči in pomoči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 xml:space="preserve"> ter zahtevana dokumentacija za posamezne ukrepe po tem pravilniku, se določijo v javnem razpisu.</w:t>
      </w:r>
    </w:p>
    <w:p w14:paraId="109BC09F"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bCs/>
          <w:sz w:val="20"/>
          <w:szCs w:val="20"/>
          <w:lang w:eastAsia="sl-SI"/>
        </w:rPr>
      </w:pPr>
    </w:p>
    <w:p w14:paraId="42394B0F"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9. člen</w:t>
      </w:r>
    </w:p>
    <w:p w14:paraId="2B015A3D"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(spodbujevalni učinek pomoči)</w:t>
      </w:r>
    </w:p>
    <w:p w14:paraId="6DEF9D31" w14:textId="77777777" w:rsidR="00F20AEE" w:rsidRPr="00637749" w:rsidRDefault="00F20AEE" w:rsidP="00F20AEE">
      <w:pPr>
        <w:numPr>
          <w:ilvl w:val="0"/>
          <w:numId w:val="9"/>
        </w:numPr>
        <w:overflowPunct w:val="0"/>
        <w:autoSpaceDE w:val="0"/>
        <w:autoSpaceDN w:val="0"/>
        <w:adjustRightInd w:val="0"/>
        <w:spacing w:after="0" w:line="240" w:lineRule="auto"/>
        <w:jc w:val="both"/>
        <w:rPr>
          <w:rFonts w:ascii="Arial" w:eastAsia="Times New Roman" w:hAnsi="Arial" w:cs="Arial"/>
          <w:sz w:val="20"/>
          <w:szCs w:val="20"/>
          <w:lang w:eastAsia="sl-SI"/>
        </w:rPr>
      </w:pPr>
      <w:bookmarkStart w:id="3" w:name="_Hlk128581339"/>
      <w:r w:rsidRPr="00637749">
        <w:rPr>
          <w:rFonts w:ascii="Arial" w:eastAsia="Times New Roman" w:hAnsi="Arial" w:cs="Arial"/>
          <w:sz w:val="20"/>
          <w:szCs w:val="20"/>
          <w:lang w:eastAsia="sl-SI"/>
        </w:rPr>
        <w:t>Za ukrepe v skladu z Uredbo Komisije (EU) št. 2022/2472 se pomoč lahko dodeli, če ima spodbujevalni učinek. Pomoč ima spodbujevalni učinek, če je vloga za pomoč predložena pred začetkom izvajanja projekta oziroma dejavnosti.</w:t>
      </w:r>
    </w:p>
    <w:p w14:paraId="1C6E4223" w14:textId="77777777" w:rsidR="00F20AEE" w:rsidRPr="00637749" w:rsidRDefault="00F20AEE" w:rsidP="00F20AEE">
      <w:pPr>
        <w:numPr>
          <w:ilvl w:val="0"/>
          <w:numId w:val="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Spodbujevalni učinek ni zahtevan za pomoč v skladu s 36. členom Uredbe Komisije (EU) št. 2022/2427.</w:t>
      </w:r>
    </w:p>
    <w:p w14:paraId="4CEBEA64" w14:textId="77777777" w:rsidR="00F20AEE" w:rsidRPr="00637749" w:rsidRDefault="00F20AEE" w:rsidP="00F20AEE">
      <w:pPr>
        <w:numPr>
          <w:ilvl w:val="0"/>
          <w:numId w:val="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Vloga za pomoč mora vsebovati najmanj naslednje podatke:</w:t>
      </w:r>
    </w:p>
    <w:p w14:paraId="118BE894" w14:textId="77777777" w:rsidR="00F20AEE" w:rsidRPr="00637749" w:rsidRDefault="00F20AEE" w:rsidP="00F20AEE">
      <w:pPr>
        <w:numPr>
          <w:ilvl w:val="0"/>
          <w:numId w:val="1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ime fizične </w:t>
      </w:r>
      <w:bookmarkEnd w:id="3"/>
      <w:r w:rsidRPr="00637749">
        <w:rPr>
          <w:rFonts w:ascii="Arial" w:eastAsia="Times New Roman" w:hAnsi="Arial" w:cs="Arial"/>
          <w:sz w:val="20"/>
          <w:szCs w:val="20"/>
          <w:lang w:eastAsia="sl-SI"/>
        </w:rPr>
        <w:t>osebe oziroma na</w:t>
      </w:r>
      <w:r w:rsidR="00DA0E0A" w:rsidRPr="00637749">
        <w:rPr>
          <w:rFonts w:ascii="Arial" w:eastAsia="Times New Roman" w:hAnsi="Arial" w:cs="Arial"/>
          <w:sz w:val="20"/>
          <w:szCs w:val="20"/>
          <w:lang w:eastAsia="sl-SI"/>
        </w:rPr>
        <w:t>ziv</w:t>
      </w:r>
      <w:r w:rsidRPr="00637749">
        <w:rPr>
          <w:rFonts w:ascii="Arial" w:eastAsia="Times New Roman" w:hAnsi="Arial" w:cs="Arial"/>
          <w:sz w:val="20"/>
          <w:szCs w:val="20"/>
          <w:lang w:eastAsia="sl-SI"/>
        </w:rPr>
        <w:t xml:space="preserve"> pravne osebe;</w:t>
      </w:r>
    </w:p>
    <w:p w14:paraId="3F663EF9" w14:textId="77777777" w:rsidR="00F20AEE" w:rsidRPr="00637749" w:rsidRDefault="00F20AEE" w:rsidP="00F20AEE">
      <w:pPr>
        <w:numPr>
          <w:ilvl w:val="0"/>
          <w:numId w:val="1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velikost podjetja;</w:t>
      </w:r>
    </w:p>
    <w:p w14:paraId="508A9BB1" w14:textId="77777777" w:rsidR="00F20AEE" w:rsidRPr="00637749" w:rsidRDefault="00F20AEE" w:rsidP="00F20AEE">
      <w:pPr>
        <w:numPr>
          <w:ilvl w:val="0"/>
          <w:numId w:val="1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opis projekta ali dejavnosti, vključno z datumom začetka in konca;</w:t>
      </w:r>
    </w:p>
    <w:p w14:paraId="7083A8D8" w14:textId="77777777" w:rsidR="00F20AEE" w:rsidRPr="00637749" w:rsidRDefault="00F20AEE" w:rsidP="00F20AEE">
      <w:pPr>
        <w:numPr>
          <w:ilvl w:val="0"/>
          <w:numId w:val="1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lokacijo projekta ali dejavnosti;</w:t>
      </w:r>
    </w:p>
    <w:p w14:paraId="05F1549E" w14:textId="77777777" w:rsidR="00F20AEE" w:rsidRPr="00637749" w:rsidRDefault="00F20AEE" w:rsidP="00F20AEE">
      <w:pPr>
        <w:numPr>
          <w:ilvl w:val="0"/>
          <w:numId w:val="1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seznam upravičenih stroškov;</w:t>
      </w:r>
    </w:p>
    <w:p w14:paraId="1647E57A" w14:textId="77777777" w:rsidR="00F20AEE" w:rsidRPr="00637749" w:rsidRDefault="00F20AEE" w:rsidP="00F20AEE">
      <w:pPr>
        <w:numPr>
          <w:ilvl w:val="0"/>
          <w:numId w:val="1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vrsto (nepovratna sredstva, posojilo ali drugo) in znesek javnega financiranja, potrebnega za projekt ali dejavnost ter</w:t>
      </w:r>
    </w:p>
    <w:p w14:paraId="5F3B3603" w14:textId="77777777" w:rsidR="00F20AEE" w:rsidRPr="00637749" w:rsidRDefault="00F20AEE" w:rsidP="00F20AEE">
      <w:pPr>
        <w:numPr>
          <w:ilvl w:val="0"/>
          <w:numId w:val="1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izjave vlagatelja:</w:t>
      </w:r>
    </w:p>
    <w:p w14:paraId="7D93EFDF" w14:textId="77777777" w:rsidR="00F20AEE" w:rsidRPr="00637749" w:rsidRDefault="00F20AEE" w:rsidP="00F20AEE">
      <w:pPr>
        <w:numPr>
          <w:ilvl w:val="0"/>
          <w:numId w:val="11"/>
        </w:numPr>
        <w:overflowPunct w:val="0"/>
        <w:autoSpaceDE w:val="0"/>
        <w:autoSpaceDN w:val="0"/>
        <w:adjustRightInd w:val="0"/>
        <w:spacing w:after="0" w:line="240" w:lineRule="auto"/>
        <w:ind w:left="993" w:hanging="284"/>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da ne prejema oziroma ni v postopku pridobivanja pomoči za iste upravičene stroške iz drugih javnih virov ter</w:t>
      </w:r>
    </w:p>
    <w:p w14:paraId="2F663599" w14:textId="77777777" w:rsidR="00F20AEE" w:rsidRPr="00637749" w:rsidRDefault="00F20AEE" w:rsidP="00F20AEE">
      <w:pPr>
        <w:numPr>
          <w:ilvl w:val="0"/>
          <w:numId w:val="11"/>
        </w:numPr>
        <w:overflowPunct w:val="0"/>
        <w:autoSpaceDE w:val="0"/>
        <w:autoSpaceDN w:val="0"/>
        <w:adjustRightInd w:val="0"/>
        <w:spacing w:after="0" w:line="240" w:lineRule="auto"/>
        <w:ind w:left="993" w:hanging="284"/>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glede izpolnjevanja pogojev iz prvega odstavka 7. člena tega pravilnika.</w:t>
      </w:r>
    </w:p>
    <w:p w14:paraId="7F230485"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7D716FA1"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10. člen</w:t>
      </w:r>
    </w:p>
    <w:p w14:paraId="03D46383"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(dodelitev sredstev)</w:t>
      </w:r>
    </w:p>
    <w:p w14:paraId="05FA3AFC" w14:textId="77777777" w:rsidR="00F20AEE" w:rsidRPr="00637749" w:rsidRDefault="00F20AEE" w:rsidP="00F20AEE">
      <w:pPr>
        <w:numPr>
          <w:ilvl w:val="0"/>
          <w:numId w:val="1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O dodelitvi sredstev upravičencem po tem pravilniku odloča pooblaščena oseba na predlog strokovne komisije, ki jo imenuje župan/županja.</w:t>
      </w:r>
    </w:p>
    <w:p w14:paraId="6BB59755" w14:textId="77777777" w:rsidR="00F20AEE" w:rsidRPr="00637749" w:rsidRDefault="00F20AEE" w:rsidP="00F20AEE">
      <w:pPr>
        <w:numPr>
          <w:ilvl w:val="0"/>
          <w:numId w:val="1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Zoper odločitev iz prejšnjega odstavka lahko upravičenec vloži pritožbo županu v roku 8 dni od prejema sklepa/odločbe. Odločitev župana/županje je dokončna.</w:t>
      </w:r>
    </w:p>
    <w:p w14:paraId="307B8427" w14:textId="77777777" w:rsidR="00F20AEE" w:rsidRPr="00637749" w:rsidRDefault="00F20AEE" w:rsidP="00F20AEE">
      <w:pPr>
        <w:numPr>
          <w:ilvl w:val="0"/>
          <w:numId w:val="1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Medsebojne obveznosti med občino in prejemnikom pomoči se uredijo s pogodbo.</w:t>
      </w:r>
    </w:p>
    <w:p w14:paraId="0D8991C8" w14:textId="77777777" w:rsidR="00F20AEE" w:rsidRPr="00637749" w:rsidRDefault="00F20AEE" w:rsidP="00F20AEE">
      <w:pPr>
        <w:numPr>
          <w:ilvl w:val="0"/>
          <w:numId w:val="1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Datum dodelitve pomoči je datum pravnomočnosti sklepa/odločbe.</w:t>
      </w:r>
    </w:p>
    <w:p w14:paraId="71AA4F50" w14:textId="77777777" w:rsidR="00F20AEE" w:rsidRDefault="00F20AEE" w:rsidP="00F20AEE">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035F2EE7" w14:textId="77777777" w:rsidR="00637749" w:rsidRPr="00637749" w:rsidRDefault="00637749" w:rsidP="00F20AEE">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2DB1AFF7"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bookmarkStart w:id="4" w:name="_Hlk128581697"/>
      <w:r w:rsidRPr="00637749">
        <w:rPr>
          <w:rFonts w:ascii="Arial" w:eastAsia="Times New Roman" w:hAnsi="Arial" w:cs="Arial"/>
          <w:b/>
          <w:bCs/>
          <w:sz w:val="20"/>
          <w:szCs w:val="20"/>
          <w:lang w:eastAsia="sl-SI"/>
        </w:rPr>
        <w:t>11. člen</w:t>
      </w:r>
    </w:p>
    <w:p w14:paraId="14B872F8"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(izplačila sredstev)</w:t>
      </w:r>
    </w:p>
    <w:p w14:paraId="031F5E94"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Upravičencem se sredstva iz proračuna občine izplačajo na podlagi zahtevka posameznega upravičenca. Zahtevek mora vsebovati naslednjo dokumentacijo:</w:t>
      </w:r>
    </w:p>
    <w:p w14:paraId="657BF602"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dokazila o plačilu obveznosti (račun in potrdilo/dokazilo o plačanem računu),</w:t>
      </w:r>
    </w:p>
    <w:p w14:paraId="5F9984F1"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druga dokazila o opravljeni storitvi določena z javnim razpisom.</w:t>
      </w:r>
    </w:p>
    <w:p w14:paraId="1F8DF6B5"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bCs/>
          <w:sz w:val="20"/>
          <w:szCs w:val="20"/>
          <w:lang w:eastAsia="sl-SI"/>
        </w:rPr>
      </w:pPr>
    </w:p>
    <w:p w14:paraId="243E3979"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12. člen</w:t>
      </w:r>
    </w:p>
    <w:p w14:paraId="022FA7E2"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(združevanje pomoči)</w:t>
      </w:r>
    </w:p>
    <w:bookmarkEnd w:id="4"/>
    <w:p w14:paraId="7948432B" w14:textId="77777777" w:rsidR="00F20AEE" w:rsidRPr="00637749" w:rsidRDefault="00F20AEE" w:rsidP="00F20AEE">
      <w:pPr>
        <w:numPr>
          <w:ilvl w:val="0"/>
          <w:numId w:val="1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Največja intenzivnost pomoči in najvišji znesek pomoči po posameznih ukrepih (v ukrepih od 1 do 5), določenih od 13. do vključno 19. člena tega pravilnika, ne smejo preseči najvišje intenzivne pomoči in najvišjih zneskov pomoči, določenih v 14., 17., 28., 36. in 50. členu Uredbe Komisije (EU) št. 2022/2472, ne glede na to ali se podpora za projekt ali dejavnost v celoti financira iz nacionalnih sredstev ali pa se delno financira iz sredstev Evropske unije.</w:t>
      </w:r>
    </w:p>
    <w:p w14:paraId="6445C00F" w14:textId="77777777" w:rsidR="00F20AEE" w:rsidRPr="00637749" w:rsidRDefault="00F20AEE" w:rsidP="00F20AEE">
      <w:pPr>
        <w:numPr>
          <w:ilvl w:val="0"/>
          <w:numId w:val="1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Pomoč po tem pravilniku, v skladu z Uredbo Komisije (EU) št. 2022/2472, se lahko združuje z vsako drugo državno pomočjo zvezi z istimi opravičenimi stroški, ki se v celoti ali deloma pokrivajo samo, če se s takim združevanjem ne preseže najvišje intenzivnosti pomoči ali zneska pomoči, ki se uporablja za zadevno pomoč v skladu z Uredbo Komisije (EU) št. 2022/2472.</w:t>
      </w:r>
    </w:p>
    <w:p w14:paraId="62E5DE88" w14:textId="77777777" w:rsidR="00F20AEE" w:rsidRPr="00637749" w:rsidRDefault="00F20AEE" w:rsidP="00F20AEE">
      <w:pPr>
        <w:numPr>
          <w:ilvl w:val="0"/>
          <w:numId w:val="1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lastRenderedPageBreak/>
        <w:t>Pomoč po tem pravilniku se v skladu z Uredbo Komisije (EU) št. 2022/2472 ne združuje s plačili iz drugega odstavka 145. člena in 146. člena Uredbe (EU) št. 2021/2115 Evropskega parlamenta in Sveta z dne 2. decembra 2021 o določitvi pravil o podpori za strateške načrte, ki jih pripravijo države članice v okviru skupne kmetijske politike (strateški načrt SKP) in se financirajo iz Evropskega kmetijskega jamstvenega sklada (EKJS) in Evropskega kmetijskega sklada za razvoj podeželja (EKSRP), ter o razveljavitvi uredb (EU) št. 1305/2013 in (EU) št. 1307/2013 (UL L št. 435 z dne 6. 12. 2021, str.1), zadnjič spremenjene z Delegirano uredbo Komisije (EU) 2023/813 z dne 8. februarja 2023 o spremembi Uredbe (EU) 2021/2115 Evropskega parlamenta in Sveta glede dodeljenih sredstev držav članic za neposredna plačila in letne razdelitve podpore Unije in razvoj podeželja po državah članicah (UL L št. 102 z dne 17. 4. 2023, str. 1) v zvezi z istimi upravičenimi stroški, če bi bila s takim združevanjem presežena intenzivnost pomoči ali znesek pomoči, ki sta določena v Uredbi Komisije (EU) št. 2022/2472.</w:t>
      </w:r>
    </w:p>
    <w:p w14:paraId="2796F481" w14:textId="77777777" w:rsidR="00F20AEE" w:rsidRPr="00637749" w:rsidRDefault="00F20AEE" w:rsidP="00F20AEE">
      <w:pPr>
        <w:numPr>
          <w:ilvl w:val="0"/>
          <w:numId w:val="1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Pomoč po tem pravilniku, v skladu z Uredbo Komisije (EU) št. 2022/2472, se ne združuje s pomočjo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 xml:space="preserve"> v zvezi z istimi upravičenimi stroški, če bi bila s takim združevanjem presežena intenzivnost pomoči ali znesek pomoči, ki sta določena v Uredbi Komisije (EU) št. 2022/2472.</w:t>
      </w:r>
    </w:p>
    <w:p w14:paraId="652EBE52"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sz w:val="20"/>
          <w:szCs w:val="20"/>
          <w:lang w:eastAsia="sl-SI"/>
        </w:rPr>
      </w:pPr>
    </w:p>
    <w:p w14:paraId="4D48383D"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sz w:val="20"/>
          <w:szCs w:val="20"/>
          <w:lang w:eastAsia="sl-SI"/>
        </w:rPr>
      </w:pPr>
    </w:p>
    <w:p w14:paraId="66A25DF1"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II. UKREPI V SKLADU Z UREDBO KOMISIJE (EU) ŠT. 2022/2472</w:t>
      </w:r>
    </w:p>
    <w:p w14:paraId="7DFAC1F6" w14:textId="77777777" w:rsidR="00F20AEE" w:rsidRPr="00637749" w:rsidRDefault="00F20AEE" w:rsidP="00F20AEE">
      <w:pPr>
        <w:overflowPunct w:val="0"/>
        <w:autoSpaceDE w:val="0"/>
        <w:autoSpaceDN w:val="0"/>
        <w:adjustRightInd w:val="0"/>
        <w:spacing w:after="0" w:line="240" w:lineRule="auto"/>
        <w:rPr>
          <w:rFonts w:ascii="Arial" w:eastAsia="Times New Roman" w:hAnsi="Arial" w:cs="Arial"/>
          <w:sz w:val="20"/>
          <w:szCs w:val="20"/>
          <w:lang w:eastAsia="sl-SI"/>
        </w:rPr>
      </w:pPr>
    </w:p>
    <w:p w14:paraId="17EFEB49"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13. člen</w:t>
      </w:r>
    </w:p>
    <w:p w14:paraId="3A1291AF" w14:textId="77777777" w:rsidR="00F20AEE" w:rsidRPr="00637749" w:rsidRDefault="00F20AEE" w:rsidP="00F20AEE">
      <w:pPr>
        <w:tabs>
          <w:tab w:val="left" w:pos="1134"/>
        </w:tabs>
        <w:overflowPunct w:val="0"/>
        <w:autoSpaceDE w:val="0"/>
        <w:autoSpaceDN w:val="0"/>
        <w:adjustRightInd w:val="0"/>
        <w:spacing w:after="0" w:line="240" w:lineRule="auto"/>
        <w:rPr>
          <w:rFonts w:ascii="Arial" w:eastAsia="Times New Roman" w:hAnsi="Arial" w:cs="Arial"/>
          <w:sz w:val="20"/>
          <w:szCs w:val="20"/>
          <w:lang w:eastAsia="sl-SI"/>
        </w:rPr>
      </w:pPr>
      <w:r w:rsidRPr="00637749">
        <w:rPr>
          <w:rFonts w:ascii="Arial" w:eastAsia="Times New Roman" w:hAnsi="Arial" w:cs="Arial"/>
          <w:b/>
          <w:bCs/>
          <w:sz w:val="20"/>
          <w:szCs w:val="20"/>
          <w:lang w:eastAsia="sl-SI"/>
        </w:rPr>
        <w:t xml:space="preserve">UKREP 1: Pomoč za naložbe v kmetijska gospodarstva v zvezi s primarno kmetijsko proizvodnjo </w:t>
      </w:r>
      <w:r w:rsidRPr="00637749">
        <w:rPr>
          <w:rFonts w:ascii="Arial" w:eastAsia="Times New Roman" w:hAnsi="Arial" w:cs="Arial"/>
          <w:sz w:val="20"/>
          <w:szCs w:val="20"/>
          <w:lang w:eastAsia="sl-SI"/>
        </w:rPr>
        <w:t>(14. člen Uredbe Komisije (EU) št. 2022/2472)</w:t>
      </w:r>
    </w:p>
    <w:p w14:paraId="756BB0FA"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F714ED2" w14:textId="77777777" w:rsidR="00F20AEE" w:rsidRPr="00637749" w:rsidRDefault="00F20AEE" w:rsidP="00F20AEE">
      <w:pPr>
        <w:numPr>
          <w:ilvl w:val="0"/>
          <w:numId w:val="1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Namen in cilji ukrepa:</w:t>
      </w:r>
    </w:p>
    <w:p w14:paraId="78E9AC9F"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izboljšanje splošne učinkovitosti in trajnosti kmetijskega gospodarstva, zlasti z zmanjšanjem stroškov proizvodnje ali izboljšanjem in preusmeritvijo proizvodnje;</w:t>
      </w:r>
    </w:p>
    <w:p w14:paraId="379043E7"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izboljšanje naravnega okolja, higienskih pogojev ali standardov za dobro počutje živali;</w:t>
      </w:r>
    </w:p>
    <w:p w14:paraId="3489BD60"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vzpostavljanje in izboljšanje infrastrukture, povezane z razvojem, prilagajanjem in modernizacijo kmetijstva, vključno z dostopom do kmetijskih zemljišč, izboljšanjem zemljišč, oskrbo in varčevanjem s trajnostno energijo, energijsko učinkovitostjo, oskrbo in varčevanjem z vodo;</w:t>
      </w:r>
    </w:p>
    <w:p w14:paraId="2332D827"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prispevanje k blažitvi podnebnih sprememb in prilagajanju nanje, vključno z zmanjšanjem emisij toplovodnih plinov in povečanjem sekvestracije ogljika ter spodbujanje trajnostne energije in energijske učinkovitosti;</w:t>
      </w:r>
    </w:p>
    <w:p w14:paraId="709B268F"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prispevanje k trajnostnemu krožnemu biogospodarstvu ter spodbujanje trajnostnega razvoja in učinkovitega upravljanja naravnih virov, kot so voda, tla in zrak, vključno z zmanjšanjem odvisnosti od kemikalij; </w:t>
      </w:r>
    </w:p>
    <w:p w14:paraId="0B23265A"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prispevanje k zaustavitvi in obnovitvi trenda izgube biotske raznovrstnosti, krepitev ekosistemskih storitev ter ohranjanje habitatov in krajine. </w:t>
      </w:r>
    </w:p>
    <w:p w14:paraId="5E82FB79" w14:textId="77777777" w:rsidR="00F20AEE" w:rsidRPr="00637749" w:rsidRDefault="00F20AEE" w:rsidP="00F20AEE">
      <w:pPr>
        <w:numPr>
          <w:ilvl w:val="0"/>
          <w:numId w:val="1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Pomoč se ne dodeli za:</w:t>
      </w:r>
    </w:p>
    <w:p w14:paraId="61F6344F"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nakup proizvodnih pravic (pravice za prejem sredstev v okviru SKP), </w:t>
      </w:r>
    </w:p>
    <w:p w14:paraId="3D41B55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nakup in zasaditev letnih rastlin,</w:t>
      </w:r>
    </w:p>
    <w:p w14:paraId="1CD74B2A"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nakup živali,</w:t>
      </w:r>
    </w:p>
    <w:p w14:paraId="0A6B3B57"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ožičenje ali polaganje kablov za podatkovna omrežja zunaj zasebne lastnine, </w:t>
      </w:r>
    </w:p>
    <w:p w14:paraId="4ED02B1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opremo za namakanje,</w:t>
      </w:r>
    </w:p>
    <w:p w14:paraId="231294FC"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dela v zvezi z odvodnjavanjem,</w:t>
      </w:r>
    </w:p>
    <w:p w14:paraId="1AEA49C9"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že izvedena dela, razen za izdelavo projektne dokumentacije,</w:t>
      </w:r>
    </w:p>
    <w:p w14:paraId="291D6D60"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investicije, ki se izvajajo izven območja občine,</w:t>
      </w:r>
    </w:p>
    <w:p w14:paraId="68F9CF0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stroške, povezane z zakupnimi pogodbami,</w:t>
      </w:r>
    </w:p>
    <w:p w14:paraId="5288CAA9"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obratna sredstva.</w:t>
      </w:r>
    </w:p>
    <w:p w14:paraId="64D3A449" w14:textId="77777777" w:rsidR="00F20AEE" w:rsidRPr="00637749" w:rsidRDefault="00F20AEE" w:rsidP="00F20AEE">
      <w:pPr>
        <w:numPr>
          <w:ilvl w:val="0"/>
          <w:numId w:val="1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Intenzivnost pomoči</w:t>
      </w:r>
    </w:p>
    <w:p w14:paraId="26527E21"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do 65% upravičenih stroškov naložb na kmetijskih gospodarstvih;</w:t>
      </w:r>
    </w:p>
    <w:p w14:paraId="45BD8A42" w14:textId="42D53E19"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najvišji skupni znesek pomoči na upravičenca lahko znaša </w:t>
      </w:r>
      <w:r w:rsidR="00052795">
        <w:rPr>
          <w:rFonts w:ascii="Arial" w:eastAsia="Times New Roman" w:hAnsi="Arial" w:cs="Arial"/>
          <w:bCs/>
          <w:sz w:val="20"/>
          <w:szCs w:val="20"/>
          <w:lang w:eastAsia="sl-SI"/>
        </w:rPr>
        <w:t>3</w:t>
      </w:r>
      <w:r w:rsidRPr="00637749">
        <w:rPr>
          <w:rFonts w:ascii="Arial" w:eastAsia="Times New Roman" w:hAnsi="Arial" w:cs="Arial"/>
          <w:bCs/>
          <w:sz w:val="20"/>
          <w:szCs w:val="20"/>
          <w:lang w:eastAsia="sl-SI"/>
        </w:rPr>
        <w:t>.000</w:t>
      </w:r>
      <w:r w:rsidR="002B0215" w:rsidRPr="00637749">
        <w:rPr>
          <w:rFonts w:ascii="Arial" w:eastAsia="Times New Roman" w:hAnsi="Arial" w:cs="Arial"/>
          <w:bCs/>
          <w:sz w:val="20"/>
          <w:szCs w:val="20"/>
          <w:lang w:eastAsia="sl-SI"/>
        </w:rPr>
        <w:t>,00</w:t>
      </w:r>
      <w:r w:rsidRPr="00637749">
        <w:rPr>
          <w:rFonts w:ascii="Arial" w:eastAsia="Times New Roman" w:hAnsi="Arial" w:cs="Arial"/>
          <w:bCs/>
          <w:sz w:val="20"/>
          <w:szCs w:val="20"/>
          <w:lang w:eastAsia="sl-SI"/>
        </w:rPr>
        <w:t xml:space="preserve"> EUR. </w:t>
      </w:r>
    </w:p>
    <w:p w14:paraId="7BB9C95E" w14:textId="77777777" w:rsidR="00F20AEE" w:rsidRPr="00637749" w:rsidRDefault="00F20AEE" w:rsidP="00F20AEE">
      <w:pPr>
        <w:numPr>
          <w:ilvl w:val="0"/>
          <w:numId w:val="1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Pomoč za naložbe v kmetijska gospodarstva za primarno proizvodnjo se lahko dodeli za:</w:t>
      </w:r>
    </w:p>
    <w:p w14:paraId="216F1043"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CCFB095"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Podukrep 1.1:  Posodabljanje kmetijskih gospodarstev</w:t>
      </w:r>
    </w:p>
    <w:p w14:paraId="06B62098"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Podukrep 1.2:  Urejanje kmetijskih zemljišč in pašnikov</w:t>
      </w:r>
    </w:p>
    <w:p w14:paraId="140D203E"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569AA6C4"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14. člen</w:t>
      </w:r>
    </w:p>
    <w:p w14:paraId="440F0015" w14:textId="77777777" w:rsidR="00F20AEE" w:rsidRPr="00637749" w:rsidRDefault="00F20AEE" w:rsidP="00F20AEE">
      <w:pPr>
        <w:overflowPunct w:val="0"/>
        <w:autoSpaceDE w:val="0"/>
        <w:autoSpaceDN w:val="0"/>
        <w:adjustRightInd w:val="0"/>
        <w:spacing w:after="0" w:line="240" w:lineRule="auto"/>
        <w:jc w:val="both"/>
        <w:outlineLvl w:val="0"/>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Podukrep 1.1:  Posodabljanje kmetijskih gospodarstev</w:t>
      </w:r>
    </w:p>
    <w:p w14:paraId="0E82F954" w14:textId="77777777" w:rsidR="00F20AEE" w:rsidRPr="00637749" w:rsidRDefault="00F20AEE" w:rsidP="00F20AEE">
      <w:pPr>
        <w:overflowPunct w:val="0"/>
        <w:autoSpaceDE w:val="0"/>
        <w:autoSpaceDN w:val="0"/>
        <w:adjustRightInd w:val="0"/>
        <w:spacing w:after="0" w:line="240" w:lineRule="auto"/>
        <w:jc w:val="both"/>
        <w:outlineLvl w:val="0"/>
        <w:rPr>
          <w:rFonts w:ascii="Arial" w:eastAsia="Times New Roman" w:hAnsi="Arial" w:cs="Arial"/>
          <w:sz w:val="20"/>
          <w:szCs w:val="20"/>
          <w:lang w:eastAsia="sl-SI"/>
        </w:rPr>
      </w:pPr>
    </w:p>
    <w:p w14:paraId="51A3BADF" w14:textId="77777777" w:rsidR="00F20AEE" w:rsidRPr="00637749" w:rsidRDefault="00F20AEE" w:rsidP="00F20AEE">
      <w:pPr>
        <w:numPr>
          <w:ilvl w:val="0"/>
          <w:numId w:val="1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lastRenderedPageBreak/>
        <w:t xml:space="preserve">Pomoč se lahko dodeli za naložbe v kmetijska gospodarstva v povezavi s primarno kmetijsko proizvodnjo. </w:t>
      </w:r>
    </w:p>
    <w:p w14:paraId="1144CF10" w14:textId="77777777" w:rsidR="00F20AEE" w:rsidRPr="00637749" w:rsidRDefault="00F20AEE" w:rsidP="00F20AEE">
      <w:pPr>
        <w:numPr>
          <w:ilvl w:val="0"/>
          <w:numId w:val="1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Upravičeni stroški:</w:t>
      </w:r>
    </w:p>
    <w:p w14:paraId="17C84852"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stroški gradnje, nakupa ali izboljšanja nepremičnin na kmetijskem gospodarstvu; nakup zemljišč je upravičen v obsegu do 10 % skupnih upravičenih stroškov zadevne dejavnosti;</w:t>
      </w:r>
    </w:p>
    <w:p w14:paraId="798B2B68" w14:textId="77777777" w:rsidR="002B0215" w:rsidRPr="00637749" w:rsidRDefault="002B0215"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stroški honorarjev arhitektov, inženirjev in svetovalcev ter honorarji, povezani s svetovanjem o okoljski in gospodarski trajnosti, vključno s študijami izvedljivosti;</w:t>
      </w:r>
    </w:p>
    <w:p w14:paraId="6B0D28C5"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stroški nakupa nove kmetijske mehanizacije</w:t>
      </w:r>
      <w:r w:rsidR="002F2226" w:rsidRPr="00637749">
        <w:rPr>
          <w:rFonts w:ascii="Arial" w:eastAsia="Times New Roman" w:hAnsi="Arial" w:cs="Arial"/>
          <w:bCs/>
          <w:sz w:val="20"/>
          <w:szCs w:val="20"/>
          <w:lang w:eastAsia="sl-SI"/>
        </w:rPr>
        <w:t xml:space="preserve"> in opreme</w:t>
      </w:r>
      <w:r w:rsidRPr="00637749">
        <w:rPr>
          <w:rFonts w:ascii="Arial" w:eastAsia="Times New Roman" w:hAnsi="Arial" w:cs="Arial"/>
          <w:bCs/>
          <w:sz w:val="20"/>
          <w:szCs w:val="20"/>
          <w:lang w:eastAsia="sl-SI"/>
        </w:rPr>
        <w:t>,</w:t>
      </w:r>
    </w:p>
    <w:p w14:paraId="72E1EE4C"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stroški opreme hlevov in gospodarskih poslopij,</w:t>
      </w:r>
    </w:p>
    <w:p w14:paraId="607FC6A1"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stroški nakupa rastlinjaka, montaže ter opreme v rastlinjaku, </w:t>
      </w:r>
    </w:p>
    <w:p w14:paraId="20F3F36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stroški nakupa in postavitev zaščite pred neugodnimi vremenskimi razmerami (preventivni ukrepi, npr. protitočne mreže,..),</w:t>
      </w:r>
    </w:p>
    <w:p w14:paraId="49CE1D0C"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 stroški nakupa računalniške programske opreme, patentov, licenc, avtorskih pravic in blagovnih znamk.</w:t>
      </w:r>
    </w:p>
    <w:p w14:paraId="033D32A6" w14:textId="77777777" w:rsidR="00F20AEE" w:rsidRPr="00637749" w:rsidRDefault="00F20AEE" w:rsidP="00F20AEE">
      <w:pPr>
        <w:numPr>
          <w:ilvl w:val="0"/>
          <w:numId w:val="1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Pogoji za pridobitev:</w:t>
      </w:r>
    </w:p>
    <w:p w14:paraId="5DCCC340"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predložitev ustreznega dovoljenja za izvedbo investicije, če je s predpisi s področja gradnje objektov to potrebno;</w:t>
      </w:r>
    </w:p>
    <w:p w14:paraId="136B49E5"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priloga projektne dokumentacije za izvedbo naložbe, predračuni/računi o stroških povezanih z naložbo, kadar so upravičeni do sofinanciranja;</w:t>
      </w:r>
    </w:p>
    <w:p w14:paraId="15FE7FEE"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za naložbo, v zvezi s katero mora biti opravljena presoja vplivov na okolje in pridobljeno soglasje za zadevni naložbeni projekt, v skladu z določili petega odstavka 14 člena Uredbe Komisije št. 2022/2472, mora biti opravljena pred datumom dodelitve pomoči oziroma  predložena z vlogo za pridobitev pomoči;</w:t>
      </w:r>
    </w:p>
    <w:p w14:paraId="5F7E879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ponudba oziroma predračun za načrtovano naložbo;</w:t>
      </w:r>
    </w:p>
    <w:p w14:paraId="14251D5A"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predložitev oddane zbirne vloge (subvencijska vloga) v tekočem oziroma preteklem letu, če rok za oddajo zbirne vloge v tekočem letu še ni potekel;</w:t>
      </w:r>
    </w:p>
    <w:p w14:paraId="6EE3C994"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mnenje o upravičenosti in ekonomičnosti investicije, ki ga pripravi pristojna strokovna služba;</w:t>
      </w:r>
    </w:p>
    <w:p w14:paraId="33B92256"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drugi pogoji povezani z opravljanjem kmetijske dejavnosti, opredeljeni z javnim razpisom.</w:t>
      </w:r>
    </w:p>
    <w:p w14:paraId="6067028D" w14:textId="77777777" w:rsidR="00F20AEE" w:rsidRPr="00637749" w:rsidRDefault="00F20AEE" w:rsidP="00F20AEE">
      <w:pPr>
        <w:numPr>
          <w:ilvl w:val="0"/>
          <w:numId w:val="1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Intenzivnost pomoči:</w:t>
      </w:r>
    </w:p>
    <w:p w14:paraId="6AD9B5BC"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v skladu s tretjim odstavkom 13. člena tega pravilnika.</w:t>
      </w:r>
    </w:p>
    <w:p w14:paraId="3D1DD752" w14:textId="77777777" w:rsidR="00F20AEE" w:rsidRPr="00637749" w:rsidRDefault="00F20AEE" w:rsidP="00F20AEE">
      <w:pPr>
        <w:numPr>
          <w:ilvl w:val="0"/>
          <w:numId w:val="1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Vlogo za pomoč v okviru tega ukrepa predloži nosilec kmetijskega gospodarstva.</w:t>
      </w:r>
    </w:p>
    <w:p w14:paraId="3CDA3F87" w14:textId="77777777" w:rsidR="00F20AEE" w:rsidRPr="00637749" w:rsidRDefault="00F20AEE" w:rsidP="00F20AEE">
      <w:pPr>
        <w:spacing w:after="0" w:line="240" w:lineRule="auto"/>
        <w:jc w:val="both"/>
        <w:rPr>
          <w:rFonts w:ascii="Arial" w:eastAsia="Times New Roman" w:hAnsi="Arial" w:cs="Arial"/>
          <w:bCs/>
          <w:sz w:val="20"/>
          <w:szCs w:val="20"/>
          <w:lang w:eastAsia="sl-SI"/>
        </w:rPr>
      </w:pPr>
    </w:p>
    <w:p w14:paraId="1BC3F69C"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15. člen</w:t>
      </w:r>
    </w:p>
    <w:p w14:paraId="59A4FF2D" w14:textId="77777777" w:rsidR="00F20AEE" w:rsidRPr="00637749" w:rsidRDefault="00F20AEE" w:rsidP="00F20AEE">
      <w:pPr>
        <w:overflowPunct w:val="0"/>
        <w:autoSpaceDE w:val="0"/>
        <w:autoSpaceDN w:val="0"/>
        <w:adjustRightInd w:val="0"/>
        <w:spacing w:after="0" w:line="240" w:lineRule="auto"/>
        <w:jc w:val="both"/>
        <w:outlineLvl w:val="0"/>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Podukrep 1.2:  Urejanje kmetijskih zemljišč in pašnikov</w:t>
      </w:r>
    </w:p>
    <w:p w14:paraId="29DE4F92" w14:textId="77777777" w:rsidR="00F20AEE" w:rsidRPr="00637749" w:rsidRDefault="00F20AEE" w:rsidP="00F20AEE">
      <w:pPr>
        <w:overflowPunct w:val="0"/>
        <w:autoSpaceDE w:val="0"/>
        <w:autoSpaceDN w:val="0"/>
        <w:adjustRightInd w:val="0"/>
        <w:spacing w:after="0" w:line="240" w:lineRule="auto"/>
        <w:jc w:val="both"/>
        <w:outlineLvl w:val="0"/>
        <w:rPr>
          <w:rFonts w:ascii="Arial" w:eastAsia="Times New Roman" w:hAnsi="Arial" w:cs="Arial"/>
          <w:sz w:val="20"/>
          <w:szCs w:val="20"/>
          <w:lang w:eastAsia="sl-SI"/>
        </w:rPr>
      </w:pPr>
    </w:p>
    <w:p w14:paraId="509F4EEF" w14:textId="77777777" w:rsidR="00F20AEE" w:rsidRPr="00637749" w:rsidRDefault="00F20AEE" w:rsidP="00F20AEE">
      <w:pPr>
        <w:numPr>
          <w:ilvl w:val="0"/>
          <w:numId w:val="17"/>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Pomoč se lahko dodeli za namen urejanja kmetijskih zemljišč in pašnih površin na območju občine. Vlogo za pomoč v okviru tega ukrepa predloži nosilec kmetijskega gospodarstva oziroma pooblaščena oseba, ki jo pooblastijo vsi nosilci kmetijskih gospodarstev, ki so vključeni v skupno naložbo.</w:t>
      </w:r>
    </w:p>
    <w:p w14:paraId="0AA3F7D3" w14:textId="77777777" w:rsidR="00F20AEE" w:rsidRPr="00637749" w:rsidRDefault="00F20AEE" w:rsidP="00F20AEE">
      <w:pPr>
        <w:numPr>
          <w:ilvl w:val="0"/>
          <w:numId w:val="17"/>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Upravičeni stroški:</w:t>
      </w:r>
    </w:p>
    <w:p w14:paraId="4F671AB1"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stroški izdelave načrta ureditve kmetijskega zemljišča (nezahtevne agromelioracije, pašniki), </w:t>
      </w:r>
    </w:p>
    <w:p w14:paraId="4177C541"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stroški izvedbe del za nezahtevne agromelioracije;</w:t>
      </w:r>
    </w:p>
    <w:p w14:paraId="2AD716FF"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stroški nakupa opreme za ograditev in pregraditev pašnikov z ograjo;</w:t>
      </w:r>
    </w:p>
    <w:p w14:paraId="1899F9F3"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stroški nakupa opreme za ureditev napajališč za živino.</w:t>
      </w:r>
    </w:p>
    <w:p w14:paraId="6616936D" w14:textId="77777777" w:rsidR="00F20AEE" w:rsidRPr="00637749" w:rsidRDefault="00F20AEE" w:rsidP="00F20AEE">
      <w:pPr>
        <w:numPr>
          <w:ilvl w:val="0"/>
          <w:numId w:val="17"/>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Upravičenci do pomoči:</w:t>
      </w:r>
    </w:p>
    <w:p w14:paraId="0B22A6A0"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posamezna kmetijska gospodarstva in ali več kmetijskih gospodarstev, vključenih v skupno naložbo (pašna skupnost, agrarna skupnost,..);</w:t>
      </w:r>
    </w:p>
    <w:p w14:paraId="4B5EFC6D"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kmetijska gospodarstva, vpisana v register kmetijskih gospodarstev, ki ležijo na območju občine oziroma katerih naložba se izvaja na območju občine;</w:t>
      </w:r>
    </w:p>
    <w:p w14:paraId="1606B333"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urejanje kmetijskih zemljišč in pašnikov se mora izvajati najmanj na </w:t>
      </w:r>
      <w:r w:rsidR="00AA4EB1" w:rsidRPr="00637749">
        <w:rPr>
          <w:rFonts w:ascii="Arial" w:eastAsia="Times New Roman" w:hAnsi="Arial" w:cs="Arial"/>
          <w:bCs/>
          <w:sz w:val="20"/>
          <w:szCs w:val="20"/>
          <w:lang w:eastAsia="sl-SI"/>
        </w:rPr>
        <w:t>0,5</w:t>
      </w:r>
      <w:r w:rsidRPr="00637749">
        <w:rPr>
          <w:rFonts w:ascii="Arial" w:eastAsia="Times New Roman" w:hAnsi="Arial" w:cs="Arial"/>
          <w:bCs/>
          <w:sz w:val="20"/>
          <w:szCs w:val="20"/>
          <w:lang w:eastAsia="sl-SI"/>
        </w:rPr>
        <w:t xml:space="preserve"> hektar </w:t>
      </w:r>
      <w:r w:rsidR="00AA4EB1" w:rsidRPr="00637749">
        <w:rPr>
          <w:rFonts w:ascii="Arial" w:eastAsia="Times New Roman" w:hAnsi="Arial" w:cs="Arial"/>
          <w:bCs/>
          <w:sz w:val="20"/>
          <w:szCs w:val="20"/>
          <w:lang w:eastAsia="sl-SI"/>
        </w:rPr>
        <w:t>kmetijskih zemljišč v uporabi</w:t>
      </w:r>
      <w:r w:rsidRPr="00637749">
        <w:rPr>
          <w:rFonts w:ascii="Arial" w:eastAsia="Times New Roman" w:hAnsi="Arial" w:cs="Arial"/>
          <w:bCs/>
          <w:sz w:val="20"/>
          <w:szCs w:val="20"/>
          <w:lang w:eastAsia="sl-SI"/>
        </w:rPr>
        <w:t>.</w:t>
      </w:r>
    </w:p>
    <w:p w14:paraId="1A155796" w14:textId="77777777" w:rsidR="00F20AEE" w:rsidRPr="00637749" w:rsidRDefault="00F20AEE" w:rsidP="00F20AEE">
      <w:pPr>
        <w:numPr>
          <w:ilvl w:val="0"/>
          <w:numId w:val="17"/>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Pogoji za pridobitev:</w:t>
      </w:r>
    </w:p>
    <w:p w14:paraId="3FCDE7D7"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ustrezna dovoljenja oziroma projektna dokumentacija za izvedbo naložbe ter dokazila (predračun/račun) glede upravičenih stroškov do sofinanciranja; </w:t>
      </w:r>
    </w:p>
    <w:p w14:paraId="5943EE7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predračun, račun oziroma dokazila o plačilu stroškov za projektno dokumentacijo, za katere se uveljavlja pomoč;</w:t>
      </w:r>
    </w:p>
    <w:p w14:paraId="1E20DA8C"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kopija katastrskega načrta in program del, ki ga pripravi pristojna strokovna služba, kadar je predmet podpore ureditev kmetijskih zemljišč ali nezahtevna agromelioracija;</w:t>
      </w:r>
    </w:p>
    <w:p w14:paraId="6D6CFBF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dovoljenje lastnika zemljišča za izvedbo naložbe v primeru zakupa zemljišča;</w:t>
      </w:r>
    </w:p>
    <w:p w14:paraId="090BC532"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drugi pogoji povezani z opravljanjem kmetijske dejavnosti, ki so opredeljeni z razpisom.</w:t>
      </w:r>
    </w:p>
    <w:p w14:paraId="2398D021" w14:textId="77777777" w:rsidR="00F20AEE" w:rsidRPr="00637749" w:rsidRDefault="00F20AEE" w:rsidP="00F20AEE">
      <w:pPr>
        <w:numPr>
          <w:ilvl w:val="0"/>
          <w:numId w:val="17"/>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Intenzivnost pomoči:</w:t>
      </w:r>
    </w:p>
    <w:p w14:paraId="387547F9"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v skladu s tretjim odstavkom 13. člena tega pravilnika.</w:t>
      </w:r>
    </w:p>
    <w:p w14:paraId="0656E7F6" w14:textId="77777777" w:rsidR="00F20AEE" w:rsidRPr="00637749" w:rsidRDefault="00F20AEE" w:rsidP="00F20AEE">
      <w:pPr>
        <w:numPr>
          <w:ilvl w:val="0"/>
          <w:numId w:val="17"/>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lastRenderedPageBreak/>
        <w:t>Vlogo za pomoč v okviru tega ukrepa predloži nosilec kmetijskega gospodarstva oziroma pooblaščena oseba, ki jo pooblastijo vsi nosilci kmetijskih gospodarstev, ki so vključeni v skupno naložbo.</w:t>
      </w:r>
    </w:p>
    <w:p w14:paraId="4F0D8D4D" w14:textId="77777777" w:rsidR="00C64939" w:rsidRPr="00637749" w:rsidRDefault="00C64939" w:rsidP="00C64939">
      <w:pPr>
        <w:overflowPunct w:val="0"/>
        <w:autoSpaceDE w:val="0"/>
        <w:autoSpaceDN w:val="0"/>
        <w:adjustRightInd w:val="0"/>
        <w:spacing w:after="0" w:line="240" w:lineRule="auto"/>
        <w:ind w:left="360"/>
        <w:jc w:val="both"/>
        <w:rPr>
          <w:rFonts w:ascii="Arial" w:eastAsia="Times New Roman" w:hAnsi="Arial" w:cs="Arial"/>
          <w:sz w:val="20"/>
          <w:szCs w:val="20"/>
          <w:lang w:eastAsia="sl-SI"/>
        </w:rPr>
      </w:pPr>
    </w:p>
    <w:p w14:paraId="1DAE6611" w14:textId="6748ECBF"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16. člen</w:t>
      </w:r>
    </w:p>
    <w:p w14:paraId="6FBEEF97" w14:textId="00C295E2" w:rsidR="008A1549" w:rsidRPr="00637749" w:rsidRDefault="008A1549" w:rsidP="008A1549">
      <w:pPr>
        <w:spacing w:after="0" w:line="276" w:lineRule="auto"/>
        <w:rPr>
          <w:rFonts w:ascii="Arial" w:eastAsia="Times New Roman" w:hAnsi="Arial" w:cs="Arial"/>
          <w:sz w:val="20"/>
          <w:szCs w:val="20"/>
          <w:lang w:eastAsia="sl-SI"/>
        </w:rPr>
      </w:pPr>
      <w:r w:rsidRPr="00637749">
        <w:rPr>
          <w:rFonts w:ascii="Arial" w:eastAsia="Times New Roman" w:hAnsi="Arial" w:cs="Arial"/>
          <w:b/>
          <w:sz w:val="20"/>
          <w:szCs w:val="20"/>
          <w:lang w:eastAsia="sl-SI"/>
        </w:rPr>
        <w:t xml:space="preserve">UKREP 2: Pomoč za </w:t>
      </w:r>
      <w:r w:rsidR="004A0847" w:rsidRPr="00637749">
        <w:rPr>
          <w:rFonts w:ascii="Arial" w:eastAsia="Times New Roman" w:hAnsi="Arial" w:cs="Arial"/>
          <w:b/>
          <w:sz w:val="20"/>
          <w:szCs w:val="20"/>
          <w:lang w:eastAsia="sl-SI"/>
        </w:rPr>
        <w:t>promocijske ukrepe za kmetijske proizvode</w:t>
      </w:r>
      <w:r w:rsidRPr="00637749">
        <w:rPr>
          <w:rFonts w:ascii="Arial" w:eastAsia="Times New Roman" w:hAnsi="Arial" w:cs="Arial"/>
          <w:b/>
          <w:sz w:val="20"/>
          <w:szCs w:val="20"/>
          <w:lang w:eastAsia="sl-SI"/>
        </w:rPr>
        <w:t xml:space="preserve"> </w:t>
      </w:r>
      <w:r w:rsidRPr="00637749">
        <w:rPr>
          <w:rFonts w:ascii="Arial" w:eastAsia="Times New Roman" w:hAnsi="Arial" w:cs="Arial"/>
          <w:sz w:val="20"/>
          <w:szCs w:val="20"/>
          <w:lang w:eastAsia="sl-SI"/>
        </w:rPr>
        <w:t>(2</w:t>
      </w:r>
      <w:r w:rsidR="004A0847" w:rsidRPr="00637749">
        <w:rPr>
          <w:rFonts w:ascii="Arial" w:eastAsia="Times New Roman" w:hAnsi="Arial" w:cs="Arial"/>
          <w:sz w:val="20"/>
          <w:szCs w:val="20"/>
          <w:lang w:eastAsia="sl-SI"/>
        </w:rPr>
        <w:t>4</w:t>
      </w:r>
      <w:r w:rsidRPr="00637749">
        <w:rPr>
          <w:rFonts w:ascii="Arial" w:eastAsia="Times New Roman" w:hAnsi="Arial" w:cs="Arial"/>
          <w:sz w:val="20"/>
          <w:szCs w:val="20"/>
          <w:lang w:eastAsia="sl-SI"/>
        </w:rPr>
        <w:t>. člen Uredbe Komisije (EU) št. 2022/2472)</w:t>
      </w:r>
    </w:p>
    <w:p w14:paraId="39007F79"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1.   Pomoč za promocijske ukrepe za kmetijske proizvode je združljiva z notranjim trgom v smislu člena 107(3), točka (c), Pogodbe ter izvzeta iz obveznosti priglasitve iz člena 108(3) Pogodbe, če izpolnjuje pogoje iz tega člena in poglavja I te uredbe.</w:t>
      </w:r>
    </w:p>
    <w:p w14:paraId="632726F6"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2.   Pomoč krije stroške:</w:t>
      </w:r>
    </w:p>
    <w:tbl>
      <w:tblPr>
        <w:tblW w:w="4890" w:type="pct"/>
        <w:tblCellMar>
          <w:left w:w="0" w:type="dxa"/>
          <w:right w:w="0" w:type="dxa"/>
        </w:tblCellMar>
        <w:tblLook w:val="04A0" w:firstRow="1" w:lastRow="0" w:firstColumn="1" w:lastColumn="0" w:noHBand="0" w:noVBand="1"/>
      </w:tblPr>
      <w:tblGrid>
        <w:gridCol w:w="708"/>
        <w:gridCol w:w="9045"/>
      </w:tblGrid>
      <w:tr w:rsidR="004A0847" w:rsidRPr="00637749" w14:paraId="2FA25BD6" w14:textId="77777777" w:rsidTr="00F559E3">
        <w:tc>
          <w:tcPr>
            <w:tcW w:w="363" w:type="pct"/>
            <w:shd w:val="clear" w:color="auto" w:fill="auto"/>
            <w:hideMark/>
          </w:tcPr>
          <w:p w14:paraId="700E9BAF" w14:textId="062708A1" w:rsidR="004A0847" w:rsidRPr="00637749" w:rsidRDefault="00E0470F"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(a)</w:t>
            </w:r>
          </w:p>
        </w:tc>
        <w:tc>
          <w:tcPr>
            <w:tcW w:w="0" w:type="auto"/>
            <w:shd w:val="clear" w:color="auto" w:fill="auto"/>
            <w:hideMark/>
          </w:tcPr>
          <w:p w14:paraId="7B776D20" w14:textId="77777777" w:rsidR="004A0847" w:rsidRPr="00637749" w:rsidRDefault="004A0847"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organizacije tekmovanj, sejmov ali razstav ter udeležbe na njih;</w:t>
            </w:r>
          </w:p>
        </w:tc>
      </w:tr>
    </w:tbl>
    <w:p w14:paraId="02A9FA49" w14:textId="77777777" w:rsidR="004A0847" w:rsidRPr="00637749" w:rsidRDefault="004A0847" w:rsidP="004A0847">
      <w:pPr>
        <w:shd w:val="clear" w:color="auto" w:fill="FFFFFF"/>
        <w:spacing w:after="0" w:line="240" w:lineRule="auto"/>
        <w:rPr>
          <w:rFonts w:ascii="Arial" w:eastAsia="Times New Roman" w:hAnsi="Arial" w:cs="Arial"/>
          <w:vanish/>
          <w:sz w:val="20"/>
          <w:szCs w:val="20"/>
          <w:lang w:eastAsia="sl-SI"/>
        </w:rPr>
      </w:pPr>
    </w:p>
    <w:tbl>
      <w:tblPr>
        <w:tblW w:w="4952" w:type="pct"/>
        <w:tblCellMar>
          <w:left w:w="0" w:type="dxa"/>
          <w:right w:w="0" w:type="dxa"/>
        </w:tblCellMar>
        <w:tblLook w:val="04A0" w:firstRow="1" w:lastRow="0" w:firstColumn="1" w:lastColumn="0" w:noHBand="0" w:noVBand="1"/>
      </w:tblPr>
      <w:tblGrid>
        <w:gridCol w:w="709"/>
        <w:gridCol w:w="9167"/>
      </w:tblGrid>
      <w:tr w:rsidR="004A0847" w:rsidRPr="00637749" w14:paraId="26E15EB4" w14:textId="77777777" w:rsidTr="00F559E3">
        <w:tc>
          <w:tcPr>
            <w:tcW w:w="359" w:type="pct"/>
            <w:shd w:val="clear" w:color="auto" w:fill="auto"/>
            <w:hideMark/>
          </w:tcPr>
          <w:p w14:paraId="4DF37851" w14:textId="2282C5B5" w:rsidR="004A0847" w:rsidRPr="00637749" w:rsidRDefault="00E0470F"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(b)</w:t>
            </w:r>
          </w:p>
        </w:tc>
        <w:tc>
          <w:tcPr>
            <w:tcW w:w="0" w:type="auto"/>
            <w:shd w:val="clear" w:color="auto" w:fill="auto"/>
            <w:hideMark/>
          </w:tcPr>
          <w:p w14:paraId="105BA54E" w14:textId="77777777" w:rsidR="004A0847" w:rsidRPr="00637749" w:rsidRDefault="004A0847"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publikacij, katerih cilj je ozaveščanje širše javnosti o kmetijskih proizvodih.</w:t>
            </w:r>
          </w:p>
        </w:tc>
      </w:tr>
    </w:tbl>
    <w:p w14:paraId="2EFAF02A"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3.   Publikacije iz odstavka 2, točka (b), ne vsebujejo navedb o posameznem podjetju, blagovni znamki ali poreklu.</w:t>
      </w:r>
    </w:p>
    <w:p w14:paraId="6BDC4DC0"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Vendar se prvi pododstavek ne uporablja za navedbe o poreklu kmetijskih proizvodov, ki jih zajemajo:</w:t>
      </w:r>
    </w:p>
    <w:tbl>
      <w:tblPr>
        <w:tblW w:w="5007" w:type="pct"/>
        <w:tblCellMar>
          <w:left w:w="0" w:type="dxa"/>
          <w:right w:w="0" w:type="dxa"/>
        </w:tblCellMar>
        <w:tblLook w:val="04A0" w:firstRow="1" w:lastRow="0" w:firstColumn="1" w:lastColumn="0" w:noHBand="0" w:noVBand="1"/>
      </w:tblPr>
      <w:tblGrid>
        <w:gridCol w:w="20"/>
        <w:gridCol w:w="9966"/>
      </w:tblGrid>
      <w:tr w:rsidR="004A0847" w:rsidRPr="00637749" w14:paraId="205AB94B" w14:textId="77777777" w:rsidTr="00E0470F">
        <w:tc>
          <w:tcPr>
            <w:tcW w:w="10" w:type="pct"/>
            <w:shd w:val="clear" w:color="auto" w:fill="auto"/>
            <w:hideMark/>
          </w:tcPr>
          <w:p w14:paraId="7D9FBE6D" w14:textId="4C58BE50" w:rsidR="004A0847" w:rsidRPr="00637749" w:rsidRDefault="00E0470F"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p>
        </w:tc>
        <w:tc>
          <w:tcPr>
            <w:tcW w:w="0" w:type="auto"/>
            <w:shd w:val="clear" w:color="auto" w:fill="auto"/>
            <w:hideMark/>
          </w:tcPr>
          <w:p w14:paraId="0764C422" w14:textId="05C7C079" w:rsidR="00E0470F" w:rsidRPr="00637749" w:rsidRDefault="004A0847" w:rsidP="00E0470F">
            <w:pPr>
              <w:pStyle w:val="Odstavekseznama"/>
              <w:numPr>
                <w:ilvl w:val="0"/>
                <w:numId w:val="40"/>
              </w:numPr>
              <w:spacing w:before="120" w:line="312" w:lineRule="atLeast"/>
              <w:jc w:val="both"/>
              <w:rPr>
                <w:rFonts w:ascii="Arial" w:hAnsi="Arial" w:cs="Arial"/>
                <w:sz w:val="20"/>
                <w:szCs w:val="20"/>
              </w:rPr>
            </w:pPr>
            <w:r w:rsidRPr="00637749">
              <w:rPr>
                <w:rFonts w:ascii="Arial" w:hAnsi="Arial" w:cs="Arial"/>
                <w:sz w:val="20"/>
                <w:szCs w:val="20"/>
              </w:rPr>
              <w:t xml:space="preserve">sheme kakovosti iz člena 20(2), točka (a), če taka navedba natanko ustreza označbi, zaščiteni v </w:t>
            </w:r>
          </w:p>
          <w:p w14:paraId="74594937" w14:textId="3FC50E70" w:rsidR="004A0847" w:rsidRPr="00637749" w:rsidRDefault="004A0847" w:rsidP="00E0470F">
            <w:pPr>
              <w:pStyle w:val="Odstavekseznama"/>
              <w:spacing w:before="120" w:line="312" w:lineRule="atLeast"/>
              <w:ind w:left="660"/>
              <w:jc w:val="both"/>
              <w:rPr>
                <w:rFonts w:ascii="Arial" w:hAnsi="Arial" w:cs="Arial"/>
                <w:sz w:val="20"/>
                <w:szCs w:val="20"/>
              </w:rPr>
            </w:pPr>
            <w:r w:rsidRPr="00637749">
              <w:rPr>
                <w:rFonts w:ascii="Arial" w:hAnsi="Arial" w:cs="Arial"/>
                <w:sz w:val="20"/>
                <w:szCs w:val="20"/>
              </w:rPr>
              <w:t>Uniji;</w:t>
            </w:r>
          </w:p>
        </w:tc>
      </w:tr>
    </w:tbl>
    <w:p w14:paraId="538344E4" w14:textId="77777777" w:rsidR="004A0847" w:rsidRPr="00637749" w:rsidRDefault="004A0847" w:rsidP="004A0847">
      <w:pPr>
        <w:shd w:val="clear" w:color="auto" w:fill="FFFFFF"/>
        <w:spacing w:after="0" w:line="240" w:lineRule="auto"/>
        <w:rPr>
          <w:rFonts w:ascii="Arial" w:eastAsia="Times New Roman" w:hAnsi="Arial" w:cs="Arial"/>
          <w:vanish/>
          <w:sz w:val="20"/>
          <w:szCs w:val="20"/>
          <w:lang w:eastAsia="sl-SI"/>
        </w:rPr>
      </w:pPr>
    </w:p>
    <w:tbl>
      <w:tblPr>
        <w:tblW w:w="5000" w:type="pct"/>
        <w:tblCellMar>
          <w:left w:w="0" w:type="dxa"/>
          <w:right w:w="0" w:type="dxa"/>
        </w:tblCellMar>
        <w:tblLook w:val="04A0" w:firstRow="1" w:lastRow="0" w:firstColumn="1" w:lastColumn="0" w:noHBand="0" w:noVBand="1"/>
      </w:tblPr>
      <w:tblGrid>
        <w:gridCol w:w="606"/>
        <w:gridCol w:w="9366"/>
      </w:tblGrid>
      <w:tr w:rsidR="004A0847" w:rsidRPr="00637749" w14:paraId="0CB2D4A5" w14:textId="77777777" w:rsidTr="004A0847">
        <w:tc>
          <w:tcPr>
            <w:tcW w:w="0" w:type="auto"/>
            <w:shd w:val="clear" w:color="auto" w:fill="auto"/>
            <w:hideMark/>
          </w:tcPr>
          <w:p w14:paraId="6DF6C614" w14:textId="72F883B7" w:rsidR="004A0847" w:rsidRPr="00637749" w:rsidRDefault="00E0470F"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(b)</w:t>
            </w:r>
          </w:p>
        </w:tc>
        <w:tc>
          <w:tcPr>
            <w:tcW w:w="0" w:type="auto"/>
            <w:shd w:val="clear" w:color="auto" w:fill="auto"/>
            <w:hideMark/>
          </w:tcPr>
          <w:p w14:paraId="2F19D2A5" w14:textId="0DA2E0F9" w:rsidR="004A0847" w:rsidRPr="00637749" w:rsidRDefault="00F559E3"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sheme kakovosti iz člena 20(2), točki (b) in (c), če je taka navedba sekundarna v sporočilu.</w:t>
            </w:r>
          </w:p>
        </w:tc>
      </w:tr>
    </w:tbl>
    <w:p w14:paraId="4394631B"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4.   Pomoč krije naslednje upravičene stroške za organizacijo tekmovanj, sejmov in razstav ter udeležbo na njih:</w:t>
      </w:r>
    </w:p>
    <w:tbl>
      <w:tblPr>
        <w:tblW w:w="7274" w:type="pct"/>
        <w:tblCellMar>
          <w:left w:w="0" w:type="dxa"/>
          <w:right w:w="0" w:type="dxa"/>
        </w:tblCellMar>
        <w:tblLook w:val="04A0" w:firstRow="1" w:lastRow="0" w:firstColumn="1" w:lastColumn="0" w:noHBand="0" w:noVBand="1"/>
      </w:tblPr>
      <w:tblGrid>
        <w:gridCol w:w="9638"/>
        <w:gridCol w:w="4869"/>
      </w:tblGrid>
      <w:tr w:rsidR="004A0847" w:rsidRPr="00637749" w14:paraId="29F033F7" w14:textId="77777777" w:rsidTr="00192F34">
        <w:tc>
          <w:tcPr>
            <w:tcW w:w="3322" w:type="pct"/>
            <w:shd w:val="clear" w:color="auto" w:fill="auto"/>
            <w:hideMark/>
          </w:tcPr>
          <w:p w14:paraId="0AB1B935" w14:textId="77777777" w:rsidR="004A0847" w:rsidRPr="00637749" w:rsidRDefault="00E0470F" w:rsidP="003F2A11">
            <w:pPr>
              <w:spacing w:after="0" w:line="36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(a)</w:t>
            </w:r>
            <w:r w:rsidRPr="00637749">
              <w:rPr>
                <w:rFonts w:ascii="Arial" w:eastAsia="Times New Roman" w:hAnsi="Arial" w:cs="Arial"/>
                <w:sz w:val="20"/>
                <w:szCs w:val="20"/>
                <w:lang w:eastAsia="sl-SI"/>
              </w:rPr>
              <w:t xml:space="preserve"> stroške udeležbe;</w:t>
            </w:r>
          </w:p>
          <w:p w14:paraId="122BAC7C" w14:textId="77777777" w:rsidR="00192F34" w:rsidRPr="00637749" w:rsidRDefault="00192F34" w:rsidP="003F2A11">
            <w:pPr>
              <w:spacing w:after="0" w:line="36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(b) potne stroške in stroške prevoza živali in proizvodov, ki bodo zajeti v promocijskem ukrepu;</w:t>
            </w:r>
          </w:p>
          <w:p w14:paraId="28A952E0" w14:textId="77777777" w:rsidR="00192F34" w:rsidRPr="00637749" w:rsidRDefault="00192F34" w:rsidP="003F2A11">
            <w:pPr>
              <w:spacing w:after="0" w:line="36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(c) stroške publikacij in spletišč, ki napovedujejo dogodek;</w:t>
            </w:r>
          </w:p>
          <w:p w14:paraId="7DEE96DE" w14:textId="77777777" w:rsidR="00192F34" w:rsidRPr="00637749" w:rsidRDefault="00192F34" w:rsidP="003F2A11">
            <w:pPr>
              <w:spacing w:after="0" w:line="36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(d) najemnine razstavnih prostorov in stojnic ter stroške njihove postavitve in razstavljanja;</w:t>
            </w:r>
          </w:p>
          <w:p w14:paraId="2EAAE03F" w14:textId="3AB6FA9C" w:rsidR="00192F34" w:rsidRPr="00637749" w:rsidRDefault="00192F34" w:rsidP="003F2A11">
            <w:pPr>
              <w:spacing w:after="0" w:line="36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(e) simbolične nagrade do vrednosti 3.000 EUR na nagrado in zmagovalca tekmovanja.</w:t>
            </w:r>
          </w:p>
        </w:tc>
        <w:tc>
          <w:tcPr>
            <w:tcW w:w="1678" w:type="pct"/>
            <w:shd w:val="clear" w:color="auto" w:fill="auto"/>
            <w:hideMark/>
          </w:tcPr>
          <w:p w14:paraId="6C6997C4" w14:textId="656FDC97" w:rsidR="004A0847" w:rsidRPr="00637749" w:rsidRDefault="004A0847" w:rsidP="003F2A11">
            <w:pPr>
              <w:spacing w:after="0" w:line="360" w:lineRule="auto"/>
              <w:jc w:val="both"/>
              <w:rPr>
                <w:rFonts w:ascii="Arial" w:eastAsia="Times New Roman" w:hAnsi="Arial" w:cs="Arial"/>
                <w:sz w:val="20"/>
                <w:szCs w:val="20"/>
                <w:lang w:eastAsia="sl-SI"/>
              </w:rPr>
            </w:pPr>
          </w:p>
        </w:tc>
      </w:tr>
    </w:tbl>
    <w:p w14:paraId="5E830BFE"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5.   Pomoč krije naslednje upravičene stroške za publikacije, katerih cilj je ozaveščanje širše javnosti o kmetijskih proizvodih:</w:t>
      </w:r>
    </w:p>
    <w:tbl>
      <w:tblPr>
        <w:tblW w:w="5000" w:type="pct"/>
        <w:tblInd w:w="142" w:type="dxa"/>
        <w:tblCellMar>
          <w:left w:w="0" w:type="dxa"/>
          <w:right w:w="0" w:type="dxa"/>
        </w:tblCellMar>
        <w:tblLook w:val="04A0" w:firstRow="1" w:lastRow="0" w:firstColumn="1" w:lastColumn="0" w:noHBand="0" w:noVBand="1"/>
      </w:tblPr>
      <w:tblGrid>
        <w:gridCol w:w="245"/>
        <w:gridCol w:w="9727"/>
      </w:tblGrid>
      <w:tr w:rsidR="004A0847" w:rsidRPr="00637749" w14:paraId="1AADAAF4" w14:textId="77777777" w:rsidTr="00F559E3">
        <w:tc>
          <w:tcPr>
            <w:tcW w:w="0" w:type="auto"/>
            <w:shd w:val="clear" w:color="auto" w:fill="auto"/>
            <w:hideMark/>
          </w:tcPr>
          <w:p w14:paraId="646FFF84" w14:textId="77777777" w:rsidR="004A0847" w:rsidRPr="00637749" w:rsidRDefault="004A0847" w:rsidP="00F559E3">
            <w:pPr>
              <w:spacing w:before="120" w:after="0" w:line="312" w:lineRule="atLeast"/>
              <w:ind w:right="-8"/>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(a)</w:t>
            </w:r>
          </w:p>
        </w:tc>
        <w:tc>
          <w:tcPr>
            <w:tcW w:w="0" w:type="auto"/>
            <w:shd w:val="clear" w:color="auto" w:fill="auto"/>
            <w:hideMark/>
          </w:tcPr>
          <w:p w14:paraId="37AA488A" w14:textId="64E2A4BB" w:rsidR="004A0847" w:rsidRPr="00637749" w:rsidRDefault="00E0470F"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 xml:space="preserve">stroške tiskanih in elektronskih publikacij, spletišč in spotov v elektronskih medijih, na radiu ali </w:t>
            </w:r>
            <w:r w:rsidR="00F559E3"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televiziji, namenjenih predstavljanju dejanskih informacij o upravičencih iz določene regije ali proizvajalcih določenega kmetijskega proizvoda, če so informacije nevtralne in imajo zadevni upravičenci enake možnosti, da so predstavljeni v publikaciji;</w:t>
            </w:r>
          </w:p>
        </w:tc>
      </w:tr>
      <w:tr w:rsidR="004A0847" w:rsidRPr="00637749" w14:paraId="44C9F5D5" w14:textId="77777777" w:rsidTr="00F559E3">
        <w:tc>
          <w:tcPr>
            <w:tcW w:w="0" w:type="auto"/>
            <w:shd w:val="clear" w:color="auto" w:fill="auto"/>
            <w:hideMark/>
          </w:tcPr>
          <w:p w14:paraId="4E77D5B4" w14:textId="77777777" w:rsidR="004A0847" w:rsidRPr="00637749" w:rsidRDefault="004A0847"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(b)</w:t>
            </w:r>
          </w:p>
        </w:tc>
        <w:tc>
          <w:tcPr>
            <w:tcW w:w="0" w:type="auto"/>
            <w:shd w:val="clear" w:color="auto" w:fill="auto"/>
            <w:hideMark/>
          </w:tcPr>
          <w:p w14:paraId="664E35E0" w14:textId="20A49486" w:rsidR="004A0847" w:rsidRPr="00637749" w:rsidRDefault="00F559E3"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stroške širjenja znanstvenih spoznanj in dejanskih informacij o:</w:t>
            </w:r>
          </w:p>
          <w:tbl>
            <w:tblPr>
              <w:tblW w:w="5000" w:type="pct"/>
              <w:tblCellMar>
                <w:left w:w="0" w:type="dxa"/>
                <w:right w:w="0" w:type="dxa"/>
              </w:tblCellMar>
              <w:tblLook w:val="04A0" w:firstRow="1" w:lastRow="0" w:firstColumn="1" w:lastColumn="0" w:noHBand="0" w:noVBand="1"/>
            </w:tblPr>
            <w:tblGrid>
              <w:gridCol w:w="237"/>
              <w:gridCol w:w="9490"/>
            </w:tblGrid>
            <w:tr w:rsidR="004A0847" w:rsidRPr="00637749" w14:paraId="07B23D38" w14:textId="77777777">
              <w:tc>
                <w:tcPr>
                  <w:tcW w:w="0" w:type="auto"/>
                  <w:shd w:val="clear" w:color="auto" w:fill="auto"/>
                  <w:hideMark/>
                </w:tcPr>
                <w:p w14:paraId="6175CA42" w14:textId="77777777" w:rsidR="004A0847" w:rsidRPr="00637749" w:rsidRDefault="004A0847"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(i)</w:t>
                  </w:r>
                </w:p>
              </w:tc>
              <w:tc>
                <w:tcPr>
                  <w:tcW w:w="0" w:type="auto"/>
                  <w:shd w:val="clear" w:color="auto" w:fill="auto"/>
                  <w:hideMark/>
                </w:tcPr>
                <w:p w14:paraId="7EDD37CA" w14:textId="77777777" w:rsidR="004A0847" w:rsidRPr="00637749" w:rsidRDefault="004A0847"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shemah kakovosti iz člena 20(2), odprtih za kmetijske proizvode iz drugih držav članic in tretjih držav;</w:t>
                  </w:r>
                </w:p>
              </w:tc>
            </w:tr>
            <w:tr w:rsidR="004A0847" w:rsidRPr="00637749" w14:paraId="6AEA27F5" w14:textId="77777777">
              <w:tc>
                <w:tcPr>
                  <w:tcW w:w="0" w:type="auto"/>
                  <w:shd w:val="clear" w:color="auto" w:fill="auto"/>
                  <w:hideMark/>
                </w:tcPr>
                <w:p w14:paraId="3607234F" w14:textId="77777777" w:rsidR="004A0847" w:rsidRPr="00637749" w:rsidRDefault="004A0847"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(ii)</w:t>
                  </w:r>
                </w:p>
              </w:tc>
              <w:tc>
                <w:tcPr>
                  <w:tcW w:w="0" w:type="auto"/>
                  <w:shd w:val="clear" w:color="auto" w:fill="auto"/>
                  <w:hideMark/>
                </w:tcPr>
                <w:p w14:paraId="4AE26930" w14:textId="65D681C8" w:rsidR="004A0847" w:rsidRPr="00637749" w:rsidRDefault="00F559E3" w:rsidP="004A0847">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generičnih kmetijskih proizvodih, njihovi hranilni vrednosti in njihovi priporočeni uporabi.</w:t>
                  </w:r>
                </w:p>
              </w:tc>
            </w:tr>
          </w:tbl>
          <w:p w14:paraId="340BD3D2" w14:textId="77777777" w:rsidR="004A0847" w:rsidRPr="00637749" w:rsidRDefault="004A0847" w:rsidP="00E0470F">
            <w:pPr>
              <w:spacing w:before="120" w:after="0" w:line="312" w:lineRule="atLeast"/>
              <w:jc w:val="both"/>
              <w:rPr>
                <w:rFonts w:ascii="Arial" w:eastAsia="Times New Roman" w:hAnsi="Arial" w:cs="Arial"/>
                <w:sz w:val="20"/>
                <w:szCs w:val="20"/>
                <w:lang w:eastAsia="sl-SI"/>
              </w:rPr>
            </w:pPr>
          </w:p>
        </w:tc>
      </w:tr>
    </w:tbl>
    <w:p w14:paraId="12E8BE5B" w14:textId="77777777" w:rsidR="004A0847" w:rsidRPr="00637749" w:rsidRDefault="004A0847" w:rsidP="00E0470F">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6.   Pomoč se dodeli v eni od naslednjih oblik:</w:t>
      </w:r>
    </w:p>
    <w:tbl>
      <w:tblPr>
        <w:tblW w:w="5000" w:type="pct"/>
        <w:tblCellMar>
          <w:left w:w="0" w:type="dxa"/>
          <w:right w:w="0" w:type="dxa"/>
        </w:tblCellMar>
        <w:tblLook w:val="04A0" w:firstRow="1" w:lastRow="0" w:firstColumn="1" w:lastColumn="0" w:noHBand="0" w:noVBand="1"/>
      </w:tblPr>
      <w:tblGrid>
        <w:gridCol w:w="9962"/>
        <w:gridCol w:w="10"/>
      </w:tblGrid>
      <w:tr w:rsidR="00F559E3" w:rsidRPr="00637749" w14:paraId="356FF568" w14:textId="77777777" w:rsidTr="004A0847">
        <w:tc>
          <w:tcPr>
            <w:tcW w:w="0" w:type="auto"/>
            <w:shd w:val="clear" w:color="auto" w:fill="auto"/>
            <w:hideMark/>
          </w:tcPr>
          <w:p w14:paraId="05DB5199" w14:textId="46DA9EDF" w:rsidR="004A0847" w:rsidRPr="00637749" w:rsidRDefault="00F559E3" w:rsidP="00F559E3">
            <w:pPr>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      </w:t>
            </w:r>
            <w:r w:rsidR="004A0847" w:rsidRPr="00637749">
              <w:rPr>
                <w:rFonts w:ascii="Arial" w:eastAsia="Times New Roman" w:hAnsi="Arial" w:cs="Arial"/>
                <w:sz w:val="20"/>
                <w:szCs w:val="20"/>
                <w:lang w:eastAsia="sl-SI"/>
              </w:rPr>
              <w:t>(a)</w:t>
            </w:r>
            <w:r w:rsidRPr="00637749">
              <w:rPr>
                <w:rFonts w:ascii="Arial" w:eastAsia="Times New Roman" w:hAnsi="Arial" w:cs="Arial"/>
                <w:sz w:val="20"/>
                <w:szCs w:val="20"/>
                <w:lang w:eastAsia="sl-SI"/>
              </w:rPr>
              <w:t xml:space="preserve"> v naravi</w:t>
            </w:r>
          </w:p>
        </w:tc>
        <w:tc>
          <w:tcPr>
            <w:tcW w:w="0" w:type="auto"/>
            <w:shd w:val="clear" w:color="auto" w:fill="auto"/>
            <w:hideMark/>
          </w:tcPr>
          <w:p w14:paraId="49D61853" w14:textId="6AD7FAE3" w:rsidR="004A0847" w:rsidRPr="00637749" w:rsidRDefault="004A0847" w:rsidP="004A0847">
            <w:pPr>
              <w:spacing w:before="120" w:after="0" w:line="312" w:lineRule="atLeast"/>
              <w:jc w:val="both"/>
              <w:rPr>
                <w:rFonts w:ascii="Arial" w:eastAsia="Times New Roman" w:hAnsi="Arial" w:cs="Arial"/>
                <w:sz w:val="20"/>
                <w:szCs w:val="20"/>
                <w:lang w:eastAsia="sl-SI"/>
              </w:rPr>
            </w:pPr>
          </w:p>
        </w:tc>
      </w:tr>
      <w:tr w:rsidR="00F559E3" w:rsidRPr="00637749" w14:paraId="06C5CB14" w14:textId="77777777" w:rsidTr="004A0847">
        <w:tc>
          <w:tcPr>
            <w:tcW w:w="0" w:type="auto"/>
            <w:shd w:val="clear" w:color="auto" w:fill="auto"/>
            <w:hideMark/>
          </w:tcPr>
          <w:p w14:paraId="7CE41027" w14:textId="2529F37A" w:rsidR="004A0847" w:rsidRPr="00637749" w:rsidRDefault="00F559E3" w:rsidP="00F559E3">
            <w:pPr>
              <w:pStyle w:val="Odstavekseznama"/>
              <w:numPr>
                <w:ilvl w:val="0"/>
                <w:numId w:val="41"/>
              </w:numPr>
              <w:spacing w:before="120" w:line="312" w:lineRule="atLeast"/>
              <w:jc w:val="both"/>
              <w:rPr>
                <w:rFonts w:ascii="Arial" w:hAnsi="Arial" w:cs="Arial"/>
                <w:sz w:val="20"/>
                <w:szCs w:val="20"/>
              </w:rPr>
            </w:pPr>
            <w:r w:rsidRPr="00637749">
              <w:rPr>
                <w:rFonts w:ascii="Arial" w:hAnsi="Arial" w:cs="Arial"/>
                <w:sz w:val="20"/>
                <w:szCs w:val="20"/>
              </w:rPr>
              <w:t>na podlagi vračila dejanskih stroškov, ki jih je imel upravičenec</w:t>
            </w:r>
          </w:p>
          <w:p w14:paraId="70581D75" w14:textId="4C0DA2D5" w:rsidR="00F559E3" w:rsidRPr="00637749" w:rsidRDefault="00F559E3" w:rsidP="00F559E3">
            <w:pPr>
              <w:pStyle w:val="Odstavekseznama"/>
              <w:numPr>
                <w:ilvl w:val="0"/>
                <w:numId w:val="41"/>
              </w:numPr>
              <w:spacing w:before="120" w:line="312" w:lineRule="atLeast"/>
              <w:jc w:val="both"/>
              <w:rPr>
                <w:rFonts w:ascii="Arial" w:hAnsi="Arial" w:cs="Arial"/>
                <w:sz w:val="20"/>
                <w:szCs w:val="20"/>
              </w:rPr>
            </w:pPr>
            <w:r w:rsidRPr="00637749">
              <w:rPr>
                <w:rFonts w:ascii="Arial" w:hAnsi="Arial" w:cs="Arial"/>
                <w:sz w:val="20"/>
                <w:szCs w:val="20"/>
              </w:rPr>
              <w:t>kar zadeva pomoč za simbolične nagrade, tudi v gotovini.</w:t>
            </w:r>
          </w:p>
          <w:p w14:paraId="108B25AD" w14:textId="03480492" w:rsidR="00F559E3" w:rsidRPr="00637749" w:rsidRDefault="00F559E3" w:rsidP="00F559E3">
            <w:pPr>
              <w:rPr>
                <w:rFonts w:ascii="Arial" w:hAnsi="Arial" w:cs="Arial"/>
                <w:sz w:val="20"/>
                <w:szCs w:val="20"/>
              </w:rPr>
            </w:pPr>
          </w:p>
        </w:tc>
        <w:tc>
          <w:tcPr>
            <w:tcW w:w="0" w:type="auto"/>
            <w:shd w:val="clear" w:color="auto" w:fill="auto"/>
            <w:hideMark/>
          </w:tcPr>
          <w:p w14:paraId="4531137F" w14:textId="6E6D1FC4" w:rsidR="004A0847" w:rsidRPr="00637749" w:rsidRDefault="004A0847" w:rsidP="004A0847">
            <w:pPr>
              <w:spacing w:before="120" w:after="0" w:line="312" w:lineRule="atLeast"/>
              <w:jc w:val="both"/>
              <w:rPr>
                <w:rFonts w:ascii="Arial" w:eastAsia="Times New Roman" w:hAnsi="Arial" w:cs="Arial"/>
                <w:sz w:val="20"/>
                <w:szCs w:val="20"/>
                <w:lang w:eastAsia="sl-SI"/>
              </w:rPr>
            </w:pPr>
          </w:p>
        </w:tc>
      </w:tr>
    </w:tbl>
    <w:p w14:paraId="4F7057B8"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Kadar je pomoč dodeljena v naravi, je pomoč v obliki subvencionirane storitve.</w:t>
      </w:r>
    </w:p>
    <w:p w14:paraId="23E21D31"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Promocijske ukrepe lahko izvajajo skupine proizvajalcev ali druge organizacije ne glede na njihovo velikost.</w:t>
      </w:r>
    </w:p>
    <w:p w14:paraId="34869C98" w14:textId="185D58B5"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Pomoč za simbolične nagrade iz odstavka 4</w:t>
      </w:r>
      <w:r w:rsidR="00F559E3" w:rsidRPr="00637749">
        <w:rPr>
          <w:rFonts w:ascii="Arial" w:eastAsia="Times New Roman" w:hAnsi="Arial" w:cs="Arial"/>
          <w:sz w:val="20"/>
          <w:szCs w:val="20"/>
          <w:lang w:eastAsia="sl-SI"/>
        </w:rPr>
        <w:t>,</w:t>
      </w:r>
      <w:r w:rsidRPr="00637749">
        <w:rPr>
          <w:rFonts w:ascii="Arial" w:eastAsia="Times New Roman" w:hAnsi="Arial" w:cs="Arial"/>
          <w:sz w:val="20"/>
          <w:szCs w:val="20"/>
          <w:lang w:eastAsia="sl-SI"/>
        </w:rPr>
        <w:t xml:space="preserve"> točka (e), se izplača ponudniku promocijskih ukrepov le, če je bila nagrada dejansko podeljena in je bil predložen dokaz o tem.</w:t>
      </w:r>
    </w:p>
    <w:p w14:paraId="2B324B1C"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7.   Pomoč za promocijske ukrepe je na podlagi objektivno opredeljenih pogojev dostopna vsem upravičenim podjetjem na zadevnem območju.</w:t>
      </w:r>
    </w:p>
    <w:p w14:paraId="43784D7C"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Kadar promocijski ukrep zagotavljajo skupine in organizacije proizvajalcev, članstvo v takih skupinah ali organizacijah ni pogoj za sodelovanje. Vsak prispevek nečlanov za kritje upravnih pristojbin zadevne skupine ali organizacije proizvajalcev je omejen na stroške zagotavljanja promocijskih ukrepov.</w:t>
      </w:r>
    </w:p>
    <w:p w14:paraId="79415F7E" w14:textId="77777777" w:rsidR="004A0847" w:rsidRPr="00637749" w:rsidRDefault="004A0847" w:rsidP="004A0847">
      <w:pPr>
        <w:shd w:val="clear" w:color="auto" w:fill="FFFFFF"/>
        <w:spacing w:before="120" w:after="0" w:line="312" w:lineRule="atLeast"/>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8.   Intenzivnost pomoči je omejena na 100 % upravičenih stroškov.</w:t>
      </w:r>
    </w:p>
    <w:p w14:paraId="43FCB6EC" w14:textId="77777777" w:rsidR="004A0847" w:rsidRPr="00637749" w:rsidRDefault="004A0847" w:rsidP="008A1549">
      <w:pPr>
        <w:spacing w:after="0" w:line="276" w:lineRule="auto"/>
        <w:rPr>
          <w:rFonts w:ascii="Arial" w:eastAsia="Times New Roman" w:hAnsi="Arial" w:cs="Arial"/>
          <w:b/>
          <w:sz w:val="20"/>
          <w:szCs w:val="20"/>
          <w:lang w:eastAsia="sl-SI"/>
        </w:rPr>
      </w:pPr>
    </w:p>
    <w:p w14:paraId="1D6E2705" w14:textId="02B407D5" w:rsidR="008A1549" w:rsidRPr="00637749" w:rsidRDefault="008A1549"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17. člen</w:t>
      </w:r>
    </w:p>
    <w:p w14:paraId="553C545A" w14:textId="3083B0A4" w:rsidR="00F20AEE" w:rsidRPr="00637749" w:rsidRDefault="00F20AEE" w:rsidP="00F20AEE">
      <w:pPr>
        <w:tabs>
          <w:tab w:val="left" w:pos="1134"/>
        </w:tabs>
        <w:overflowPunct w:val="0"/>
        <w:autoSpaceDE w:val="0"/>
        <w:autoSpaceDN w:val="0"/>
        <w:adjustRightInd w:val="0"/>
        <w:spacing w:after="0" w:line="240" w:lineRule="auto"/>
        <w:rPr>
          <w:rFonts w:ascii="Arial" w:eastAsia="Times New Roman" w:hAnsi="Arial" w:cs="Arial"/>
          <w:sz w:val="20"/>
          <w:szCs w:val="20"/>
          <w:lang w:eastAsia="sl-SI"/>
        </w:rPr>
      </w:pPr>
      <w:r w:rsidRPr="00637749">
        <w:rPr>
          <w:rFonts w:ascii="Arial" w:eastAsia="Times New Roman" w:hAnsi="Arial" w:cs="Arial"/>
          <w:b/>
          <w:bCs/>
          <w:sz w:val="20"/>
          <w:szCs w:val="20"/>
          <w:lang w:eastAsia="sl-SI"/>
        </w:rPr>
        <w:t xml:space="preserve">UKREP </w:t>
      </w:r>
      <w:r w:rsidR="008A1549" w:rsidRPr="00637749">
        <w:rPr>
          <w:rFonts w:ascii="Arial" w:eastAsia="Times New Roman" w:hAnsi="Arial" w:cs="Arial"/>
          <w:b/>
          <w:bCs/>
          <w:sz w:val="20"/>
          <w:szCs w:val="20"/>
          <w:lang w:eastAsia="sl-SI"/>
        </w:rPr>
        <w:t>3</w:t>
      </w:r>
      <w:r w:rsidRPr="00637749">
        <w:rPr>
          <w:rFonts w:ascii="Arial" w:eastAsia="Times New Roman" w:hAnsi="Arial" w:cs="Arial"/>
          <w:b/>
          <w:bCs/>
          <w:sz w:val="20"/>
          <w:szCs w:val="20"/>
          <w:lang w:eastAsia="sl-SI"/>
        </w:rPr>
        <w:t xml:space="preserve">: Pomoč za plačilo zavarovalnih premij </w:t>
      </w:r>
      <w:r w:rsidRPr="00637749">
        <w:rPr>
          <w:rFonts w:ascii="Arial" w:eastAsia="Times New Roman" w:hAnsi="Arial" w:cs="Arial"/>
          <w:sz w:val="20"/>
          <w:szCs w:val="20"/>
          <w:lang w:eastAsia="sl-SI"/>
        </w:rPr>
        <w:t>(28. člen Uredbe Komisije (EU) št. 2022/2472)</w:t>
      </w:r>
    </w:p>
    <w:p w14:paraId="067CE8B3" w14:textId="77777777" w:rsidR="00F20AEE" w:rsidRPr="00637749" w:rsidRDefault="00F20AEE" w:rsidP="00F20AEE">
      <w:pPr>
        <w:spacing w:after="0" w:line="240" w:lineRule="auto"/>
        <w:jc w:val="both"/>
        <w:rPr>
          <w:rFonts w:ascii="Arial" w:eastAsia="Times New Roman" w:hAnsi="Arial" w:cs="Arial"/>
          <w:sz w:val="20"/>
          <w:szCs w:val="20"/>
          <w:lang w:eastAsia="sl-SI"/>
        </w:rPr>
      </w:pPr>
    </w:p>
    <w:p w14:paraId="00F7D301" w14:textId="77777777" w:rsidR="00F20AEE" w:rsidRPr="00637749" w:rsidRDefault="00F20AEE" w:rsidP="00F20AEE">
      <w:pPr>
        <w:numPr>
          <w:ilvl w:val="0"/>
          <w:numId w:val="1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Cilj pomoči je sofinanciranje dela stroškov zavarovalnih premij za zavarovanje kmetijske proizvodnje, z namenom kritja izgub zaradi naslednjih dejavnikov:</w:t>
      </w:r>
    </w:p>
    <w:p w14:paraId="3E6674C7"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naravnih nesreč;</w:t>
      </w:r>
    </w:p>
    <w:p w14:paraId="7B9ABE99"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slabih vremenskih razmer, ki jih je mogoče enačiti z naravnimi nesrečami in drugih slabih vremenskih razmer;</w:t>
      </w:r>
    </w:p>
    <w:p w14:paraId="7A8EE3BF"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bolezni živali ali škodljivih organizmov na rastlinah ter</w:t>
      </w:r>
    </w:p>
    <w:p w14:paraId="56C41371"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zaščitenih živali.</w:t>
      </w:r>
    </w:p>
    <w:p w14:paraId="3B2AB609" w14:textId="77777777" w:rsidR="00F20AEE" w:rsidRPr="00637749" w:rsidRDefault="00F20AEE" w:rsidP="00F20AEE">
      <w:pPr>
        <w:numPr>
          <w:ilvl w:val="0"/>
          <w:numId w:val="1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 pomočjo se spodbuja kmetijske pridelovalce, da zavarujejo svoje pridelke pred posledicami škodnih dogodkov iz prejšnjega odstavka.</w:t>
      </w:r>
    </w:p>
    <w:p w14:paraId="709644E5" w14:textId="77777777" w:rsidR="00F20AEE" w:rsidRPr="00637749" w:rsidRDefault="00F20AEE" w:rsidP="00F20AEE">
      <w:pPr>
        <w:numPr>
          <w:ilvl w:val="0"/>
          <w:numId w:val="1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Upravičeni stroški so sofinanciranje stroškov zavarovalnih premij, vključno s pripadajočim davkom od prometa zavarovalnih poslov. </w:t>
      </w:r>
    </w:p>
    <w:p w14:paraId="4FDDE5EC" w14:textId="77777777" w:rsidR="00F20AEE" w:rsidRPr="00637749" w:rsidRDefault="00F20AEE" w:rsidP="00F20AEE">
      <w:pPr>
        <w:numPr>
          <w:ilvl w:val="0"/>
          <w:numId w:val="1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Upravičenci do pomoči so kmetijska gospodarstva, vpisana v register kmetijskih gospodarstev, imajo sklenjeno zavarovalno pogodbo za tekoče leto, ki je vključena v sofinanciranje po nacionalni uredbi za tekoče leto.</w:t>
      </w:r>
    </w:p>
    <w:p w14:paraId="0ECA7BC2" w14:textId="77777777" w:rsidR="00F20AEE" w:rsidRPr="00637749" w:rsidRDefault="00F20AEE" w:rsidP="00F20AEE">
      <w:pPr>
        <w:numPr>
          <w:ilvl w:val="0"/>
          <w:numId w:val="1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Pogoji za pridobitev je veljavna zavarovalna polica, z obračunano višino nacionalnega sofinanciranja.</w:t>
      </w:r>
    </w:p>
    <w:p w14:paraId="08FA7FF8" w14:textId="77777777" w:rsidR="00F20AEE" w:rsidRPr="00637749" w:rsidRDefault="00F20AEE" w:rsidP="00F20AEE">
      <w:pPr>
        <w:numPr>
          <w:ilvl w:val="0"/>
          <w:numId w:val="1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Intenzivnost pomoči:</w:t>
      </w:r>
    </w:p>
    <w:p w14:paraId="0D0C134E"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pomoč po tem pravilniku, skupaj s pomočjo po nacionalni uredbi o sofinanciranju zavarovalnih premij za zavarovanje primarne kmetijske proizvodnje, ne sme preseči 70% stroškov zavarovalne premije.</w:t>
      </w:r>
    </w:p>
    <w:p w14:paraId="234D5262"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bCs/>
          <w:sz w:val="20"/>
          <w:szCs w:val="20"/>
          <w:lang w:eastAsia="sl-SI"/>
        </w:rPr>
      </w:pPr>
    </w:p>
    <w:p w14:paraId="2531086F" w14:textId="488AF034" w:rsidR="00F20AEE" w:rsidRPr="00637749" w:rsidRDefault="00F20AEE" w:rsidP="00F20AEE">
      <w:pPr>
        <w:spacing w:after="0" w:line="240" w:lineRule="auto"/>
        <w:jc w:val="both"/>
        <w:rPr>
          <w:rFonts w:ascii="Arial" w:eastAsia="Times New Roman" w:hAnsi="Arial" w:cs="Arial"/>
          <w:sz w:val="20"/>
          <w:szCs w:val="20"/>
          <w:lang w:eastAsia="sl-SI"/>
        </w:rPr>
      </w:pPr>
    </w:p>
    <w:p w14:paraId="152DDBA0" w14:textId="77777777" w:rsidR="008A1549" w:rsidRPr="00637749" w:rsidRDefault="008A1549" w:rsidP="00F20AEE">
      <w:pPr>
        <w:spacing w:after="0" w:line="240" w:lineRule="auto"/>
        <w:jc w:val="both"/>
        <w:rPr>
          <w:rFonts w:ascii="Arial" w:eastAsia="Times New Roman" w:hAnsi="Arial" w:cs="Arial"/>
          <w:sz w:val="20"/>
          <w:szCs w:val="20"/>
          <w:lang w:eastAsia="sl-SI"/>
        </w:rPr>
      </w:pPr>
    </w:p>
    <w:p w14:paraId="651D4537"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III. UKREPI DE MINIMIS V SKLADU Z UREDBO KOMISIJE (EU) ŠT. 1407/2013</w:t>
      </w:r>
    </w:p>
    <w:p w14:paraId="2EF54658"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p>
    <w:p w14:paraId="12985F02" w14:textId="1619A725" w:rsidR="00F20AEE" w:rsidRPr="00637749" w:rsidRDefault="00340E04"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18</w:t>
      </w:r>
      <w:r w:rsidR="00F20AEE" w:rsidRPr="00637749">
        <w:rPr>
          <w:rFonts w:ascii="Arial" w:eastAsia="Times New Roman" w:hAnsi="Arial" w:cs="Arial"/>
          <w:b/>
          <w:bCs/>
          <w:sz w:val="20"/>
          <w:szCs w:val="20"/>
          <w:lang w:eastAsia="sl-SI"/>
        </w:rPr>
        <w:t>.člen</w:t>
      </w:r>
    </w:p>
    <w:p w14:paraId="7A819CAD"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637749">
        <w:rPr>
          <w:rFonts w:ascii="Arial" w:eastAsia="Times New Roman" w:hAnsi="Arial" w:cs="Arial"/>
          <w:b/>
          <w:sz w:val="20"/>
          <w:szCs w:val="20"/>
          <w:lang w:eastAsia="sl-SI"/>
        </w:rPr>
        <w:t xml:space="preserve">(splošna določila </w:t>
      </w:r>
      <w:r w:rsidRPr="00637749">
        <w:rPr>
          <w:rFonts w:ascii="Arial" w:eastAsia="Times New Roman" w:hAnsi="Arial" w:cs="Arial"/>
          <w:b/>
          <w:i/>
          <w:iCs/>
          <w:sz w:val="20"/>
          <w:szCs w:val="20"/>
          <w:lang w:eastAsia="sl-SI"/>
        </w:rPr>
        <w:t>de minimis</w:t>
      </w:r>
      <w:r w:rsidRPr="00637749">
        <w:rPr>
          <w:rFonts w:ascii="Arial" w:eastAsia="Times New Roman" w:hAnsi="Arial" w:cs="Arial"/>
          <w:b/>
          <w:sz w:val="20"/>
          <w:szCs w:val="20"/>
          <w:lang w:eastAsia="sl-SI"/>
        </w:rPr>
        <w:t xml:space="preserve"> Uredbe Komisije (EU) št. 1407/2013)</w:t>
      </w:r>
    </w:p>
    <w:p w14:paraId="59648797"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00B297AE" w14:textId="77777777" w:rsidR="00F20AEE" w:rsidRPr="00637749" w:rsidRDefault="00F20AEE" w:rsidP="00F20AEE">
      <w:pPr>
        <w:numPr>
          <w:ilvl w:val="0"/>
          <w:numId w:val="2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Do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 xml:space="preserve"> pomoči v skladu z Uredbo Komisije (EU) št. 1407/2013 niso upravičena podjetja iz sektorjev:</w:t>
      </w:r>
    </w:p>
    <w:p w14:paraId="5E71B04C"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ribištva in akvakulture,</w:t>
      </w:r>
    </w:p>
    <w:p w14:paraId="4A853564"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primarne proizvodnje kmetijskih proizvodov iz seznama v Prilogi I k Pogodbi o delovanju Evropske unije,</w:t>
      </w:r>
    </w:p>
    <w:p w14:paraId="735E2434"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predelave in trženja kmetijskih proizvodov iz seznama v Prilogi I k Pogodbi o delovanju Evropske unije v naslednjih primerih:</w:t>
      </w:r>
    </w:p>
    <w:p w14:paraId="7D9FC7C9" w14:textId="77777777" w:rsidR="00F20AEE" w:rsidRPr="00637749" w:rsidRDefault="00F20AEE" w:rsidP="00F20AEE">
      <w:pPr>
        <w:numPr>
          <w:ilvl w:val="1"/>
          <w:numId w:val="2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če je znesek pomoči določen na podlagi cene ali količine zadevnih proizvodov, ki so kupljeni od primarnih proizvajalcev ali jih zadevna podjetja dajo na trg; </w:t>
      </w:r>
    </w:p>
    <w:p w14:paraId="75C0759C" w14:textId="77777777" w:rsidR="00F20AEE" w:rsidRPr="00637749" w:rsidRDefault="00F20AEE" w:rsidP="00F20AEE">
      <w:pPr>
        <w:numPr>
          <w:ilvl w:val="1"/>
          <w:numId w:val="2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če je pomoč pogojena s tem, da se delno ali v celoti prenese na primarne proizvajalce.</w:t>
      </w:r>
    </w:p>
    <w:p w14:paraId="736CCACB" w14:textId="77777777" w:rsidR="00F20AEE" w:rsidRPr="00637749" w:rsidRDefault="00F20AEE" w:rsidP="00F20AEE">
      <w:pPr>
        <w:numPr>
          <w:ilvl w:val="0"/>
          <w:numId w:val="2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lastRenderedPageBreak/>
        <w:t>Pomoč ne bo namenjena izvozu oziroma z izvozom povezane dejavnosti v tretje države ali države članice, kot je pomoč, neposredno povezana z izvoznimi količinami, z ustanovitvijo in delovanjem distribucijske mreže ali drugimi tekočimi izdatki, povezanimi z izvozno dejavnostjo.</w:t>
      </w:r>
    </w:p>
    <w:p w14:paraId="2FACC7F5" w14:textId="77777777" w:rsidR="00F20AEE" w:rsidRPr="00637749" w:rsidRDefault="00F20AEE" w:rsidP="00F20AEE">
      <w:pPr>
        <w:numPr>
          <w:ilvl w:val="0"/>
          <w:numId w:val="2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Pomoč ne bo pogojena s prednostno rabo domačih proizvodov pred uvoženimi.</w:t>
      </w:r>
    </w:p>
    <w:p w14:paraId="127FBF60" w14:textId="77777777" w:rsidR="00F20AEE" w:rsidRPr="00637749" w:rsidRDefault="00F20AEE" w:rsidP="00F20AEE">
      <w:pPr>
        <w:numPr>
          <w:ilvl w:val="0"/>
          <w:numId w:val="2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Do finančnih spodbud niso upravičeni tisti subjekti, ki nimajo poravnanih zapadlih obveznosti do občine ali do države.</w:t>
      </w:r>
    </w:p>
    <w:p w14:paraId="49DD7049" w14:textId="77777777" w:rsidR="00F20AEE" w:rsidRPr="00637749" w:rsidRDefault="00F20AEE" w:rsidP="00F20AEE">
      <w:pPr>
        <w:numPr>
          <w:ilvl w:val="0"/>
          <w:numId w:val="2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Do sredstev za razvoj niso upravičena mikro, majhna in srednje velika podjetja, ki so po zakonu, ki ureja prisilno poravnavo, stečaj ali likvidacijo, v prisilni poravnavi, stečaju ali likvidaciji ter so kapitalsko neustrezna, kar pomeni, da je izguba tekočega leta skupaj s prenesenimi izgubami dosegla polovico osnovnega kapitala družbe.</w:t>
      </w:r>
    </w:p>
    <w:p w14:paraId="4F297304" w14:textId="77777777" w:rsidR="00F20AEE" w:rsidRPr="00637749" w:rsidRDefault="00F20AEE" w:rsidP="00F20AEE">
      <w:pPr>
        <w:numPr>
          <w:ilvl w:val="0"/>
          <w:numId w:val="2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Skupna vrednost pomoči, dodeljena istemu upravičencu oziroma enotnemu podjetju na podlagi pravila »</w:t>
      </w:r>
      <w:r w:rsidRPr="00637749">
        <w:rPr>
          <w:rFonts w:ascii="Arial" w:eastAsia="Times New Roman" w:hAnsi="Arial" w:cs="Arial"/>
          <w:i/>
          <w:sz w:val="20"/>
          <w:szCs w:val="20"/>
          <w:lang w:eastAsia="sl-SI"/>
        </w:rPr>
        <w:t>de minimis</w:t>
      </w:r>
      <w:r w:rsidRPr="00637749">
        <w:rPr>
          <w:rFonts w:ascii="Arial" w:eastAsia="Times New Roman" w:hAnsi="Arial" w:cs="Arial"/>
          <w:iCs/>
          <w:sz w:val="20"/>
          <w:szCs w:val="20"/>
          <w:lang w:eastAsia="sl-SI"/>
        </w:rPr>
        <w:t>«</w:t>
      </w:r>
      <w:r w:rsidRPr="00637749">
        <w:rPr>
          <w:rFonts w:ascii="Arial" w:eastAsia="Times New Roman" w:hAnsi="Arial" w:cs="Arial"/>
          <w:sz w:val="20"/>
          <w:szCs w:val="20"/>
          <w:lang w:eastAsia="sl-SI"/>
        </w:rPr>
        <w:t xml:space="preserve"> v skladu z Uredbo Komisije (EU) št. 1407/2013, ne sme preseči 200.000 EUR (v primeru podjetij, ki delujejo v komercialnem cestnem tovornem prometu, znaša zgornja dovoljena meja pomoči 100.000 EUR) v obdobju zadnjih treh proračunskih let, ne glede na obliko in namen pomoči ter ne glede na to, ali se pomoč dodeli iz sredstev države, občine ali Unije.</w:t>
      </w:r>
    </w:p>
    <w:p w14:paraId="042E39C6" w14:textId="77777777" w:rsidR="00F20AEE" w:rsidRPr="00637749" w:rsidRDefault="00F20AEE" w:rsidP="00F20AEE">
      <w:pPr>
        <w:numPr>
          <w:ilvl w:val="0"/>
          <w:numId w:val="2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Če je podjetje dejavno v sektorjih iz prvega odstavka tega člena ter je poleg tega dejavno v enem ali več sektorjih, ali opravlja še druge dejavnosti, ki sodijo na področje uporabe Uredbe Komisije (EU) št. 1407/2013, se ta uredba uporablja za pomoč, dodeljeno v zvezi s slednjimi sektorji ali dejavnostmi, če podjetje na ustrezen način, kot je ločevanje dejavnosti ali razlikovanje med stroški, zagotovi, da dejavnosti v sektorjih, ki so izključeni iz področja uporabe te uredbe, ne prejemajo pomoči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xml:space="preserve"> na podlagi Uredbe Komisije (EU) št. 1407/2013.</w:t>
      </w:r>
    </w:p>
    <w:p w14:paraId="7C6B01D2"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3031CB87" w14:textId="16A0A8B1" w:rsidR="00F20AEE" w:rsidRPr="00637749" w:rsidRDefault="00340E04"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19</w:t>
      </w:r>
      <w:r w:rsidR="00F20AEE" w:rsidRPr="00637749">
        <w:rPr>
          <w:rFonts w:ascii="Arial" w:eastAsia="Times New Roman" w:hAnsi="Arial" w:cs="Arial"/>
          <w:b/>
          <w:bCs/>
          <w:sz w:val="20"/>
          <w:szCs w:val="20"/>
          <w:lang w:eastAsia="sl-SI"/>
        </w:rPr>
        <w:t>. člen</w:t>
      </w:r>
    </w:p>
    <w:p w14:paraId="0159C5CD"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637749">
        <w:rPr>
          <w:rFonts w:ascii="Arial" w:eastAsia="Times New Roman" w:hAnsi="Arial" w:cs="Arial"/>
          <w:b/>
          <w:sz w:val="20"/>
          <w:szCs w:val="20"/>
          <w:lang w:eastAsia="sl-SI"/>
        </w:rPr>
        <w:t xml:space="preserve">(kumulacija </w:t>
      </w:r>
      <w:r w:rsidRPr="00637749">
        <w:rPr>
          <w:rFonts w:ascii="Arial" w:eastAsia="Times New Roman" w:hAnsi="Arial" w:cs="Arial"/>
          <w:b/>
          <w:i/>
          <w:iCs/>
          <w:sz w:val="20"/>
          <w:szCs w:val="20"/>
          <w:lang w:eastAsia="sl-SI"/>
        </w:rPr>
        <w:t>de minimis</w:t>
      </w:r>
      <w:r w:rsidRPr="00637749">
        <w:rPr>
          <w:rFonts w:ascii="Arial" w:eastAsia="Times New Roman" w:hAnsi="Arial" w:cs="Arial"/>
          <w:b/>
          <w:sz w:val="20"/>
          <w:szCs w:val="20"/>
          <w:lang w:eastAsia="sl-SI"/>
        </w:rPr>
        <w:t xml:space="preserve"> pomoči)</w:t>
      </w:r>
    </w:p>
    <w:p w14:paraId="6C05EF16"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sz w:val="20"/>
          <w:szCs w:val="20"/>
          <w:lang w:eastAsia="sl-SI"/>
        </w:rPr>
      </w:pPr>
    </w:p>
    <w:p w14:paraId="3AB1FFE0" w14:textId="77777777" w:rsidR="00F20AEE" w:rsidRPr="00637749" w:rsidRDefault="00F20AEE" w:rsidP="00F20AEE">
      <w:pPr>
        <w:numPr>
          <w:ilvl w:val="0"/>
          <w:numId w:val="2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Pomoč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 xml:space="preserve"> se ne sme kumulirati z državno pomočjo v zvezi z istimi upravičenimi stroški ali državno pomočjo za isti ukrep za financiranje tveganja, če bi se s takšno kumulacijo presegla največja intenzivnost pomoči ali znesek pomoči.</w:t>
      </w:r>
    </w:p>
    <w:p w14:paraId="59B21482" w14:textId="77777777" w:rsidR="00F20AEE" w:rsidRPr="00637749" w:rsidRDefault="00F20AEE" w:rsidP="00F20AEE">
      <w:pPr>
        <w:numPr>
          <w:ilvl w:val="0"/>
          <w:numId w:val="2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Pomoč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xml:space="preserve">, dodeljena v skladu z Uredbo Komisije (EU) št. 1407/2013, se lahko kumulira s pomočjo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dodeljeno v skladu z Uredbo Komisije (EU) št. 360/2012 do zgornje meje, določene v uredbi št. 360/2012.</w:t>
      </w:r>
    </w:p>
    <w:p w14:paraId="1FC99ACB" w14:textId="77777777" w:rsidR="00F20AEE" w:rsidRPr="00637749" w:rsidRDefault="00F20AEE" w:rsidP="00F20AEE">
      <w:pPr>
        <w:numPr>
          <w:ilvl w:val="0"/>
          <w:numId w:val="2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Pomoč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xml:space="preserve">, dodeljena v skladu z Uredbo Komisije (EU) št. 1407/2013, se lahko kumulira s pomočjo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xml:space="preserve">, dodeljeno v skladu z drugimi uredbami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xml:space="preserve"> do zgornje ustrezne meje (200.000 oziroma 100.000 EUR).</w:t>
      </w:r>
    </w:p>
    <w:p w14:paraId="14440FE0"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1221CBB6" w14:textId="070E72CD"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2</w:t>
      </w:r>
      <w:r w:rsidR="00340E04">
        <w:rPr>
          <w:rFonts w:ascii="Arial" w:eastAsia="Times New Roman" w:hAnsi="Arial" w:cs="Arial"/>
          <w:b/>
          <w:bCs/>
          <w:sz w:val="20"/>
          <w:szCs w:val="20"/>
          <w:lang w:eastAsia="sl-SI"/>
        </w:rPr>
        <w:t>0</w:t>
      </w:r>
      <w:r w:rsidRPr="00637749">
        <w:rPr>
          <w:rFonts w:ascii="Arial" w:eastAsia="Times New Roman" w:hAnsi="Arial" w:cs="Arial"/>
          <w:b/>
          <w:bCs/>
          <w:sz w:val="20"/>
          <w:szCs w:val="20"/>
          <w:lang w:eastAsia="sl-SI"/>
        </w:rPr>
        <w:t>. člen</w:t>
      </w:r>
    </w:p>
    <w:p w14:paraId="3590B599" w14:textId="77777777"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Cs/>
          <w:sz w:val="20"/>
          <w:szCs w:val="20"/>
          <w:lang w:eastAsia="sl-SI"/>
        </w:rPr>
      </w:pPr>
      <w:r w:rsidRPr="00637749">
        <w:rPr>
          <w:rFonts w:ascii="Arial" w:eastAsia="Times New Roman" w:hAnsi="Arial" w:cs="Arial"/>
          <w:b/>
          <w:bCs/>
          <w:sz w:val="20"/>
          <w:szCs w:val="20"/>
          <w:lang w:eastAsia="sl-SI"/>
        </w:rPr>
        <w:t>(obveznosti prejemnika do pomoči in občine)</w:t>
      </w:r>
    </w:p>
    <w:p w14:paraId="0B937611" w14:textId="77777777" w:rsidR="00F20AEE" w:rsidRPr="00637749" w:rsidRDefault="00F20AEE" w:rsidP="00F20AEE">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Prejemnik podpore mora imeti za nakazilo dodeljenih sredstev odprt transakcijski račun v Republiki Sloveniji.</w:t>
      </w:r>
    </w:p>
    <w:p w14:paraId="33252898" w14:textId="77777777" w:rsidR="00F20AEE" w:rsidRPr="00637749" w:rsidRDefault="00F20AEE" w:rsidP="00F20AEE">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Prejemnik mora k vlogi predložiti:</w:t>
      </w:r>
    </w:p>
    <w:p w14:paraId="33930E76"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bCs/>
          <w:sz w:val="20"/>
          <w:szCs w:val="20"/>
          <w:lang w:eastAsia="sl-SI"/>
        </w:rPr>
        <w:t xml:space="preserve">pisno izjavo o vseh drugih pomočeh </w:t>
      </w:r>
      <w:r w:rsidRPr="00637749">
        <w:rPr>
          <w:rFonts w:ascii="Arial" w:eastAsia="Times New Roman" w:hAnsi="Arial" w:cs="Arial"/>
          <w:bCs/>
          <w:i/>
          <w:iCs/>
          <w:sz w:val="20"/>
          <w:szCs w:val="20"/>
          <w:lang w:eastAsia="sl-SI"/>
        </w:rPr>
        <w:t>de minimis</w:t>
      </w:r>
      <w:r w:rsidRPr="00637749">
        <w:rPr>
          <w:rFonts w:ascii="Arial" w:eastAsia="Times New Roman" w:hAnsi="Arial" w:cs="Arial"/>
          <w:bCs/>
          <w:sz w:val="20"/>
          <w:szCs w:val="20"/>
          <w:lang w:eastAsia="sl-SI"/>
        </w:rPr>
        <w:t xml:space="preserve">, ki jih je upravičenec oziroma enotno podjetje prejelo na podlagi te ali drugih odredb </w:t>
      </w:r>
      <w:r w:rsidRPr="00637749">
        <w:rPr>
          <w:rFonts w:ascii="Arial" w:eastAsia="Times New Roman" w:hAnsi="Arial" w:cs="Arial"/>
          <w:bCs/>
          <w:i/>
          <w:iCs/>
          <w:sz w:val="20"/>
          <w:szCs w:val="20"/>
          <w:lang w:eastAsia="sl-SI"/>
        </w:rPr>
        <w:t>de minimis</w:t>
      </w:r>
      <w:r w:rsidRPr="00637749">
        <w:rPr>
          <w:rFonts w:ascii="Arial" w:eastAsia="Times New Roman" w:hAnsi="Arial" w:cs="Arial"/>
          <w:bCs/>
          <w:sz w:val="20"/>
          <w:szCs w:val="20"/>
          <w:lang w:eastAsia="sl-SI"/>
        </w:rPr>
        <w:t xml:space="preserve"> v predhodnih dveh in v tekočem proračunskem letu,</w:t>
      </w:r>
    </w:p>
    <w:p w14:paraId="2B9E8409"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sz w:val="20"/>
          <w:szCs w:val="20"/>
          <w:lang w:eastAsia="sl-SI"/>
        </w:rPr>
        <w:t xml:space="preserve">pisno izjavo o drugih že prejetih (ali zaprošenih) pomočeh za iste upravičene stroške in zagotovilo, da z dodeljenim zneskom pomoči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xml:space="preserve">, ne bo presežena zgornja meja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xml:space="preserve"> pomoči ter intenzivnost pomoči po drugih predpisih;</w:t>
      </w:r>
    </w:p>
    <w:p w14:paraId="7B3C0576"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sz w:val="20"/>
          <w:szCs w:val="20"/>
          <w:lang w:eastAsia="sl-SI"/>
        </w:rPr>
        <w:t xml:space="preserve">seznam podjetij, s katerimi je lastniško povezan, tako da se preveri skupen znesek že prejetih </w:t>
      </w:r>
      <w:r w:rsidRPr="00637749">
        <w:rPr>
          <w:rFonts w:ascii="Arial" w:eastAsia="Times New Roman" w:hAnsi="Arial" w:cs="Arial"/>
          <w:i/>
          <w:sz w:val="20"/>
          <w:szCs w:val="20"/>
          <w:lang w:eastAsia="sl-SI"/>
        </w:rPr>
        <w:t>de minimis</w:t>
      </w:r>
      <w:r w:rsidRPr="00637749">
        <w:rPr>
          <w:rFonts w:ascii="Arial" w:eastAsia="Times New Roman" w:hAnsi="Arial" w:cs="Arial"/>
          <w:sz w:val="20"/>
          <w:szCs w:val="20"/>
          <w:lang w:eastAsia="sl-SI"/>
        </w:rPr>
        <w:t xml:space="preserve"> pomoči za vsa, z njim povezana podjetja;</w:t>
      </w:r>
    </w:p>
    <w:p w14:paraId="48AA88E9"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637749">
        <w:rPr>
          <w:rFonts w:ascii="Arial" w:eastAsia="Times New Roman" w:hAnsi="Arial" w:cs="Arial"/>
          <w:sz w:val="20"/>
          <w:szCs w:val="20"/>
          <w:lang w:eastAsia="sl-SI"/>
        </w:rPr>
        <w:t xml:space="preserve">izjavo o ločitvi dejavnosti oziroma stroškov, vezano na določilo sedmega odstavka 18. člena tega pravilnika. </w:t>
      </w:r>
    </w:p>
    <w:p w14:paraId="51533506" w14:textId="77777777" w:rsidR="00F20AEE" w:rsidRPr="00637749" w:rsidRDefault="00F20AEE" w:rsidP="00F20AEE">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Občina bo s sklepom/odločbo pisno obvestila prejemnika, </w:t>
      </w:r>
    </w:p>
    <w:p w14:paraId="002613F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o odobrenem znesku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 xml:space="preserve"> pomoči, in da je pomoč dodeljena po pravilu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 xml:space="preserve"> v skladu z Uredbo Komisije (EU) št. 1407/2013.</w:t>
      </w:r>
    </w:p>
    <w:p w14:paraId="4FD92DC5" w14:textId="77777777" w:rsidR="00F20AEE" w:rsidRPr="00637749" w:rsidRDefault="00F20AEE" w:rsidP="00F20AEE">
      <w:pPr>
        <w:numPr>
          <w:ilvl w:val="0"/>
          <w:numId w:val="24"/>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Dajalec pomoči mora hraniti evidence o individualni pomoči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 xml:space="preserve"> 10 let od datuma odobritve pomoči.</w:t>
      </w:r>
    </w:p>
    <w:p w14:paraId="59BDB123"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5D417A62" w14:textId="2C46D4E0" w:rsidR="00F20AEE" w:rsidRPr="00637749" w:rsidRDefault="00F20AEE"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2</w:t>
      </w:r>
      <w:r w:rsidR="00340E04">
        <w:rPr>
          <w:rFonts w:ascii="Arial" w:eastAsia="Times New Roman" w:hAnsi="Arial" w:cs="Arial"/>
          <w:b/>
          <w:bCs/>
          <w:sz w:val="20"/>
          <w:szCs w:val="20"/>
          <w:lang w:eastAsia="sl-SI"/>
        </w:rPr>
        <w:t>1</w:t>
      </w:r>
      <w:r w:rsidRPr="00637749">
        <w:rPr>
          <w:rFonts w:ascii="Arial" w:eastAsia="Times New Roman" w:hAnsi="Arial" w:cs="Arial"/>
          <w:b/>
          <w:bCs/>
          <w:sz w:val="20"/>
          <w:szCs w:val="20"/>
          <w:lang w:eastAsia="sl-SI"/>
        </w:rPr>
        <w:t>. člen</w:t>
      </w:r>
    </w:p>
    <w:p w14:paraId="21901CF9" w14:textId="3AFE4227" w:rsidR="00F20AEE" w:rsidRPr="00637749" w:rsidRDefault="00F20AEE" w:rsidP="00F20AEE">
      <w:pPr>
        <w:tabs>
          <w:tab w:val="left" w:pos="1134"/>
        </w:tabs>
        <w:overflowPunct w:val="0"/>
        <w:autoSpaceDE w:val="0"/>
        <w:autoSpaceDN w:val="0"/>
        <w:adjustRightInd w:val="0"/>
        <w:spacing w:after="0" w:line="240" w:lineRule="auto"/>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UKREP</w:t>
      </w:r>
      <w:r w:rsidR="00637749">
        <w:rPr>
          <w:rFonts w:ascii="Arial" w:eastAsia="Times New Roman" w:hAnsi="Arial" w:cs="Arial"/>
          <w:b/>
          <w:bCs/>
          <w:sz w:val="20"/>
          <w:szCs w:val="20"/>
          <w:lang w:eastAsia="sl-SI"/>
        </w:rPr>
        <w:t>4</w:t>
      </w:r>
      <w:r w:rsidRPr="00637749">
        <w:rPr>
          <w:rFonts w:ascii="Arial" w:eastAsia="Times New Roman" w:hAnsi="Arial" w:cs="Arial"/>
          <w:b/>
          <w:bCs/>
          <w:sz w:val="20"/>
          <w:szCs w:val="20"/>
          <w:lang w:eastAsia="sl-SI"/>
        </w:rPr>
        <w:t>: Pomoč za naložbe v predelavo in trženje kmetijskih in živilskih proizvodov ter naložbe v nekmetijsko dejavnost na kmetiji</w:t>
      </w:r>
    </w:p>
    <w:p w14:paraId="30B43FBE" w14:textId="77777777" w:rsidR="00F20AEE" w:rsidRPr="00637749" w:rsidRDefault="00F20AEE" w:rsidP="00F20AEE">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0DFE3A36" w14:textId="77777777" w:rsidR="00F20AEE" w:rsidRPr="00637749" w:rsidRDefault="00F20AEE" w:rsidP="00F20AEE">
      <w:pPr>
        <w:numPr>
          <w:ilvl w:val="0"/>
          <w:numId w:val="2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Cilj ukrepa je diverzifikacija dejavnosti na kmetijskih gospodarstvih v predelavo in trženje kmetijskih in živilskih proizvodov ter širjenje nekmetijskih dejavnosti na kmetijskih gospodarstvih. Z ukrepom se želi ustvariti pogoje </w:t>
      </w:r>
      <w:r w:rsidRPr="00637749">
        <w:rPr>
          <w:rFonts w:ascii="Arial" w:eastAsia="Times New Roman" w:hAnsi="Arial" w:cs="Arial"/>
          <w:sz w:val="20"/>
          <w:szCs w:val="20"/>
          <w:lang w:eastAsia="sl-SI"/>
        </w:rPr>
        <w:lastRenderedPageBreak/>
        <w:t>in možnosti za ohranjanje obstoječih in ustvarjanje novih delovnih mest, izboljšanje dohodkovnega položaja in utrjevanje tržnega položaja kmetijskih gospodarstev.</w:t>
      </w:r>
    </w:p>
    <w:p w14:paraId="6D0BE974" w14:textId="77777777" w:rsidR="00F20AEE" w:rsidRPr="00637749" w:rsidRDefault="00F20AEE" w:rsidP="00F20AEE">
      <w:pPr>
        <w:numPr>
          <w:ilvl w:val="0"/>
          <w:numId w:val="2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Predmet podpore so naložbe za:</w:t>
      </w:r>
    </w:p>
    <w:p w14:paraId="7D07FE0C"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predelava kmetijskih proizvodov, zelišč in gozdnih sadežev,</w:t>
      </w:r>
    </w:p>
    <w:p w14:paraId="36AA1CC1"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neposredna prodaja kmetijskih proizvodov na kmetijah in izven kmetije,</w:t>
      </w:r>
    </w:p>
    <w:p w14:paraId="371DDE79"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turizem na kmetiji (gostinska in negostinska dejavnost po Uredbi o dopolnilnih dejavnosti na kmetiji),</w:t>
      </w:r>
    </w:p>
    <w:p w14:paraId="0FEC90F1"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dejavnosti povezane s tradicionalnimi znanji na kmetiji (glede na vrste dopolnilnih dejavnosti na kmetiji po Uredbi o dopolnilnih dejavnosti na kmetiji).</w:t>
      </w:r>
    </w:p>
    <w:p w14:paraId="01811DE2" w14:textId="77777777" w:rsidR="00F20AEE" w:rsidRPr="00637749" w:rsidRDefault="00F20AEE" w:rsidP="00F20AEE">
      <w:pPr>
        <w:numPr>
          <w:ilvl w:val="0"/>
          <w:numId w:val="2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Upravičenci do pomoči: </w:t>
      </w:r>
    </w:p>
    <w:p w14:paraId="516420A5"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kmetijska gospodarstva, ki se glede na registracijo dejavnosti ukvarjajo s predelavo in trženjem oziroma z nekmetijskimi dejavnostmi, s sedežem dejavnosti in naložbo na območju občine.</w:t>
      </w:r>
    </w:p>
    <w:p w14:paraId="094546F8" w14:textId="77777777" w:rsidR="00F20AEE" w:rsidRPr="00637749" w:rsidRDefault="00F20AEE" w:rsidP="00F20AEE">
      <w:pPr>
        <w:numPr>
          <w:ilvl w:val="0"/>
          <w:numId w:val="2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Višina pomoči - bruto intenzivnost pomoči:</w:t>
      </w:r>
    </w:p>
    <w:p w14:paraId="41C03BAF"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do 50% upravičenih stroškov. Višina sredstev se določi z javnim razpisom;</w:t>
      </w:r>
    </w:p>
    <w:p w14:paraId="06BE8D22"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ne glede na določilo iz prejšnje alineje se pomoč ustrezno zniža, če bi z odobreno pomočjo presegli skupni znesek pomoči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w:t>
      </w:r>
    </w:p>
    <w:p w14:paraId="5738FBAF" w14:textId="77777777" w:rsidR="00F20AEE" w:rsidRPr="00637749" w:rsidRDefault="00F20AEE" w:rsidP="00F20AEE">
      <w:pPr>
        <w:numPr>
          <w:ilvl w:val="0"/>
          <w:numId w:val="2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Pogoji:</w:t>
      </w:r>
    </w:p>
    <w:p w14:paraId="401C5A77"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dovoljenje za opravljanje dejavnosti na kmetijskem gospodarstvu;</w:t>
      </w:r>
    </w:p>
    <w:p w14:paraId="1AC764A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dokazilo o registraciji dejavnosti, v kolikor upravičenec pomoči še nima dovoljenja za opravljanje dejavnosti; </w:t>
      </w:r>
    </w:p>
    <w:p w14:paraId="6E6DBB00"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dejavnost na kmetiji se mora izvajati vsaj pet let po zaključeni naložbi;  </w:t>
      </w:r>
    </w:p>
    <w:p w14:paraId="02ABE8C3"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predložitev ustreznega dovoljenja za izvedbo investicije, če je s predpisi s področja gradnje objektov to potrebno;</w:t>
      </w:r>
    </w:p>
    <w:p w14:paraId="180D3AC3"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projektno dokumentacijo za izvedbo naložbe ter dokazila o teh stroških, kadar so upravičeni do sofinanciranja;</w:t>
      </w:r>
    </w:p>
    <w:p w14:paraId="4E940DFA"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poslovni načrt za izvedbo naložbe s predračunom stroškov;</w:t>
      </w:r>
    </w:p>
    <w:p w14:paraId="20E91713"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drugi pogoji, opredeljeni z javnim razpisom.</w:t>
      </w:r>
    </w:p>
    <w:p w14:paraId="2926F2EB" w14:textId="77777777" w:rsidR="00F20AEE" w:rsidRPr="00637749" w:rsidRDefault="00F20AEE" w:rsidP="00F20AEE">
      <w:pPr>
        <w:numPr>
          <w:ilvl w:val="0"/>
          <w:numId w:val="2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Upravičeni stroški:</w:t>
      </w:r>
    </w:p>
    <w:p w14:paraId="5641F1FE"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stroški izdelave projektne dokumentacije za naložbe v predelavo in trženje kmetijskih in živilskih proizvodov ter naložbe v nekmetijske dejavnosti na kmetiji;</w:t>
      </w:r>
    </w:p>
    <w:p w14:paraId="3AED8832"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stroški gradnje ali obnove objekta za dejavnosti predelave in trženja kmetijskih proizvodov ter nekmetijske dejavnosti na kmetiji; </w:t>
      </w:r>
    </w:p>
    <w:p w14:paraId="458EC7B8"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stroški nakupa opreme in naprav za dejavnosti predelave in trženja na kmetijah ter nekmetijske dejavnosti.</w:t>
      </w:r>
    </w:p>
    <w:p w14:paraId="1190CAB8" w14:textId="77777777" w:rsidR="00F20AEE" w:rsidRPr="00637749" w:rsidRDefault="00F20AEE" w:rsidP="00F20AEE">
      <w:pPr>
        <w:numPr>
          <w:ilvl w:val="0"/>
          <w:numId w:val="2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Neupravičeni stroški:</w:t>
      </w:r>
    </w:p>
    <w:p w14:paraId="7ABDA565"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plačila davkov, raznih taks in režijskih stroškov;</w:t>
      </w:r>
    </w:p>
    <w:p w14:paraId="587F0881"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stroški zavarovanj, plačila obresti;</w:t>
      </w:r>
    </w:p>
    <w:p w14:paraId="1C761D99"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vse investicije, ki se izvajajo izven občine.</w:t>
      </w:r>
    </w:p>
    <w:p w14:paraId="7A5A3D29" w14:textId="77777777" w:rsidR="00F20AEE" w:rsidRPr="00637749" w:rsidRDefault="00F20AEE" w:rsidP="00F20AEE">
      <w:pPr>
        <w:spacing w:after="0" w:line="240" w:lineRule="auto"/>
        <w:contextualSpacing/>
        <w:jc w:val="both"/>
        <w:rPr>
          <w:rFonts w:ascii="Arial" w:eastAsia="Times New Roman" w:hAnsi="Arial" w:cs="Arial"/>
          <w:sz w:val="20"/>
          <w:szCs w:val="20"/>
          <w:lang w:eastAsia="sl-SI"/>
        </w:rPr>
      </w:pPr>
    </w:p>
    <w:p w14:paraId="0D59C2C4" w14:textId="77777777" w:rsidR="003F2A11" w:rsidRPr="00637749" w:rsidRDefault="003F2A11"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p>
    <w:p w14:paraId="72E95224" w14:textId="5CF21BD2" w:rsidR="00F20AEE" w:rsidRPr="00637749" w:rsidRDefault="00340E04" w:rsidP="00F20AEE">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22</w:t>
      </w:r>
      <w:r w:rsidR="00F20AEE" w:rsidRPr="00637749">
        <w:rPr>
          <w:rFonts w:ascii="Arial" w:eastAsia="Times New Roman" w:hAnsi="Arial" w:cs="Arial"/>
          <w:b/>
          <w:bCs/>
          <w:sz w:val="20"/>
          <w:szCs w:val="20"/>
          <w:lang w:eastAsia="sl-SI"/>
        </w:rPr>
        <w:t>. člen</w:t>
      </w:r>
    </w:p>
    <w:p w14:paraId="522F898B" w14:textId="7CF8E1E5" w:rsidR="00F20AEE" w:rsidRPr="00637749" w:rsidRDefault="00F20AEE" w:rsidP="00F20AEE">
      <w:pPr>
        <w:tabs>
          <w:tab w:val="left" w:pos="1134"/>
        </w:tabs>
        <w:overflowPunct w:val="0"/>
        <w:autoSpaceDE w:val="0"/>
        <w:autoSpaceDN w:val="0"/>
        <w:adjustRightInd w:val="0"/>
        <w:spacing w:after="0" w:line="240" w:lineRule="auto"/>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 xml:space="preserve">UKREP </w:t>
      </w:r>
      <w:r w:rsidR="00637749">
        <w:rPr>
          <w:rFonts w:ascii="Arial" w:eastAsia="Times New Roman" w:hAnsi="Arial" w:cs="Arial"/>
          <w:b/>
          <w:bCs/>
          <w:sz w:val="20"/>
          <w:szCs w:val="20"/>
          <w:lang w:eastAsia="sl-SI"/>
        </w:rPr>
        <w:t>5</w:t>
      </w:r>
      <w:r w:rsidRPr="00637749">
        <w:rPr>
          <w:rFonts w:ascii="Arial" w:eastAsia="Times New Roman" w:hAnsi="Arial" w:cs="Arial"/>
          <w:b/>
          <w:bCs/>
          <w:sz w:val="20"/>
          <w:szCs w:val="20"/>
          <w:lang w:eastAsia="sl-SI"/>
        </w:rPr>
        <w:t>: Pomoč za izobraževanje in usposabljanje na področju dopolnilnih in nekmetijskih dejavnosti na kmetiji ter predelave in trženja</w:t>
      </w:r>
    </w:p>
    <w:p w14:paraId="04BC7EE1" w14:textId="77777777" w:rsidR="00F20AEE" w:rsidRPr="00637749" w:rsidRDefault="00F20AEE" w:rsidP="00F20AEE">
      <w:pPr>
        <w:spacing w:after="0" w:line="240" w:lineRule="auto"/>
        <w:rPr>
          <w:rFonts w:ascii="Arial" w:eastAsia="Times New Roman" w:hAnsi="Arial" w:cs="Arial"/>
          <w:sz w:val="20"/>
          <w:szCs w:val="20"/>
          <w:lang w:eastAsia="sl-SI"/>
        </w:rPr>
      </w:pPr>
    </w:p>
    <w:p w14:paraId="4E5C27FF" w14:textId="77777777" w:rsidR="00F20AEE" w:rsidRPr="00637749" w:rsidRDefault="00F20AEE" w:rsidP="00F20AEE">
      <w:pPr>
        <w:numPr>
          <w:ilvl w:val="0"/>
          <w:numId w:val="2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Cilj pomoči je doseganje višje ravni strokovne izobraženosti in usposobljenosti kmetov in njihovih članov s področja nekmetijskih dejavnosti na kmetiji ter predelave in  trženja kmetijskih proizvodov ki niso proizvodi primarne kmetijske proizvodnje.</w:t>
      </w:r>
    </w:p>
    <w:p w14:paraId="40774C8F" w14:textId="77777777" w:rsidR="00F20AEE" w:rsidRPr="00637749" w:rsidRDefault="00F20AEE" w:rsidP="00F20AEE">
      <w:pPr>
        <w:numPr>
          <w:ilvl w:val="0"/>
          <w:numId w:val="2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Upravičenci do pomoči: </w:t>
      </w:r>
    </w:p>
    <w:p w14:paraId="3BC0EB82"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pravne in fizične osebe ter njihovi družinski člani, ki se ukvarjajo z nekmetijsko dejavnostjo ter predelavo ali trženjem na kmetijskem gospodarstvu, ki je vpisano v register kmetijskih gospodarstev in ima sedež na območju občine.</w:t>
      </w:r>
    </w:p>
    <w:p w14:paraId="7317A0BB" w14:textId="77777777" w:rsidR="00F20AEE" w:rsidRPr="00637749" w:rsidRDefault="00F20AEE" w:rsidP="00F20AEE">
      <w:pPr>
        <w:numPr>
          <w:ilvl w:val="0"/>
          <w:numId w:val="2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Višina pomoči – bruto intenzivnost pomoči:</w:t>
      </w:r>
    </w:p>
    <w:p w14:paraId="6C7E2336"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do 100 % upravičenih stroškov;</w:t>
      </w:r>
    </w:p>
    <w:p w14:paraId="3E19C36E"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ne glede na določilo iz prejšnje alineje se pomoč ustrezno zniža, če bi z odobreno pomočjo presegli skupni znesek </w:t>
      </w:r>
      <w:r w:rsidRPr="00637749">
        <w:rPr>
          <w:rFonts w:ascii="Arial" w:eastAsia="Times New Roman" w:hAnsi="Arial" w:cs="Arial"/>
          <w:i/>
          <w:iCs/>
          <w:sz w:val="20"/>
          <w:szCs w:val="20"/>
          <w:lang w:eastAsia="sl-SI"/>
        </w:rPr>
        <w:t xml:space="preserve">de minimis </w:t>
      </w:r>
      <w:r w:rsidRPr="00637749">
        <w:rPr>
          <w:rFonts w:ascii="Arial" w:eastAsia="Times New Roman" w:hAnsi="Arial" w:cs="Arial"/>
          <w:sz w:val="20"/>
          <w:szCs w:val="20"/>
          <w:lang w:eastAsia="sl-SI"/>
        </w:rPr>
        <w:t>pomoči.</w:t>
      </w:r>
    </w:p>
    <w:p w14:paraId="7D6B33B1" w14:textId="77777777" w:rsidR="00F20AEE" w:rsidRPr="00637749" w:rsidRDefault="00F20AEE" w:rsidP="00F20AEE">
      <w:pPr>
        <w:numPr>
          <w:ilvl w:val="0"/>
          <w:numId w:val="2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Pogoji za pridobitev sredstev: </w:t>
      </w:r>
    </w:p>
    <w:p w14:paraId="14AAFA40"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račun oziroma dokazila o plačilu stroškov, za katere se uveljavlja pomoč;</w:t>
      </w:r>
    </w:p>
    <w:p w14:paraId="7E4F20EB"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program izobraževanja oziroma usposabljanja povezanega z nekmetijskimi dejavnostmi na kmetiji, predelavo ali trženjem kmetijskih proizvodov;</w:t>
      </w:r>
    </w:p>
    <w:p w14:paraId="3CAED600"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drugi pogoji, opredeljeni z javnim razpisom.</w:t>
      </w:r>
    </w:p>
    <w:p w14:paraId="1A5496F1" w14:textId="77777777" w:rsidR="00F20AEE" w:rsidRPr="00637749" w:rsidRDefault="00F20AEE" w:rsidP="00F20AEE">
      <w:pPr>
        <w:numPr>
          <w:ilvl w:val="0"/>
          <w:numId w:val="26"/>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Upravičeni stroški:</w:t>
      </w:r>
    </w:p>
    <w:p w14:paraId="3A2F6654"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lastRenderedPageBreak/>
        <w:t>stroški kotizacije in šolnin za tečaje, seminarje, predavanja in strokovne ekskurzije povezane z nekmetijskimi dejavnostmi ter predelavo in trženjem kmetijskih proizvodov;</w:t>
      </w:r>
    </w:p>
    <w:p w14:paraId="477588FF"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stroški prevoza in stroški vstopnin za strokovne oglede, povezane z nekmetijskimi dejavnostmi ter predelavo in trženjem kmetijskih proizvodov;</w:t>
      </w:r>
    </w:p>
    <w:p w14:paraId="0315685F" w14:textId="77777777" w:rsidR="00F20AEE" w:rsidRPr="00637749" w:rsidRDefault="00F20AEE" w:rsidP="00F20AEE">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stroški strokovnih gradiv, pomembnih za izobraževanje in usposabljanje povezano z  nekmetijskimi dejavnostmi ter predelavo in trženjem kmetijskih proizvodov;</w:t>
      </w:r>
    </w:p>
    <w:p w14:paraId="6751ADCC" w14:textId="67FDA0D1" w:rsidR="00A607CF" w:rsidRPr="00637749" w:rsidRDefault="00A607CF" w:rsidP="00A607CF">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stroški udeležbe na sejmih, povezanih z nekmetijskimi dejavnostmi ter predelavo in trženjem kmetijskih proizvodov.</w:t>
      </w:r>
    </w:p>
    <w:p w14:paraId="080F6F96" w14:textId="77777777" w:rsidR="00EF68F5" w:rsidRPr="00637749" w:rsidRDefault="00EF68F5" w:rsidP="00A607CF">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p>
    <w:p w14:paraId="4A30E193" w14:textId="77777777" w:rsidR="00A607CF" w:rsidRPr="00637749" w:rsidRDefault="00A607CF" w:rsidP="00A607CF">
      <w:pPr>
        <w:spacing w:after="0" w:line="240" w:lineRule="auto"/>
        <w:jc w:val="both"/>
        <w:rPr>
          <w:rFonts w:ascii="Arial" w:eastAsia="Times New Roman" w:hAnsi="Arial" w:cs="Arial"/>
          <w:bCs/>
          <w:sz w:val="20"/>
          <w:szCs w:val="20"/>
          <w:lang w:eastAsia="sl-SI"/>
        </w:rPr>
      </w:pPr>
    </w:p>
    <w:p w14:paraId="66674A0B" w14:textId="1175F508" w:rsidR="00A607CF" w:rsidRPr="00637749" w:rsidRDefault="00BC2450"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I</w:t>
      </w:r>
      <w:r w:rsidR="00A607CF" w:rsidRPr="00637749">
        <w:rPr>
          <w:rFonts w:ascii="Arial" w:eastAsia="Times New Roman" w:hAnsi="Arial" w:cs="Arial"/>
          <w:b/>
          <w:bCs/>
          <w:sz w:val="20"/>
          <w:szCs w:val="20"/>
          <w:lang w:eastAsia="sl-SI"/>
        </w:rPr>
        <w:t>V. NAČIN DODELJEVANJA POMOČI</w:t>
      </w:r>
    </w:p>
    <w:p w14:paraId="23906FA0" w14:textId="77777777"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p>
    <w:p w14:paraId="7717089D" w14:textId="6B638066"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2</w:t>
      </w:r>
      <w:r w:rsidR="00340E04">
        <w:rPr>
          <w:rFonts w:ascii="Arial" w:eastAsia="Times New Roman" w:hAnsi="Arial" w:cs="Arial"/>
          <w:b/>
          <w:bCs/>
          <w:sz w:val="20"/>
          <w:szCs w:val="20"/>
          <w:lang w:eastAsia="sl-SI"/>
        </w:rPr>
        <w:t>3</w:t>
      </w:r>
      <w:r w:rsidRPr="00637749">
        <w:rPr>
          <w:rFonts w:ascii="Arial" w:eastAsia="Times New Roman" w:hAnsi="Arial" w:cs="Arial"/>
          <w:b/>
          <w:bCs/>
          <w:sz w:val="20"/>
          <w:szCs w:val="20"/>
          <w:lang w:eastAsia="sl-SI"/>
        </w:rPr>
        <w:t>. člen</w:t>
      </w:r>
    </w:p>
    <w:p w14:paraId="49B277C7" w14:textId="77777777" w:rsidR="00A607CF" w:rsidRPr="00637749" w:rsidRDefault="00A607CF" w:rsidP="00A607CF">
      <w:pPr>
        <w:numPr>
          <w:ilvl w:val="0"/>
          <w:numId w:val="2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Sredstva pomoči se dodeljujejo na podlagi javnega razpisa, v skladu s tem pravilnikom in predpisi, ki urejajo izvrševanje proračuna.</w:t>
      </w:r>
    </w:p>
    <w:p w14:paraId="5EA9FA2A" w14:textId="77777777" w:rsidR="00A607CF" w:rsidRPr="00637749" w:rsidRDefault="00A607CF" w:rsidP="00A607CF">
      <w:pPr>
        <w:numPr>
          <w:ilvl w:val="0"/>
          <w:numId w:val="2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V javnem razpisu se podrobneje določijo merila in kriteriji za dodeljevanje državnih pomoči in pomoči </w:t>
      </w:r>
      <w:r w:rsidRPr="00637749">
        <w:rPr>
          <w:rFonts w:ascii="Arial" w:eastAsia="Times New Roman" w:hAnsi="Arial" w:cs="Arial"/>
          <w:i/>
          <w:iCs/>
          <w:sz w:val="20"/>
          <w:szCs w:val="20"/>
          <w:lang w:eastAsia="sl-SI"/>
        </w:rPr>
        <w:t>de minimis</w:t>
      </w:r>
      <w:r w:rsidRPr="00637749">
        <w:rPr>
          <w:rFonts w:ascii="Arial" w:eastAsia="Times New Roman" w:hAnsi="Arial" w:cs="Arial"/>
          <w:sz w:val="20"/>
          <w:szCs w:val="20"/>
          <w:lang w:eastAsia="sl-SI"/>
        </w:rPr>
        <w:t xml:space="preserve"> ter zahtevana dokumentacija za posamezne ukrepe po tem pravilniku.</w:t>
      </w:r>
    </w:p>
    <w:p w14:paraId="39EEF42D" w14:textId="77777777" w:rsidR="00A607CF" w:rsidRPr="00637749" w:rsidRDefault="00A607CF" w:rsidP="00A607CF">
      <w:pPr>
        <w:numPr>
          <w:ilvl w:val="0"/>
          <w:numId w:val="2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Javni razpis se objavi na uradni spletni strani občine. Javni razpis se lahko objavi za vse ali za posamezne vrste ukrepov navedene v tem pravilniku.</w:t>
      </w:r>
    </w:p>
    <w:p w14:paraId="1F1A30CD" w14:textId="77777777" w:rsidR="00A607CF" w:rsidRPr="00637749" w:rsidRDefault="00A607CF" w:rsidP="00A607CF">
      <w:pPr>
        <w:numPr>
          <w:ilvl w:val="0"/>
          <w:numId w:val="2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 javni razpis se določi višina razpoložljivih sredstev, kot to določa Odlok o proračunu Občine.</w:t>
      </w:r>
    </w:p>
    <w:p w14:paraId="4ACEE2C4" w14:textId="77777777" w:rsidR="00A607CF" w:rsidRPr="00637749" w:rsidRDefault="00A607CF" w:rsidP="00A607CF">
      <w:pPr>
        <w:numPr>
          <w:ilvl w:val="0"/>
          <w:numId w:val="29"/>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Glede na višino razpoložljivih sredstev in števila prispelih vlog z upravičenimi naložbami, se vsem upravičencem dodeljena sredstva sorazmerno znižajo.</w:t>
      </w:r>
    </w:p>
    <w:p w14:paraId="7DDE5F2D" w14:textId="77777777" w:rsidR="00A607CF" w:rsidRPr="00637749" w:rsidRDefault="00A607CF" w:rsidP="00A607CF">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56F649B7" w14:textId="6C8549B9"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2</w:t>
      </w:r>
      <w:r w:rsidR="00340E04">
        <w:rPr>
          <w:rFonts w:ascii="Arial" w:eastAsia="Times New Roman" w:hAnsi="Arial" w:cs="Arial"/>
          <w:b/>
          <w:bCs/>
          <w:sz w:val="20"/>
          <w:szCs w:val="20"/>
          <w:lang w:eastAsia="sl-SI"/>
        </w:rPr>
        <w:t>4</w:t>
      </w:r>
      <w:r w:rsidRPr="00637749">
        <w:rPr>
          <w:rFonts w:ascii="Arial" w:eastAsia="Times New Roman" w:hAnsi="Arial" w:cs="Arial"/>
          <w:b/>
          <w:bCs/>
          <w:sz w:val="20"/>
          <w:szCs w:val="20"/>
          <w:lang w:eastAsia="sl-SI"/>
        </w:rPr>
        <w:t>. člen</w:t>
      </w:r>
    </w:p>
    <w:p w14:paraId="4176E1CC" w14:textId="77777777" w:rsidR="00A607CF" w:rsidRPr="00637749" w:rsidRDefault="00A607CF" w:rsidP="00A607CF">
      <w:pPr>
        <w:numPr>
          <w:ilvl w:val="0"/>
          <w:numId w:val="3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Postopek za dodelitev pomoči vodi tri članska komisija, ki jo s sklepom imenuje župan/županja. Strokovne in administrativno tehnične naloge za komisijo opravlja občinska uprava.</w:t>
      </w:r>
    </w:p>
    <w:p w14:paraId="08C133AB" w14:textId="77777777" w:rsidR="00A607CF" w:rsidRPr="00637749" w:rsidRDefault="00A607CF" w:rsidP="00A607CF">
      <w:pPr>
        <w:numPr>
          <w:ilvl w:val="0"/>
          <w:numId w:val="3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Komisija na podlagi tega pravilnika in javnega razpisa odpira vloge, preveri popolnost vlog, obravnava pravočasno prispele vloge, opravlja oglede na terenu in pripravi zapisnike.</w:t>
      </w:r>
    </w:p>
    <w:p w14:paraId="76E7D174" w14:textId="77777777" w:rsidR="00A607CF" w:rsidRPr="00637749" w:rsidRDefault="00A607CF" w:rsidP="00A607CF">
      <w:pPr>
        <w:numPr>
          <w:ilvl w:val="0"/>
          <w:numId w:val="3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Komisija pripravi predlog upravičencev do pomoči, ki ga predloži direktorju občinske uprave. Direktor občinske uprave, na podlagi prejetega predloga strokovne komisije, s sklepom odloči o višini odobrenih finančnih sredstev v roku 30 dni od dneva popolnosti vloge.</w:t>
      </w:r>
    </w:p>
    <w:p w14:paraId="365B4108" w14:textId="77777777" w:rsidR="00A607CF" w:rsidRPr="00637749" w:rsidRDefault="00A607CF" w:rsidP="00A607CF">
      <w:pPr>
        <w:numPr>
          <w:ilvl w:val="0"/>
          <w:numId w:val="3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Zoper sklep je dopustno v roku 8 dni od prejema vložiti pritožbo, o kateri odloča župan/županja. Predmet pritožbe ne morejo biti postavljena merila za ocenjevanje vlog. Odločitev župana je dokončna.</w:t>
      </w:r>
    </w:p>
    <w:p w14:paraId="65DAAD57" w14:textId="77777777" w:rsidR="00A607CF" w:rsidRPr="00637749" w:rsidRDefault="00A607CF" w:rsidP="00A607CF">
      <w:pPr>
        <w:numPr>
          <w:ilvl w:val="0"/>
          <w:numId w:val="30"/>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Medsebojne obveznosti med upravičencem pomoči in občino se uredijo s pogodbo.</w:t>
      </w:r>
    </w:p>
    <w:p w14:paraId="1138CFDB" w14:textId="77777777" w:rsidR="00A607CF" w:rsidRPr="00637749" w:rsidRDefault="00A607CF" w:rsidP="00A607CF">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4B8AB197" w14:textId="77777777" w:rsidR="00A607CF" w:rsidRPr="00637749" w:rsidRDefault="00A607CF" w:rsidP="00A607CF">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22CBCE11" w14:textId="7545DF96"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 xml:space="preserve">V. NADZOR NAD NAMENSKO PORABO SREDSTEV </w:t>
      </w:r>
    </w:p>
    <w:p w14:paraId="7FAD1E57" w14:textId="77777777"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sz w:val="20"/>
          <w:szCs w:val="20"/>
          <w:lang w:eastAsia="sl-SI"/>
        </w:rPr>
      </w:pPr>
    </w:p>
    <w:p w14:paraId="2F71EA57" w14:textId="14C9CC69"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2</w:t>
      </w:r>
      <w:r w:rsidR="00340E04">
        <w:rPr>
          <w:rFonts w:ascii="Arial" w:eastAsia="Times New Roman" w:hAnsi="Arial" w:cs="Arial"/>
          <w:b/>
          <w:bCs/>
          <w:sz w:val="20"/>
          <w:szCs w:val="20"/>
          <w:lang w:eastAsia="sl-SI"/>
        </w:rPr>
        <w:t>5</w:t>
      </w:r>
      <w:r w:rsidRPr="00637749">
        <w:rPr>
          <w:rFonts w:ascii="Arial" w:eastAsia="Times New Roman" w:hAnsi="Arial" w:cs="Arial"/>
          <w:b/>
          <w:bCs/>
          <w:sz w:val="20"/>
          <w:szCs w:val="20"/>
          <w:lang w:eastAsia="sl-SI"/>
        </w:rPr>
        <w:t>. člen</w:t>
      </w:r>
    </w:p>
    <w:p w14:paraId="4037D376" w14:textId="77777777" w:rsidR="00A607CF" w:rsidRPr="00637749" w:rsidRDefault="00A607CF" w:rsidP="00A607CF">
      <w:pPr>
        <w:numPr>
          <w:ilvl w:val="0"/>
          <w:numId w:val="31"/>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Namensko porabo proračunskih sredstev za ohranjanje in razvoj kmetijstva in podeželja v občini, pridobljenih po tem pravilniku oziroma javnem razpisu, spremlja občinska uprava, oziroma s strani župana pooblaščena oseba.</w:t>
      </w:r>
    </w:p>
    <w:p w14:paraId="38B83720" w14:textId="77777777" w:rsidR="00A607CF" w:rsidRPr="00637749" w:rsidRDefault="00A607CF" w:rsidP="00A607CF">
      <w:pPr>
        <w:numPr>
          <w:ilvl w:val="0"/>
          <w:numId w:val="31"/>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 primeru ugotovljene nenamenske porabe sredstev, mora prejemnik vrniti odobrena sredstva v celoti in s pripadajočimi zakonitimi zamudnimi obrestmi, obračunana od dneva nakazila prejemniku, če se ugotovi:</w:t>
      </w:r>
    </w:p>
    <w:p w14:paraId="0E2797A0" w14:textId="77777777" w:rsidR="00A607CF" w:rsidRPr="00637749" w:rsidRDefault="00A607CF" w:rsidP="00A607CF">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da sredstva niso bila delno ali v celoti porabljena za namen, za katerega so bila dodeljena; </w:t>
      </w:r>
    </w:p>
    <w:p w14:paraId="1FF0962A" w14:textId="77777777" w:rsidR="00A607CF" w:rsidRPr="00637749" w:rsidRDefault="00A607CF" w:rsidP="00A607CF">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da je prejemnik za katerikoli namen navajal neresnične podatke;</w:t>
      </w:r>
    </w:p>
    <w:p w14:paraId="6BBD9635" w14:textId="77777777" w:rsidR="00A607CF" w:rsidRPr="00637749" w:rsidRDefault="00A607CF" w:rsidP="00A607CF">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da prejemnik pomoči iz istega naslova za isti namen že pridobil finančna sredstva;</w:t>
      </w:r>
    </w:p>
    <w:p w14:paraId="63385DFF" w14:textId="77777777" w:rsidR="00A607CF" w:rsidRPr="00637749" w:rsidRDefault="00A607CF" w:rsidP="00A607CF">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da prejemnik pomoči projekta ne izvede;</w:t>
      </w:r>
    </w:p>
    <w:p w14:paraId="047AEB76" w14:textId="77777777" w:rsidR="00A607CF" w:rsidRPr="00637749" w:rsidRDefault="00A607CF" w:rsidP="00A607CF">
      <w:pPr>
        <w:numPr>
          <w:ilvl w:val="0"/>
          <w:numId w:val="13"/>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da je prejemnik davčni dolžnik.</w:t>
      </w:r>
    </w:p>
    <w:p w14:paraId="7AA7CFF3" w14:textId="77777777" w:rsidR="00A607CF" w:rsidRPr="00637749" w:rsidRDefault="00A607CF" w:rsidP="00A607CF">
      <w:pPr>
        <w:numPr>
          <w:ilvl w:val="0"/>
          <w:numId w:val="31"/>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Prejemnik, ki ustreza kateremkoli kriteriju iz prejšnjega odstavka, izgubi pravico do pridobitve sredstev po tem pravilniku za naslednji dve leti.</w:t>
      </w:r>
    </w:p>
    <w:p w14:paraId="12E1A56D" w14:textId="77777777" w:rsidR="00A607CF" w:rsidRPr="00637749" w:rsidRDefault="00A607CF" w:rsidP="00A607CF">
      <w:pPr>
        <w:numPr>
          <w:ilvl w:val="0"/>
          <w:numId w:val="31"/>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V primeru, da upravičenec odobrenih sredstev v pogodbeno določenem roku ne izkoristi, bodisi, da je le tega iz neupravičenih razlogov zamudil, bodisi, da se ugotovi kršenje pravil razpisa, izgubi pravico do pridobitve sredstev po tem pravilniku za naslednji dve leti.</w:t>
      </w:r>
    </w:p>
    <w:p w14:paraId="7593FBB8" w14:textId="77777777" w:rsidR="00A607CF" w:rsidRPr="00637749" w:rsidRDefault="00A607CF" w:rsidP="00A607CF">
      <w:pPr>
        <w:overflowPunct w:val="0"/>
        <w:autoSpaceDE w:val="0"/>
        <w:autoSpaceDN w:val="0"/>
        <w:adjustRightInd w:val="0"/>
        <w:spacing w:after="0" w:line="240" w:lineRule="auto"/>
        <w:rPr>
          <w:rFonts w:ascii="Arial" w:eastAsia="Times New Roman" w:hAnsi="Arial" w:cs="Arial"/>
          <w:sz w:val="20"/>
          <w:szCs w:val="20"/>
          <w:lang w:eastAsia="sl-SI"/>
        </w:rPr>
      </w:pPr>
    </w:p>
    <w:p w14:paraId="492CB9BB" w14:textId="77777777" w:rsidR="00A607CF" w:rsidRPr="00637749" w:rsidRDefault="00A607CF" w:rsidP="00A607CF">
      <w:pPr>
        <w:overflowPunct w:val="0"/>
        <w:autoSpaceDE w:val="0"/>
        <w:autoSpaceDN w:val="0"/>
        <w:adjustRightInd w:val="0"/>
        <w:spacing w:after="0" w:line="240" w:lineRule="auto"/>
        <w:rPr>
          <w:rFonts w:ascii="Arial" w:eastAsia="Times New Roman" w:hAnsi="Arial" w:cs="Arial"/>
          <w:sz w:val="20"/>
          <w:szCs w:val="20"/>
          <w:lang w:eastAsia="sl-SI"/>
        </w:rPr>
      </w:pPr>
    </w:p>
    <w:p w14:paraId="53DE0663" w14:textId="149F79BA"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VI. HRAMBA DOKUMENTACIJE</w:t>
      </w:r>
    </w:p>
    <w:p w14:paraId="07A7DA70" w14:textId="77777777"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p>
    <w:p w14:paraId="4D739F54" w14:textId="32C3191C"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2</w:t>
      </w:r>
      <w:r w:rsidR="00340E04">
        <w:rPr>
          <w:rFonts w:ascii="Arial" w:eastAsia="Times New Roman" w:hAnsi="Arial" w:cs="Arial"/>
          <w:b/>
          <w:bCs/>
          <w:sz w:val="20"/>
          <w:szCs w:val="20"/>
          <w:lang w:eastAsia="sl-SI"/>
        </w:rPr>
        <w:t>6</w:t>
      </w:r>
      <w:r w:rsidRPr="00637749">
        <w:rPr>
          <w:rFonts w:ascii="Arial" w:eastAsia="Times New Roman" w:hAnsi="Arial" w:cs="Arial"/>
          <w:b/>
          <w:bCs/>
          <w:sz w:val="20"/>
          <w:szCs w:val="20"/>
          <w:lang w:eastAsia="sl-SI"/>
        </w:rPr>
        <w:t>. člen</w:t>
      </w:r>
    </w:p>
    <w:p w14:paraId="67B42C89" w14:textId="77777777" w:rsidR="00A607CF" w:rsidRPr="00637749" w:rsidRDefault="00A607CF" w:rsidP="00A607CF">
      <w:pPr>
        <w:numPr>
          <w:ilvl w:val="0"/>
          <w:numId w:val="3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lastRenderedPageBreak/>
        <w:t>Upravičenec mora hraniti vso dokumentacijo, ki je bila podlaga za odobritev pomoči po tem pravilniku, deset let od datuma prejema pomoči iz tega pravilnika.</w:t>
      </w:r>
    </w:p>
    <w:p w14:paraId="061D6781" w14:textId="77777777" w:rsidR="00A607CF" w:rsidRPr="00637749" w:rsidRDefault="00A607CF" w:rsidP="00A607CF">
      <w:pPr>
        <w:numPr>
          <w:ilvl w:val="0"/>
          <w:numId w:val="32"/>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Občina mora voditi natančne evidence z informacijami o dodeljenih pomočeh in dokazili o izpolnjevanju pogojev deset let od dneva zadnje dodelitve pomoči po tem pravilniku.</w:t>
      </w:r>
    </w:p>
    <w:p w14:paraId="31186A46" w14:textId="77777777" w:rsidR="00A607CF" w:rsidRPr="00637749" w:rsidRDefault="00A607CF" w:rsidP="00A607CF">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10B1D1EE" w14:textId="77777777" w:rsidR="00A607CF" w:rsidRPr="00637749" w:rsidRDefault="00A607CF" w:rsidP="00A607CF">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10CF4A6A" w14:textId="58EC5B16"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sidRPr="00637749">
        <w:rPr>
          <w:rFonts w:ascii="Arial" w:eastAsia="Times New Roman" w:hAnsi="Arial" w:cs="Arial"/>
          <w:b/>
          <w:bCs/>
          <w:sz w:val="20"/>
          <w:szCs w:val="20"/>
          <w:lang w:eastAsia="sl-SI"/>
        </w:rPr>
        <w:t>VII. KONČN</w:t>
      </w:r>
      <w:r w:rsidR="00340E04">
        <w:rPr>
          <w:rFonts w:ascii="Arial" w:eastAsia="Times New Roman" w:hAnsi="Arial" w:cs="Arial"/>
          <w:b/>
          <w:bCs/>
          <w:sz w:val="20"/>
          <w:szCs w:val="20"/>
          <w:lang w:eastAsia="sl-SI"/>
        </w:rPr>
        <w:t>I</w:t>
      </w:r>
      <w:r w:rsidRPr="00637749">
        <w:rPr>
          <w:rFonts w:ascii="Arial" w:eastAsia="Times New Roman" w:hAnsi="Arial" w:cs="Arial"/>
          <w:b/>
          <w:bCs/>
          <w:sz w:val="20"/>
          <w:szCs w:val="20"/>
          <w:lang w:eastAsia="sl-SI"/>
        </w:rPr>
        <w:t xml:space="preserve"> DOLOČB</w:t>
      </w:r>
      <w:r w:rsidR="00340E04">
        <w:rPr>
          <w:rFonts w:ascii="Arial" w:eastAsia="Times New Roman" w:hAnsi="Arial" w:cs="Arial"/>
          <w:b/>
          <w:bCs/>
          <w:sz w:val="20"/>
          <w:szCs w:val="20"/>
          <w:lang w:eastAsia="sl-SI"/>
        </w:rPr>
        <w:t>I</w:t>
      </w:r>
    </w:p>
    <w:p w14:paraId="7B668BC3" w14:textId="77777777" w:rsidR="00A607CF" w:rsidRPr="00637749" w:rsidRDefault="00A607CF"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p>
    <w:p w14:paraId="280CAE14" w14:textId="23F01920" w:rsidR="00A607CF" w:rsidRPr="00637749" w:rsidRDefault="00340E04"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27</w:t>
      </w:r>
      <w:r w:rsidR="00A607CF" w:rsidRPr="00637749">
        <w:rPr>
          <w:rFonts w:ascii="Arial" w:eastAsia="Times New Roman" w:hAnsi="Arial" w:cs="Arial"/>
          <w:b/>
          <w:bCs/>
          <w:sz w:val="20"/>
          <w:szCs w:val="20"/>
          <w:lang w:eastAsia="sl-SI"/>
        </w:rPr>
        <w:t>. člen</w:t>
      </w:r>
    </w:p>
    <w:p w14:paraId="097F0106" w14:textId="55B9FA53" w:rsidR="00A607CF" w:rsidRPr="00637749" w:rsidRDefault="00A607CF" w:rsidP="00A607CF">
      <w:p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Z dnem uveljavitve tega pravilnika preneha veljati </w:t>
      </w:r>
      <w:r w:rsidR="00DA1BA0">
        <w:rPr>
          <w:rFonts w:ascii="Arial" w:eastAsia="Times New Roman" w:hAnsi="Arial" w:cs="Arial"/>
          <w:sz w:val="20"/>
          <w:szCs w:val="20"/>
          <w:lang w:eastAsia="sl-SI"/>
        </w:rPr>
        <w:t>P</w:t>
      </w:r>
      <w:r w:rsidR="00DA1BA0" w:rsidRPr="00DA1BA0">
        <w:rPr>
          <w:rFonts w:ascii="Arial" w:eastAsia="Times New Roman" w:hAnsi="Arial" w:cs="Arial"/>
          <w:sz w:val="20"/>
          <w:szCs w:val="20"/>
          <w:lang w:eastAsia="sl-SI"/>
        </w:rPr>
        <w:t>ravilnik o ohranjanju in s</w:t>
      </w:r>
      <w:r w:rsidR="00DA1BA0">
        <w:rPr>
          <w:rFonts w:ascii="Arial" w:eastAsia="Times New Roman" w:hAnsi="Arial" w:cs="Arial"/>
          <w:sz w:val="20"/>
          <w:szCs w:val="20"/>
          <w:lang w:eastAsia="sl-SI"/>
        </w:rPr>
        <w:t>p</w:t>
      </w:r>
      <w:r w:rsidR="00DA1BA0" w:rsidRPr="00DA1BA0">
        <w:rPr>
          <w:rFonts w:ascii="Arial" w:eastAsia="Times New Roman" w:hAnsi="Arial" w:cs="Arial"/>
          <w:sz w:val="20"/>
          <w:szCs w:val="20"/>
          <w:lang w:eastAsia="sl-SI"/>
        </w:rPr>
        <w:t xml:space="preserve">odbujanju razvoja kmetijstva in podeželja v Občini Makole za programsko obdobje 2015 </w:t>
      </w:r>
      <w:r w:rsidR="00DA1BA0">
        <w:rPr>
          <w:rFonts w:ascii="Arial" w:eastAsia="Times New Roman" w:hAnsi="Arial" w:cs="Arial"/>
          <w:sz w:val="20"/>
          <w:szCs w:val="20"/>
          <w:lang w:eastAsia="sl-SI"/>
        </w:rPr>
        <w:t>–</w:t>
      </w:r>
      <w:r w:rsidR="00DA1BA0" w:rsidRPr="00DA1BA0">
        <w:rPr>
          <w:rFonts w:ascii="Arial" w:eastAsia="Times New Roman" w:hAnsi="Arial" w:cs="Arial"/>
          <w:sz w:val="20"/>
          <w:szCs w:val="20"/>
          <w:lang w:eastAsia="sl-SI"/>
        </w:rPr>
        <w:t xml:space="preserve"> 2020</w:t>
      </w:r>
      <w:r w:rsidR="00DA1BA0">
        <w:rPr>
          <w:rFonts w:ascii="Arial" w:eastAsia="Times New Roman" w:hAnsi="Arial" w:cs="Arial"/>
          <w:sz w:val="20"/>
          <w:szCs w:val="20"/>
          <w:lang w:eastAsia="sl-SI"/>
        </w:rPr>
        <w:t xml:space="preserve"> (Uradno glasilo slovenskih občin 31/2015 in 20/2016</w:t>
      </w:r>
      <w:r w:rsidRPr="00637749">
        <w:rPr>
          <w:rFonts w:ascii="Arial" w:eastAsia="Times New Roman" w:hAnsi="Arial" w:cs="Arial"/>
          <w:sz w:val="20"/>
          <w:szCs w:val="20"/>
          <w:lang w:eastAsia="sl-SI"/>
        </w:rPr>
        <w:t xml:space="preserve">). </w:t>
      </w:r>
    </w:p>
    <w:p w14:paraId="6856E8CB" w14:textId="77777777" w:rsidR="00A607CF" w:rsidRPr="00637749" w:rsidRDefault="00A607CF" w:rsidP="00A607CF">
      <w:pPr>
        <w:overflowPunct w:val="0"/>
        <w:autoSpaceDE w:val="0"/>
        <w:autoSpaceDN w:val="0"/>
        <w:adjustRightInd w:val="0"/>
        <w:spacing w:after="0" w:line="240" w:lineRule="auto"/>
        <w:rPr>
          <w:rFonts w:ascii="Arial" w:eastAsia="Times New Roman" w:hAnsi="Arial" w:cs="Arial"/>
          <w:sz w:val="20"/>
          <w:szCs w:val="20"/>
          <w:lang w:eastAsia="sl-SI"/>
        </w:rPr>
      </w:pPr>
    </w:p>
    <w:p w14:paraId="692D94A0" w14:textId="35178946" w:rsidR="00A607CF" w:rsidRPr="00637749" w:rsidRDefault="00340E04" w:rsidP="00A607CF">
      <w:pPr>
        <w:overflowPunct w:val="0"/>
        <w:autoSpaceDE w:val="0"/>
        <w:autoSpaceDN w:val="0"/>
        <w:adjustRightInd w:val="0"/>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28</w:t>
      </w:r>
      <w:r w:rsidR="00A607CF" w:rsidRPr="00637749">
        <w:rPr>
          <w:rFonts w:ascii="Arial" w:eastAsia="Times New Roman" w:hAnsi="Arial" w:cs="Arial"/>
          <w:b/>
          <w:bCs/>
          <w:sz w:val="20"/>
          <w:szCs w:val="20"/>
          <w:lang w:eastAsia="sl-SI"/>
        </w:rPr>
        <w:t>. člen</w:t>
      </w:r>
    </w:p>
    <w:p w14:paraId="1AE5575F" w14:textId="77777777" w:rsidR="00A607CF" w:rsidRPr="00637749" w:rsidRDefault="00A607CF" w:rsidP="00DA1BA0">
      <w:p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Ta pravilnik začne veljati naslednji dan po objavi v Uradnem glasilu slovenskih občin.</w:t>
      </w:r>
    </w:p>
    <w:p w14:paraId="6B55A296" w14:textId="77777777" w:rsidR="00A607CF" w:rsidRPr="00637749" w:rsidRDefault="00A607CF" w:rsidP="00A607CF">
      <w:pPr>
        <w:overflowPunct w:val="0"/>
        <w:autoSpaceDE w:val="0"/>
        <w:autoSpaceDN w:val="0"/>
        <w:adjustRightInd w:val="0"/>
        <w:spacing w:after="0" w:line="240" w:lineRule="auto"/>
        <w:jc w:val="both"/>
        <w:rPr>
          <w:rFonts w:ascii="Arial" w:eastAsia="Times New Roman" w:hAnsi="Arial" w:cs="Arial"/>
          <w:sz w:val="20"/>
          <w:szCs w:val="20"/>
          <w:lang w:eastAsia="sl-SI"/>
        </w:rPr>
      </w:pPr>
    </w:p>
    <w:p w14:paraId="4F4B54D8" w14:textId="414D6C72" w:rsidR="00A607CF" w:rsidRPr="00637749" w:rsidRDefault="00A607CF" w:rsidP="00A607CF">
      <w:pPr>
        <w:overflowPunct w:val="0"/>
        <w:autoSpaceDE w:val="0"/>
        <w:autoSpaceDN w:val="0"/>
        <w:adjustRightInd w:val="0"/>
        <w:spacing w:after="0" w:line="240" w:lineRule="auto"/>
        <w:jc w:val="both"/>
        <w:rPr>
          <w:rFonts w:ascii="Arial" w:eastAsia="Times New Roman" w:hAnsi="Arial" w:cs="Arial"/>
          <w:sz w:val="20"/>
          <w:szCs w:val="20"/>
          <w:lang w:eastAsia="sl-SI"/>
        </w:rPr>
      </w:pPr>
      <w:r w:rsidRPr="00637749">
        <w:rPr>
          <w:rFonts w:ascii="Arial" w:eastAsia="Times New Roman" w:hAnsi="Arial" w:cs="Arial"/>
          <w:sz w:val="20"/>
          <w:szCs w:val="20"/>
          <w:lang w:eastAsia="sl-SI"/>
        </w:rPr>
        <w:t xml:space="preserve">Številka: </w:t>
      </w:r>
    </w:p>
    <w:p w14:paraId="1802C228" w14:textId="7B03A68D" w:rsidR="00A607CF" w:rsidRPr="00637749" w:rsidRDefault="00DA1BA0" w:rsidP="00A607CF">
      <w:pPr>
        <w:overflowPunct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Makole, </w:t>
      </w:r>
    </w:p>
    <w:p w14:paraId="3CDF2A49" w14:textId="2EC4299E" w:rsidR="00A607CF" w:rsidRPr="00DA1BA0" w:rsidRDefault="00A607CF" w:rsidP="00A607CF">
      <w:pPr>
        <w:tabs>
          <w:tab w:val="center" w:pos="7371"/>
        </w:tabs>
        <w:overflowPunct w:val="0"/>
        <w:autoSpaceDE w:val="0"/>
        <w:autoSpaceDN w:val="0"/>
        <w:adjustRightInd w:val="0"/>
        <w:spacing w:after="0" w:line="240" w:lineRule="auto"/>
        <w:rPr>
          <w:rFonts w:ascii="Arial" w:eastAsia="Times New Roman" w:hAnsi="Arial" w:cs="Arial"/>
          <w:bCs/>
          <w:sz w:val="20"/>
          <w:szCs w:val="20"/>
          <w:lang w:eastAsia="sl-SI"/>
        </w:rPr>
      </w:pPr>
      <w:r w:rsidRPr="00637749">
        <w:rPr>
          <w:rFonts w:ascii="Arial" w:eastAsia="Times New Roman" w:hAnsi="Arial" w:cs="Arial"/>
          <w:b/>
          <w:sz w:val="20"/>
          <w:szCs w:val="20"/>
          <w:lang w:eastAsia="sl-SI"/>
        </w:rPr>
        <w:tab/>
      </w:r>
      <w:r w:rsidRPr="00DA1BA0">
        <w:rPr>
          <w:rFonts w:ascii="Arial" w:eastAsia="Times New Roman" w:hAnsi="Arial" w:cs="Arial"/>
          <w:bCs/>
          <w:sz w:val="20"/>
          <w:szCs w:val="20"/>
          <w:lang w:eastAsia="sl-SI"/>
        </w:rPr>
        <w:t>Ž</w:t>
      </w:r>
      <w:r w:rsidR="00DA1BA0" w:rsidRPr="00DA1BA0">
        <w:rPr>
          <w:rFonts w:ascii="Arial" w:eastAsia="Times New Roman" w:hAnsi="Arial" w:cs="Arial"/>
          <w:bCs/>
          <w:sz w:val="20"/>
          <w:szCs w:val="20"/>
          <w:lang w:eastAsia="sl-SI"/>
        </w:rPr>
        <w:t>upan</w:t>
      </w:r>
    </w:p>
    <w:p w14:paraId="5865FD5F" w14:textId="12A494C9" w:rsidR="00A607CF" w:rsidRPr="00DA1BA0" w:rsidRDefault="00A607CF" w:rsidP="00A607CF">
      <w:pPr>
        <w:tabs>
          <w:tab w:val="center" w:pos="7371"/>
        </w:tabs>
        <w:overflowPunct w:val="0"/>
        <w:autoSpaceDE w:val="0"/>
        <w:autoSpaceDN w:val="0"/>
        <w:adjustRightInd w:val="0"/>
        <w:spacing w:after="0" w:line="240" w:lineRule="auto"/>
        <w:rPr>
          <w:rFonts w:ascii="Arial" w:eastAsia="Times New Roman" w:hAnsi="Arial" w:cs="Arial"/>
          <w:bCs/>
          <w:sz w:val="20"/>
          <w:szCs w:val="20"/>
          <w:lang w:eastAsia="sl-SI"/>
        </w:rPr>
      </w:pPr>
      <w:r w:rsidRPr="00DA1BA0">
        <w:rPr>
          <w:rFonts w:ascii="Arial" w:eastAsia="Times New Roman" w:hAnsi="Arial" w:cs="Arial"/>
          <w:bCs/>
          <w:sz w:val="20"/>
          <w:szCs w:val="20"/>
          <w:lang w:eastAsia="sl-SI"/>
        </w:rPr>
        <w:tab/>
        <w:t>O</w:t>
      </w:r>
      <w:r w:rsidR="00DA1BA0" w:rsidRPr="00DA1BA0">
        <w:rPr>
          <w:rFonts w:ascii="Arial" w:eastAsia="Times New Roman" w:hAnsi="Arial" w:cs="Arial"/>
          <w:bCs/>
          <w:sz w:val="20"/>
          <w:szCs w:val="20"/>
          <w:lang w:eastAsia="sl-SI"/>
        </w:rPr>
        <w:t>bčine Makole</w:t>
      </w:r>
    </w:p>
    <w:p w14:paraId="5BB610F5" w14:textId="4B4956D4" w:rsidR="00A607CF" w:rsidRPr="00637749" w:rsidRDefault="00A607CF" w:rsidP="00726782">
      <w:pPr>
        <w:tabs>
          <w:tab w:val="center" w:pos="7371"/>
        </w:tabs>
        <w:overflowPunct w:val="0"/>
        <w:autoSpaceDE w:val="0"/>
        <w:autoSpaceDN w:val="0"/>
        <w:adjustRightInd w:val="0"/>
        <w:spacing w:after="0" w:line="240" w:lineRule="auto"/>
        <w:rPr>
          <w:rFonts w:ascii="Arial" w:eastAsia="Times New Roman" w:hAnsi="Arial" w:cs="Arial"/>
          <w:sz w:val="20"/>
          <w:szCs w:val="20"/>
          <w:lang w:eastAsia="sl-SI"/>
        </w:rPr>
      </w:pPr>
      <w:r w:rsidRPr="00637749">
        <w:rPr>
          <w:rFonts w:ascii="Arial" w:eastAsia="Times New Roman" w:hAnsi="Arial" w:cs="Arial"/>
          <w:bCs/>
          <w:sz w:val="20"/>
          <w:szCs w:val="20"/>
          <w:lang w:eastAsia="sl-SI"/>
        </w:rPr>
        <w:tab/>
      </w:r>
      <w:r w:rsidR="00DA1BA0">
        <w:rPr>
          <w:rFonts w:ascii="Arial" w:eastAsia="Times New Roman" w:hAnsi="Arial" w:cs="Arial"/>
          <w:bCs/>
          <w:sz w:val="20"/>
          <w:szCs w:val="20"/>
          <w:lang w:eastAsia="sl-SI"/>
        </w:rPr>
        <w:t>Franc Majcen</w:t>
      </w:r>
    </w:p>
    <w:p w14:paraId="72B572F9" w14:textId="77777777" w:rsidR="0097412A" w:rsidRPr="00637749" w:rsidRDefault="0097412A">
      <w:pPr>
        <w:rPr>
          <w:rFonts w:ascii="Arial" w:hAnsi="Arial" w:cs="Arial"/>
          <w:sz w:val="20"/>
          <w:szCs w:val="20"/>
        </w:rPr>
      </w:pPr>
    </w:p>
    <w:sectPr w:rsidR="0097412A" w:rsidRPr="00637749" w:rsidSect="007B65F8">
      <w:type w:val="continuous"/>
      <w:pgSz w:w="12240" w:h="15840" w:code="1"/>
      <w:pgMar w:top="1134" w:right="1134" w:bottom="1134" w:left="1134" w:header="709" w:footer="39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908"/>
    <w:multiLevelType w:val="hybridMultilevel"/>
    <w:tmpl w:val="CA64F480"/>
    <w:lvl w:ilvl="0" w:tplc="22603FA4">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093733"/>
    <w:multiLevelType w:val="hybridMultilevel"/>
    <w:tmpl w:val="A1CA2A78"/>
    <w:lvl w:ilvl="0" w:tplc="8F52E1FE">
      <w:numFmt w:val="bullet"/>
      <w:pStyle w:val="a"/>
      <w:lvlText w:val="‒"/>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436D4"/>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D23BC2"/>
    <w:multiLevelType w:val="hybridMultilevel"/>
    <w:tmpl w:val="351CC4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C161D4"/>
    <w:multiLevelType w:val="hybridMultilevel"/>
    <w:tmpl w:val="AFEC7A28"/>
    <w:lvl w:ilvl="0" w:tplc="FFFFFFFF">
      <w:start w:val="1"/>
      <w:numFmt w:val="decimal"/>
      <w:lvlText w:val="(%1)"/>
      <w:lvlJc w:val="left"/>
      <w:pPr>
        <w:ind w:left="360" w:hanging="360"/>
      </w:pPr>
      <w:rPr>
        <w:rFonts w:hint="default"/>
        <w:b w:val="0"/>
      </w:rPr>
    </w:lvl>
    <w:lvl w:ilvl="1" w:tplc="E6781D0C">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6464C5"/>
    <w:multiLevelType w:val="hybridMultilevel"/>
    <w:tmpl w:val="DFBCF4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DB3A1E"/>
    <w:multiLevelType w:val="hybridMultilevel"/>
    <w:tmpl w:val="79B226DA"/>
    <w:lvl w:ilvl="0" w:tplc="F1EC9C9C">
      <w:numFmt w:val="bullet"/>
      <w:lvlText w:val="‒"/>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3166C0"/>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A794A96"/>
    <w:multiLevelType w:val="hybridMultilevel"/>
    <w:tmpl w:val="782A7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F90A0F"/>
    <w:multiLevelType w:val="hybridMultilevel"/>
    <w:tmpl w:val="B6240B82"/>
    <w:lvl w:ilvl="0" w:tplc="419C661E">
      <w:start w:val="1501"/>
      <w:numFmt w:val="bullet"/>
      <w:lvlText w:val="-"/>
      <w:lvlJc w:val="left"/>
      <w:pPr>
        <w:ind w:left="1440" w:hanging="360"/>
      </w:pPr>
      <w:rPr>
        <w:rFonts w:ascii="Palatino Linotype" w:eastAsiaTheme="minorHAnsi" w:hAnsi="Palatino Linotype"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DE64151"/>
    <w:multiLevelType w:val="hybridMultilevel"/>
    <w:tmpl w:val="8C5E837E"/>
    <w:lvl w:ilvl="0" w:tplc="FFFFFFFF">
      <w:start w:val="1"/>
      <w:numFmt w:val="decimal"/>
      <w:lvlText w:val="(%1)"/>
      <w:lvlJc w:val="left"/>
      <w:pPr>
        <w:ind w:left="4613"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1E1D70CB"/>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1F90FB7"/>
    <w:multiLevelType w:val="hybridMultilevel"/>
    <w:tmpl w:val="69EAB914"/>
    <w:lvl w:ilvl="0" w:tplc="2F2AB92C">
      <w:start w:val="1"/>
      <w:numFmt w:val="decimal"/>
      <w:lvlText w:val="(%1)"/>
      <w:lvlJc w:val="left"/>
      <w:pPr>
        <w:ind w:left="375" w:hanging="360"/>
      </w:pPr>
      <w:rPr>
        <w:rFonts w:hint="default"/>
      </w:rPr>
    </w:lvl>
    <w:lvl w:ilvl="1" w:tplc="DA80DB68">
      <w:numFmt w:val="bullet"/>
      <w:lvlText w:val="-"/>
      <w:lvlJc w:val="left"/>
      <w:pPr>
        <w:ind w:left="1095" w:hanging="360"/>
      </w:pPr>
      <w:rPr>
        <w:rFonts w:ascii="Times New Roman" w:eastAsia="Times New Roman" w:hAnsi="Times New Roman" w:cs="Times New Roman" w:hint="default"/>
        <w:color w:val="auto"/>
      </w:r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13" w15:restartNumberingAfterBreak="0">
    <w:nsid w:val="24B150A1"/>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A7D4347"/>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B06BC3"/>
    <w:multiLevelType w:val="hybridMultilevel"/>
    <w:tmpl w:val="DFBCF4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DF5360"/>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83747B2"/>
    <w:multiLevelType w:val="hybridMultilevel"/>
    <w:tmpl w:val="2D162008"/>
    <w:lvl w:ilvl="0" w:tplc="4A201E34">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87801DD"/>
    <w:multiLevelType w:val="hybridMultilevel"/>
    <w:tmpl w:val="C5C6C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CE0AE6"/>
    <w:multiLevelType w:val="hybridMultilevel"/>
    <w:tmpl w:val="CE16C39C"/>
    <w:lvl w:ilvl="0" w:tplc="BE229A12">
      <w:start w:val="1"/>
      <w:numFmt w:val="lowerLetter"/>
      <w:lvlText w:val="%1)"/>
      <w:lvlJc w:val="left"/>
      <w:pPr>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8515A0"/>
    <w:multiLevelType w:val="hybridMultilevel"/>
    <w:tmpl w:val="DFBCF40E"/>
    <w:lvl w:ilvl="0" w:tplc="FFFFFFF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5D00894"/>
    <w:multiLevelType w:val="hybridMultilevel"/>
    <w:tmpl w:val="5FFE2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B7639F"/>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2456B35"/>
    <w:multiLevelType w:val="hybridMultilevel"/>
    <w:tmpl w:val="DFBCF4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3745685"/>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56D052F"/>
    <w:multiLevelType w:val="hybridMultilevel"/>
    <w:tmpl w:val="E56847B8"/>
    <w:lvl w:ilvl="0" w:tplc="D1CAC194">
      <w:start w:val="2"/>
      <w:numFmt w:val="lowerLetter"/>
      <w:lvlText w:val="(%1)"/>
      <w:lvlJc w:val="left"/>
      <w:pPr>
        <w:ind w:left="705" w:hanging="360"/>
      </w:pPr>
      <w:rPr>
        <w:rFonts w:hint="default"/>
      </w:rPr>
    </w:lvl>
    <w:lvl w:ilvl="1" w:tplc="04240019" w:tentative="1">
      <w:start w:val="1"/>
      <w:numFmt w:val="lowerLetter"/>
      <w:lvlText w:val="%2."/>
      <w:lvlJc w:val="left"/>
      <w:pPr>
        <w:ind w:left="1425" w:hanging="360"/>
      </w:pPr>
    </w:lvl>
    <w:lvl w:ilvl="2" w:tplc="0424001B" w:tentative="1">
      <w:start w:val="1"/>
      <w:numFmt w:val="lowerRoman"/>
      <w:lvlText w:val="%3."/>
      <w:lvlJc w:val="right"/>
      <w:pPr>
        <w:ind w:left="2145" w:hanging="180"/>
      </w:pPr>
    </w:lvl>
    <w:lvl w:ilvl="3" w:tplc="0424000F" w:tentative="1">
      <w:start w:val="1"/>
      <w:numFmt w:val="decimal"/>
      <w:lvlText w:val="%4."/>
      <w:lvlJc w:val="left"/>
      <w:pPr>
        <w:ind w:left="2865" w:hanging="360"/>
      </w:pPr>
    </w:lvl>
    <w:lvl w:ilvl="4" w:tplc="04240019" w:tentative="1">
      <w:start w:val="1"/>
      <w:numFmt w:val="lowerLetter"/>
      <w:lvlText w:val="%5."/>
      <w:lvlJc w:val="left"/>
      <w:pPr>
        <w:ind w:left="3585" w:hanging="360"/>
      </w:pPr>
    </w:lvl>
    <w:lvl w:ilvl="5" w:tplc="0424001B" w:tentative="1">
      <w:start w:val="1"/>
      <w:numFmt w:val="lowerRoman"/>
      <w:lvlText w:val="%6."/>
      <w:lvlJc w:val="right"/>
      <w:pPr>
        <w:ind w:left="4305" w:hanging="180"/>
      </w:pPr>
    </w:lvl>
    <w:lvl w:ilvl="6" w:tplc="0424000F" w:tentative="1">
      <w:start w:val="1"/>
      <w:numFmt w:val="decimal"/>
      <w:lvlText w:val="%7."/>
      <w:lvlJc w:val="left"/>
      <w:pPr>
        <w:ind w:left="5025" w:hanging="360"/>
      </w:pPr>
    </w:lvl>
    <w:lvl w:ilvl="7" w:tplc="04240019" w:tentative="1">
      <w:start w:val="1"/>
      <w:numFmt w:val="lowerLetter"/>
      <w:lvlText w:val="%8."/>
      <w:lvlJc w:val="left"/>
      <w:pPr>
        <w:ind w:left="5745" w:hanging="360"/>
      </w:pPr>
    </w:lvl>
    <w:lvl w:ilvl="8" w:tplc="0424001B" w:tentative="1">
      <w:start w:val="1"/>
      <w:numFmt w:val="lowerRoman"/>
      <w:lvlText w:val="%9."/>
      <w:lvlJc w:val="right"/>
      <w:pPr>
        <w:ind w:left="6465" w:hanging="180"/>
      </w:pPr>
    </w:lvl>
  </w:abstractNum>
  <w:abstractNum w:abstractNumId="26" w15:restartNumberingAfterBreak="0">
    <w:nsid w:val="5AAB1831"/>
    <w:multiLevelType w:val="hybridMultilevel"/>
    <w:tmpl w:val="DFBCF4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AE54A21"/>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B2E4BC0"/>
    <w:multiLevelType w:val="hybridMultilevel"/>
    <w:tmpl w:val="D880557A"/>
    <w:lvl w:ilvl="0" w:tplc="1FBCD5F6">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9" w15:restartNumberingAfterBreak="0">
    <w:nsid w:val="637556B2"/>
    <w:multiLevelType w:val="hybridMultilevel"/>
    <w:tmpl w:val="D1EA8C24"/>
    <w:lvl w:ilvl="0" w:tplc="D332D074">
      <w:numFmt w:val="bullet"/>
      <w:lvlText w:val="‒"/>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AF21FB5"/>
    <w:multiLevelType w:val="hybridMultilevel"/>
    <w:tmpl w:val="64CE916C"/>
    <w:lvl w:ilvl="0" w:tplc="FDB818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D0D675C"/>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E2958AA"/>
    <w:multiLevelType w:val="hybridMultilevel"/>
    <w:tmpl w:val="DFBCF4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EFD323A"/>
    <w:multiLevelType w:val="hybridMultilevel"/>
    <w:tmpl w:val="AFEC7A28"/>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F2C4273"/>
    <w:multiLevelType w:val="hybridMultilevel"/>
    <w:tmpl w:val="DFBCF4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33F7E2E"/>
    <w:multiLevelType w:val="hybridMultilevel"/>
    <w:tmpl w:val="EBB28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D57E4E"/>
    <w:multiLevelType w:val="hybridMultilevel"/>
    <w:tmpl w:val="33BC3AC4"/>
    <w:lvl w:ilvl="0" w:tplc="014ABB0A">
      <w:numFmt w:val="bullet"/>
      <w:lvlText w:val="‒"/>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DA7182"/>
    <w:multiLevelType w:val="hybridMultilevel"/>
    <w:tmpl w:val="422A9A92"/>
    <w:lvl w:ilvl="0" w:tplc="FFFFFFFF">
      <w:numFmt w:val="bullet"/>
      <w:lvlText w:val="‒"/>
      <w:lvlJc w:val="left"/>
      <w:pPr>
        <w:ind w:left="720" w:hanging="360"/>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41420D52">
      <w:numFmt w:val="bullet"/>
      <w:lvlText w:val="‒"/>
      <w:lvlJc w:val="left"/>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8E953BC"/>
    <w:multiLevelType w:val="hybridMultilevel"/>
    <w:tmpl w:val="1C2C1D82"/>
    <w:lvl w:ilvl="0" w:tplc="7414C1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5419B9"/>
    <w:multiLevelType w:val="hybridMultilevel"/>
    <w:tmpl w:val="14263D4E"/>
    <w:lvl w:ilvl="0" w:tplc="64F21AE4">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FD97BBC"/>
    <w:multiLevelType w:val="hybridMultilevel"/>
    <w:tmpl w:val="DFBCF4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
  </w:num>
  <w:num w:numId="2">
    <w:abstractNumId w:val="10"/>
  </w:num>
  <w:num w:numId="3">
    <w:abstractNumId w:val="38"/>
  </w:num>
  <w:num w:numId="4">
    <w:abstractNumId w:val="12"/>
  </w:num>
  <w:num w:numId="5">
    <w:abstractNumId w:val="37"/>
  </w:num>
  <w:num w:numId="6">
    <w:abstractNumId w:val="6"/>
  </w:num>
  <w:num w:numId="7">
    <w:abstractNumId w:val="1"/>
  </w:num>
  <w:num w:numId="8">
    <w:abstractNumId w:val="39"/>
  </w:num>
  <w:num w:numId="9">
    <w:abstractNumId w:val="0"/>
  </w:num>
  <w:num w:numId="10">
    <w:abstractNumId w:val="36"/>
  </w:num>
  <w:num w:numId="11">
    <w:abstractNumId w:val="19"/>
  </w:num>
  <w:num w:numId="12">
    <w:abstractNumId w:val="17"/>
  </w:num>
  <w:num w:numId="13">
    <w:abstractNumId w:val="29"/>
  </w:num>
  <w:num w:numId="14">
    <w:abstractNumId w:val="20"/>
  </w:num>
  <w:num w:numId="15">
    <w:abstractNumId w:val="26"/>
  </w:num>
  <w:num w:numId="16">
    <w:abstractNumId w:val="23"/>
  </w:num>
  <w:num w:numId="17">
    <w:abstractNumId w:val="15"/>
  </w:num>
  <w:num w:numId="18">
    <w:abstractNumId w:val="5"/>
  </w:num>
  <w:num w:numId="19">
    <w:abstractNumId w:val="34"/>
  </w:num>
  <w:num w:numId="20">
    <w:abstractNumId w:val="32"/>
  </w:num>
  <w:num w:numId="21">
    <w:abstractNumId w:val="40"/>
  </w:num>
  <w:num w:numId="22">
    <w:abstractNumId w:val="4"/>
  </w:num>
  <w:num w:numId="23">
    <w:abstractNumId w:val="2"/>
  </w:num>
  <w:num w:numId="24">
    <w:abstractNumId w:val="13"/>
  </w:num>
  <w:num w:numId="25">
    <w:abstractNumId w:val="27"/>
  </w:num>
  <w:num w:numId="26">
    <w:abstractNumId w:val="22"/>
  </w:num>
  <w:num w:numId="27">
    <w:abstractNumId w:val="31"/>
  </w:num>
  <w:num w:numId="28">
    <w:abstractNumId w:val="16"/>
  </w:num>
  <w:num w:numId="29">
    <w:abstractNumId w:val="7"/>
  </w:num>
  <w:num w:numId="30">
    <w:abstractNumId w:val="24"/>
  </w:num>
  <w:num w:numId="31">
    <w:abstractNumId w:val="11"/>
  </w:num>
  <w:num w:numId="32">
    <w:abstractNumId w:val="14"/>
  </w:num>
  <w:num w:numId="33">
    <w:abstractNumId w:val="33"/>
  </w:num>
  <w:num w:numId="34">
    <w:abstractNumId w:val="18"/>
  </w:num>
  <w:num w:numId="35">
    <w:abstractNumId w:val="8"/>
  </w:num>
  <w:num w:numId="36">
    <w:abstractNumId w:val="21"/>
  </w:num>
  <w:num w:numId="37">
    <w:abstractNumId w:val="30"/>
  </w:num>
  <w:num w:numId="38">
    <w:abstractNumId w:val="35"/>
  </w:num>
  <w:num w:numId="39">
    <w:abstractNumId w:val="9"/>
  </w:num>
  <w:num w:numId="40">
    <w:abstractNumId w:val="2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EE"/>
    <w:rsid w:val="00052795"/>
    <w:rsid w:val="000D6FE0"/>
    <w:rsid w:val="00157F6B"/>
    <w:rsid w:val="00192F34"/>
    <w:rsid w:val="002306F0"/>
    <w:rsid w:val="002B0215"/>
    <w:rsid w:val="002B637B"/>
    <w:rsid w:val="002D4646"/>
    <w:rsid w:val="002F2226"/>
    <w:rsid w:val="002F3BEF"/>
    <w:rsid w:val="00315152"/>
    <w:rsid w:val="00340E04"/>
    <w:rsid w:val="003A2C45"/>
    <w:rsid w:val="003F2A11"/>
    <w:rsid w:val="00411036"/>
    <w:rsid w:val="004A0847"/>
    <w:rsid w:val="004D128C"/>
    <w:rsid w:val="00500003"/>
    <w:rsid w:val="0053664E"/>
    <w:rsid w:val="00566117"/>
    <w:rsid w:val="00630081"/>
    <w:rsid w:val="00637749"/>
    <w:rsid w:val="00726782"/>
    <w:rsid w:val="00784C09"/>
    <w:rsid w:val="007B65F8"/>
    <w:rsid w:val="008A1549"/>
    <w:rsid w:val="008D1356"/>
    <w:rsid w:val="008E628D"/>
    <w:rsid w:val="0097412A"/>
    <w:rsid w:val="009A2AE9"/>
    <w:rsid w:val="00A50BCC"/>
    <w:rsid w:val="00A607CF"/>
    <w:rsid w:val="00AA4EB1"/>
    <w:rsid w:val="00AE6B82"/>
    <w:rsid w:val="00B3789D"/>
    <w:rsid w:val="00B4277E"/>
    <w:rsid w:val="00BC2450"/>
    <w:rsid w:val="00BE131F"/>
    <w:rsid w:val="00C64939"/>
    <w:rsid w:val="00D15162"/>
    <w:rsid w:val="00D224C8"/>
    <w:rsid w:val="00D22917"/>
    <w:rsid w:val="00D36D40"/>
    <w:rsid w:val="00DA0E0A"/>
    <w:rsid w:val="00DA1BA0"/>
    <w:rsid w:val="00E0470F"/>
    <w:rsid w:val="00E9412C"/>
    <w:rsid w:val="00EF68F5"/>
    <w:rsid w:val="00F20AEE"/>
    <w:rsid w:val="00F55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1569"/>
  <w15:chartTrackingRefBased/>
  <w15:docId w15:val="{AF8A90D4-1332-4E54-BB3E-4FB701E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F20AEE"/>
    <w:pPr>
      <w:keepNext/>
      <w:spacing w:after="0" w:line="240" w:lineRule="auto"/>
      <w:jc w:val="center"/>
      <w:outlineLvl w:val="0"/>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20AEE"/>
    <w:rPr>
      <w:rFonts w:ascii="Times New Roman" w:eastAsia="Times New Roman" w:hAnsi="Times New Roman" w:cs="Times New Roman"/>
      <w:b/>
      <w:bCs/>
      <w:sz w:val="24"/>
      <w:szCs w:val="24"/>
      <w:lang w:eastAsia="sl-SI"/>
    </w:rPr>
  </w:style>
  <w:style w:type="numbering" w:customStyle="1" w:styleId="Brezseznama1">
    <w:name w:val="Brez seznama1"/>
    <w:next w:val="Brezseznama"/>
    <w:uiPriority w:val="99"/>
    <w:semiHidden/>
    <w:unhideWhenUsed/>
    <w:rsid w:val="00F20AEE"/>
  </w:style>
  <w:style w:type="paragraph" w:styleId="Noga">
    <w:name w:val="footer"/>
    <w:basedOn w:val="Navaden"/>
    <w:link w:val="NogaZnak"/>
    <w:uiPriority w:val="99"/>
    <w:rsid w:val="00F20AEE"/>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Cs w:val="20"/>
      <w:lang w:val="x-none" w:eastAsia="x-none"/>
    </w:rPr>
  </w:style>
  <w:style w:type="character" w:customStyle="1" w:styleId="NogaZnak">
    <w:name w:val="Noga Znak"/>
    <w:basedOn w:val="Privzetapisavaodstavka"/>
    <w:link w:val="Noga"/>
    <w:uiPriority w:val="99"/>
    <w:rsid w:val="00F20AEE"/>
    <w:rPr>
      <w:rFonts w:ascii="Century Gothic" w:eastAsia="Times New Roman" w:hAnsi="Century Gothic" w:cs="Times New Roman"/>
      <w:szCs w:val="20"/>
      <w:lang w:val="x-none" w:eastAsia="x-none"/>
    </w:rPr>
  </w:style>
  <w:style w:type="paragraph" w:styleId="Telobesedila">
    <w:name w:val="Body Text"/>
    <w:basedOn w:val="Navaden"/>
    <w:link w:val="TelobesedilaZnak"/>
    <w:rsid w:val="00F20AEE"/>
    <w:pPr>
      <w:overflowPunct w:val="0"/>
      <w:autoSpaceDE w:val="0"/>
      <w:autoSpaceDN w:val="0"/>
      <w:adjustRightInd w:val="0"/>
      <w:spacing w:after="0" w:line="240" w:lineRule="auto"/>
      <w:jc w:val="both"/>
    </w:pPr>
    <w:rPr>
      <w:rFonts w:ascii="Century Gothic" w:eastAsia="Times New Roman" w:hAnsi="Century Gothic" w:cs="Times New Roman"/>
      <w:bCs/>
      <w:szCs w:val="20"/>
      <w:lang w:eastAsia="sl-SI"/>
    </w:rPr>
  </w:style>
  <w:style w:type="character" w:customStyle="1" w:styleId="TelobesedilaZnak">
    <w:name w:val="Telo besedila Znak"/>
    <w:basedOn w:val="Privzetapisavaodstavka"/>
    <w:link w:val="Telobesedila"/>
    <w:rsid w:val="00F20AEE"/>
    <w:rPr>
      <w:rFonts w:ascii="Century Gothic" w:eastAsia="Times New Roman" w:hAnsi="Century Gothic" w:cs="Times New Roman"/>
      <w:bCs/>
      <w:szCs w:val="20"/>
      <w:lang w:eastAsia="sl-SI"/>
    </w:rPr>
  </w:style>
  <w:style w:type="paragraph" w:customStyle="1" w:styleId="p">
    <w:name w:val="p"/>
    <w:basedOn w:val="Navaden"/>
    <w:rsid w:val="00F20AEE"/>
    <w:pPr>
      <w:spacing w:before="60" w:after="15" w:line="240" w:lineRule="auto"/>
      <w:ind w:left="15" w:right="15" w:firstLine="240"/>
      <w:jc w:val="both"/>
    </w:pPr>
    <w:rPr>
      <w:rFonts w:ascii="Arial" w:eastAsia="Times New Roman" w:hAnsi="Arial" w:cs="Arial"/>
      <w:color w:val="222222"/>
      <w:lang w:eastAsia="sl-SI"/>
    </w:rPr>
  </w:style>
  <w:style w:type="paragraph" w:styleId="Telobesedila2">
    <w:name w:val="Body Text 2"/>
    <w:basedOn w:val="Navaden"/>
    <w:link w:val="Telobesedila2Znak"/>
    <w:rsid w:val="00F20AEE"/>
    <w:pPr>
      <w:overflowPunct w:val="0"/>
      <w:autoSpaceDE w:val="0"/>
      <w:autoSpaceDN w:val="0"/>
      <w:adjustRightInd w:val="0"/>
      <w:spacing w:after="120" w:line="480" w:lineRule="auto"/>
    </w:pPr>
    <w:rPr>
      <w:rFonts w:ascii="Century Gothic" w:eastAsia="Times New Roman" w:hAnsi="Century Gothic" w:cs="Times New Roman"/>
      <w:szCs w:val="20"/>
      <w:lang w:eastAsia="sl-SI"/>
    </w:rPr>
  </w:style>
  <w:style w:type="character" w:customStyle="1" w:styleId="Telobesedila2Znak">
    <w:name w:val="Telo besedila 2 Znak"/>
    <w:basedOn w:val="Privzetapisavaodstavka"/>
    <w:link w:val="Telobesedila2"/>
    <w:rsid w:val="00F20AEE"/>
    <w:rPr>
      <w:rFonts w:ascii="Century Gothic" w:eastAsia="Times New Roman" w:hAnsi="Century Gothic" w:cs="Times New Roman"/>
      <w:szCs w:val="20"/>
      <w:lang w:eastAsia="sl-SI"/>
    </w:rPr>
  </w:style>
  <w:style w:type="character" w:styleId="tevilkastrani">
    <w:name w:val="page number"/>
    <w:basedOn w:val="Privzetapisavaodstavka"/>
    <w:rsid w:val="00F20AEE"/>
  </w:style>
  <w:style w:type="paragraph" w:styleId="Telobesedila3">
    <w:name w:val="Body Text 3"/>
    <w:basedOn w:val="Navaden"/>
    <w:link w:val="Telobesedila3Znak"/>
    <w:rsid w:val="00F20AEE"/>
    <w:pPr>
      <w:overflowPunct w:val="0"/>
      <w:autoSpaceDE w:val="0"/>
      <w:autoSpaceDN w:val="0"/>
      <w:adjustRightInd w:val="0"/>
      <w:spacing w:after="120" w:line="240" w:lineRule="auto"/>
    </w:pPr>
    <w:rPr>
      <w:rFonts w:ascii="Century Gothic" w:eastAsia="Times New Roman" w:hAnsi="Century Gothic" w:cs="Times New Roman"/>
      <w:sz w:val="16"/>
      <w:szCs w:val="16"/>
      <w:lang w:val="x-none" w:eastAsia="x-none"/>
    </w:rPr>
  </w:style>
  <w:style w:type="character" w:customStyle="1" w:styleId="Telobesedila3Znak">
    <w:name w:val="Telo besedila 3 Znak"/>
    <w:basedOn w:val="Privzetapisavaodstavka"/>
    <w:link w:val="Telobesedila3"/>
    <w:rsid w:val="00F20AEE"/>
    <w:rPr>
      <w:rFonts w:ascii="Century Gothic" w:eastAsia="Times New Roman" w:hAnsi="Century Gothic" w:cs="Times New Roman"/>
      <w:sz w:val="16"/>
      <w:szCs w:val="16"/>
      <w:lang w:val="x-none" w:eastAsia="x-none"/>
    </w:rPr>
  </w:style>
  <w:style w:type="paragraph" w:styleId="Odstavekseznama">
    <w:name w:val="List Paragraph"/>
    <w:basedOn w:val="Navaden"/>
    <w:uiPriority w:val="34"/>
    <w:qFormat/>
    <w:rsid w:val="00F20AEE"/>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S">
    <w:name w:val="S"/>
    <w:basedOn w:val="Navaden"/>
    <w:rsid w:val="00F20AEE"/>
    <w:pPr>
      <w:spacing w:after="0" w:line="240" w:lineRule="auto"/>
      <w:jc w:val="both"/>
    </w:pPr>
    <w:rPr>
      <w:rFonts w:ascii="Times New Roman" w:eastAsia="Times New Roman" w:hAnsi="Times New Roman" w:cs="Times New Roman"/>
      <w:sz w:val="24"/>
      <w:szCs w:val="20"/>
      <w:lang w:val="en-GB" w:eastAsia="sl-SI"/>
    </w:rPr>
  </w:style>
  <w:style w:type="paragraph" w:styleId="Glava">
    <w:name w:val="header"/>
    <w:basedOn w:val="Navaden"/>
    <w:link w:val="GlavaZnak"/>
    <w:rsid w:val="00F20AEE"/>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Cs w:val="20"/>
      <w:lang w:val="x-none" w:eastAsia="x-none"/>
    </w:rPr>
  </w:style>
  <w:style w:type="character" w:customStyle="1" w:styleId="GlavaZnak">
    <w:name w:val="Glava Znak"/>
    <w:basedOn w:val="Privzetapisavaodstavka"/>
    <w:link w:val="Glava"/>
    <w:rsid w:val="00F20AEE"/>
    <w:rPr>
      <w:rFonts w:ascii="Century Gothic" w:eastAsia="Times New Roman" w:hAnsi="Century Gothic" w:cs="Times New Roman"/>
      <w:szCs w:val="20"/>
      <w:lang w:val="x-none" w:eastAsia="x-none"/>
    </w:rPr>
  </w:style>
  <w:style w:type="table" w:styleId="Tabelamrea">
    <w:name w:val="Table Grid"/>
    <w:basedOn w:val="Navadnatabela"/>
    <w:rsid w:val="00F20AE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avaden"/>
    <w:rsid w:val="00F20AEE"/>
    <w:pPr>
      <w:numPr>
        <w:numId w:val="7"/>
      </w:numPr>
      <w:overflowPunct w:val="0"/>
      <w:autoSpaceDE w:val="0"/>
      <w:autoSpaceDN w:val="0"/>
      <w:adjustRightInd w:val="0"/>
      <w:spacing w:after="0" w:line="240" w:lineRule="auto"/>
    </w:pPr>
    <w:rPr>
      <w:rFonts w:ascii="Century Gothic" w:eastAsia="Times New Roman" w:hAnsi="Century Gothic" w:cs="Times New Roman"/>
      <w:szCs w:val="20"/>
      <w:lang w:eastAsia="sl-SI"/>
    </w:rPr>
  </w:style>
  <w:style w:type="paragraph" w:styleId="Pripombabesedilo">
    <w:name w:val="annotation text"/>
    <w:basedOn w:val="Navaden"/>
    <w:link w:val="PripombabesediloZnak"/>
    <w:uiPriority w:val="99"/>
    <w:semiHidden/>
    <w:unhideWhenUsed/>
    <w:rsid w:val="004D128C"/>
    <w:pPr>
      <w:spacing w:line="240" w:lineRule="auto"/>
    </w:pPr>
    <w:rPr>
      <w:sz w:val="20"/>
      <w:szCs w:val="20"/>
    </w:rPr>
  </w:style>
  <w:style w:type="character" w:customStyle="1" w:styleId="PripombabesediloZnak">
    <w:name w:val="Pripomba – besedilo Znak"/>
    <w:basedOn w:val="Privzetapisavaodstavka"/>
    <w:link w:val="Pripombabesedilo"/>
    <w:uiPriority w:val="99"/>
    <w:rsid w:val="004D128C"/>
    <w:rPr>
      <w:sz w:val="20"/>
      <w:szCs w:val="20"/>
    </w:rPr>
  </w:style>
  <w:style w:type="character" w:styleId="Pripombasklic">
    <w:name w:val="annotation reference"/>
    <w:basedOn w:val="Privzetapisavaodstavka"/>
    <w:uiPriority w:val="99"/>
    <w:semiHidden/>
    <w:unhideWhenUsed/>
    <w:rsid w:val="004D128C"/>
    <w:rPr>
      <w:sz w:val="16"/>
      <w:szCs w:val="16"/>
    </w:rPr>
  </w:style>
  <w:style w:type="paragraph" w:styleId="Besedilooblaka">
    <w:name w:val="Balloon Text"/>
    <w:basedOn w:val="Navaden"/>
    <w:link w:val="BesedilooblakaZnak"/>
    <w:uiPriority w:val="99"/>
    <w:semiHidden/>
    <w:unhideWhenUsed/>
    <w:rsid w:val="004D12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1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71266">
      <w:bodyDiv w:val="1"/>
      <w:marLeft w:val="0"/>
      <w:marRight w:val="0"/>
      <w:marTop w:val="0"/>
      <w:marBottom w:val="0"/>
      <w:divBdr>
        <w:top w:val="none" w:sz="0" w:space="0" w:color="auto"/>
        <w:left w:val="none" w:sz="0" w:space="0" w:color="auto"/>
        <w:bottom w:val="none" w:sz="0" w:space="0" w:color="auto"/>
        <w:right w:val="none" w:sz="0" w:space="0" w:color="auto"/>
      </w:divBdr>
      <w:divsChild>
        <w:div w:id="902836311">
          <w:marLeft w:val="0"/>
          <w:marRight w:val="0"/>
          <w:marTop w:val="0"/>
          <w:marBottom w:val="0"/>
          <w:divBdr>
            <w:top w:val="none" w:sz="0" w:space="0" w:color="auto"/>
            <w:left w:val="none" w:sz="0" w:space="0" w:color="auto"/>
            <w:bottom w:val="none" w:sz="0" w:space="0" w:color="auto"/>
            <w:right w:val="none" w:sz="0" w:space="0" w:color="auto"/>
          </w:divBdr>
        </w:div>
        <w:div w:id="55669407">
          <w:marLeft w:val="0"/>
          <w:marRight w:val="0"/>
          <w:marTop w:val="0"/>
          <w:marBottom w:val="0"/>
          <w:divBdr>
            <w:top w:val="none" w:sz="0" w:space="0" w:color="auto"/>
            <w:left w:val="none" w:sz="0" w:space="0" w:color="auto"/>
            <w:bottom w:val="none" w:sz="0" w:space="0" w:color="auto"/>
            <w:right w:val="none" w:sz="0" w:space="0" w:color="auto"/>
          </w:divBdr>
        </w:div>
        <w:div w:id="866989254">
          <w:marLeft w:val="0"/>
          <w:marRight w:val="0"/>
          <w:marTop w:val="0"/>
          <w:marBottom w:val="0"/>
          <w:divBdr>
            <w:top w:val="none" w:sz="0" w:space="0" w:color="auto"/>
            <w:left w:val="none" w:sz="0" w:space="0" w:color="auto"/>
            <w:bottom w:val="none" w:sz="0" w:space="0" w:color="auto"/>
            <w:right w:val="none" w:sz="0" w:space="0" w:color="auto"/>
          </w:divBdr>
        </w:div>
        <w:div w:id="1580947637">
          <w:marLeft w:val="0"/>
          <w:marRight w:val="0"/>
          <w:marTop w:val="0"/>
          <w:marBottom w:val="0"/>
          <w:divBdr>
            <w:top w:val="none" w:sz="0" w:space="0" w:color="auto"/>
            <w:left w:val="none" w:sz="0" w:space="0" w:color="auto"/>
            <w:bottom w:val="none" w:sz="0" w:space="0" w:color="auto"/>
            <w:right w:val="none" w:sz="0" w:space="0" w:color="auto"/>
          </w:divBdr>
        </w:div>
        <w:div w:id="1574044060">
          <w:marLeft w:val="0"/>
          <w:marRight w:val="0"/>
          <w:marTop w:val="0"/>
          <w:marBottom w:val="0"/>
          <w:divBdr>
            <w:top w:val="none" w:sz="0" w:space="0" w:color="auto"/>
            <w:left w:val="none" w:sz="0" w:space="0" w:color="auto"/>
            <w:bottom w:val="none" w:sz="0" w:space="0" w:color="auto"/>
            <w:right w:val="none" w:sz="0" w:space="0" w:color="auto"/>
          </w:divBdr>
        </w:div>
        <w:div w:id="238911333">
          <w:marLeft w:val="0"/>
          <w:marRight w:val="0"/>
          <w:marTop w:val="0"/>
          <w:marBottom w:val="0"/>
          <w:divBdr>
            <w:top w:val="none" w:sz="0" w:space="0" w:color="auto"/>
            <w:left w:val="none" w:sz="0" w:space="0" w:color="auto"/>
            <w:bottom w:val="none" w:sz="0" w:space="0" w:color="auto"/>
            <w:right w:val="none" w:sz="0" w:space="0" w:color="auto"/>
          </w:divBdr>
        </w:div>
        <w:div w:id="58871760">
          <w:marLeft w:val="0"/>
          <w:marRight w:val="0"/>
          <w:marTop w:val="0"/>
          <w:marBottom w:val="0"/>
          <w:divBdr>
            <w:top w:val="none" w:sz="0" w:space="0" w:color="auto"/>
            <w:left w:val="none" w:sz="0" w:space="0" w:color="auto"/>
            <w:bottom w:val="none" w:sz="0" w:space="0" w:color="auto"/>
            <w:right w:val="none" w:sz="0" w:space="0" w:color="auto"/>
          </w:divBdr>
        </w:div>
        <w:div w:id="1847936729">
          <w:marLeft w:val="0"/>
          <w:marRight w:val="0"/>
          <w:marTop w:val="0"/>
          <w:marBottom w:val="0"/>
          <w:divBdr>
            <w:top w:val="none" w:sz="0" w:space="0" w:color="auto"/>
            <w:left w:val="none" w:sz="0" w:space="0" w:color="auto"/>
            <w:bottom w:val="none" w:sz="0" w:space="0" w:color="auto"/>
            <w:right w:val="none" w:sz="0" w:space="0" w:color="auto"/>
          </w:divBdr>
        </w:div>
      </w:divsChild>
    </w:div>
    <w:div w:id="14640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5917</Words>
  <Characters>33731</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Zafošnik</dc:creator>
  <cp:keywords/>
  <dc:description/>
  <cp:lastModifiedBy>makole22</cp:lastModifiedBy>
  <cp:revision>6</cp:revision>
  <cp:lastPrinted>2023-11-21T07:24:00Z</cp:lastPrinted>
  <dcterms:created xsi:type="dcterms:W3CDTF">2024-03-11T08:28:00Z</dcterms:created>
  <dcterms:modified xsi:type="dcterms:W3CDTF">2024-03-26T09:56:00Z</dcterms:modified>
</cp:coreProperties>
</file>