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8" w:rsidRDefault="004E0228" w:rsidP="00B96FF8">
      <w:pPr>
        <w:spacing w:line="276" w:lineRule="auto"/>
        <w:jc w:val="right"/>
        <w:rPr>
          <w:rFonts w:ascii="Times New Roman" w:hAnsi="Times New Roman" w:cs="Times New Roman"/>
          <w:b/>
          <w:bCs/>
          <w:smallCaps/>
          <w:color w:val="33333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mallCaps/>
          <w:color w:val="333333"/>
          <w:highlight w:val="lightGray"/>
        </w:rPr>
        <w:t>Predlog: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  <w:color w:val="333333"/>
        </w:rPr>
      </w:pPr>
    </w:p>
    <w:p w:rsidR="004E0228" w:rsidRDefault="004E0228" w:rsidP="00172B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podlagi 5. člena Uredbe o metodologiji za oblikovanje cen storitev obveznih </w:t>
      </w:r>
      <w:r w:rsidR="00365219">
        <w:rPr>
          <w:rFonts w:ascii="Times New Roman" w:hAnsi="Times New Roman" w:cs="Times New Roman"/>
        </w:rPr>
        <w:t xml:space="preserve">občinskih </w:t>
      </w:r>
      <w:r>
        <w:rPr>
          <w:rFonts w:ascii="Times New Roman" w:hAnsi="Times New Roman" w:cs="Times New Roman"/>
        </w:rPr>
        <w:t>gospodarskih javnih služb varstva okolj</w:t>
      </w:r>
      <w:r w:rsidR="00365219">
        <w:rPr>
          <w:rFonts w:ascii="Times New Roman" w:hAnsi="Times New Roman" w:cs="Times New Roman"/>
        </w:rPr>
        <w:t>a (Uradni list RS, št. 87/12 ,</w:t>
      </w:r>
      <w:r>
        <w:rPr>
          <w:rFonts w:ascii="Times New Roman" w:hAnsi="Times New Roman" w:cs="Times New Roman"/>
        </w:rPr>
        <w:t>109/12</w:t>
      </w:r>
      <w:r w:rsidR="00365219">
        <w:rPr>
          <w:rFonts w:ascii="Times New Roman" w:hAnsi="Times New Roman" w:cs="Times New Roman"/>
        </w:rPr>
        <w:t xml:space="preserve"> in 76/2017</w:t>
      </w:r>
      <w:r>
        <w:rPr>
          <w:rFonts w:ascii="Times New Roman" w:hAnsi="Times New Roman" w:cs="Times New Roman"/>
        </w:rPr>
        <w:t>) in 16. člena Statuta Občine Sveta Trojica v Slovenskih goricah (MUV, št. 22/10</w:t>
      </w:r>
      <w:r w:rsidR="003514BA">
        <w:rPr>
          <w:rFonts w:ascii="Times New Roman" w:hAnsi="Times New Roman" w:cs="Times New Roman"/>
        </w:rPr>
        <w:t xml:space="preserve">, </w:t>
      </w:r>
      <w:r w:rsidR="001E2DF0">
        <w:rPr>
          <w:rFonts w:ascii="Times New Roman" w:hAnsi="Times New Roman" w:cs="Times New Roman"/>
        </w:rPr>
        <w:t>12/14</w:t>
      </w:r>
      <w:r w:rsidR="003514BA">
        <w:rPr>
          <w:rFonts w:ascii="Times New Roman" w:hAnsi="Times New Roman" w:cs="Times New Roman"/>
        </w:rPr>
        <w:t xml:space="preserve"> in UGSO št. 57/17</w:t>
      </w:r>
      <w:r>
        <w:rPr>
          <w:rFonts w:ascii="Times New Roman" w:hAnsi="Times New Roman" w:cs="Times New Roman"/>
        </w:rPr>
        <w:t>), je Občinski svet Občine Sveta Trojica v Slovenskih goricah na ________  seji, dne ___________, sprejel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</w:p>
    <w:p w:rsidR="00172B82" w:rsidRDefault="004E0228" w:rsidP="00B96FF8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 xml:space="preserve">SKLEP </w:t>
      </w:r>
    </w:p>
    <w:p w:rsidR="00172B82" w:rsidRDefault="00172B82" w:rsidP="00B96FF8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 xml:space="preserve">o sprejemu </w:t>
      </w:r>
      <w:r w:rsidR="004E0228"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</w:rPr>
        <w:t>Elaborata za oblikovanje</w:t>
      </w:r>
      <w:r w:rsidR="004E0228">
        <w:rPr>
          <w:rFonts w:ascii="Times New Roman" w:hAnsi="Times New Roman" w:cs="Times New Roman"/>
          <w:b/>
          <w:bCs/>
          <w:smallCaps/>
          <w:sz w:val="24"/>
        </w:rPr>
        <w:t xml:space="preserve"> cen storitev obveznih občinskih gospodarskih javnih služb varstva okolja oskrbe s pitno vodo Mariborskega vodovoda d.d. na območju občine Sveta Trojica v</w:t>
      </w:r>
      <w:r w:rsidR="009E49D3">
        <w:rPr>
          <w:rFonts w:ascii="Times New Roman" w:hAnsi="Times New Roman" w:cs="Times New Roman"/>
          <w:b/>
          <w:bCs/>
          <w:smallCaps/>
          <w:sz w:val="24"/>
        </w:rPr>
        <w:t xml:space="preserve"> Slovenskih goricah </w:t>
      </w:r>
    </w:p>
    <w:p w:rsidR="004E0228" w:rsidRDefault="003514BA" w:rsidP="00B96FF8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mallCaps/>
          <w:sz w:val="24"/>
        </w:rPr>
        <w:t>za leto 2018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</w:p>
    <w:p w:rsidR="004E0228" w:rsidRDefault="004E0228" w:rsidP="00B96F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člen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</w:p>
    <w:p w:rsidR="004E0228" w:rsidRDefault="004E0228" w:rsidP="00A35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Občinski svet Občine Sveta Trojica v Slovenskih goricah sprejema Elaborat za oblikovanje cen storitev obveznih gospodarskih javnih služb varstva okolja oskrbe s pitno vodo Mariborskega vodovoda d.d. na območju občine Sveta Trojica v Slovenskih goricah, s katerim je določena cena vode (vodarina) v višini   </w:t>
      </w:r>
      <w:r w:rsidRPr="001E2DF0">
        <w:rPr>
          <w:rFonts w:ascii="Times New Roman" w:hAnsi="Times New Roman" w:cs="Times New Roman"/>
        </w:rPr>
        <w:t>0,</w:t>
      </w:r>
      <w:r w:rsidR="00341227">
        <w:rPr>
          <w:rFonts w:ascii="Times New Roman" w:hAnsi="Times New Roman" w:cs="Times New Roman"/>
        </w:rPr>
        <w:t>8013</w:t>
      </w:r>
      <w:r w:rsidRPr="001E2DF0">
        <w:rPr>
          <w:rFonts w:ascii="Times New Roman" w:hAnsi="Times New Roman" w:cs="Times New Roman"/>
        </w:rPr>
        <w:t xml:space="preserve"> € / m</w:t>
      </w:r>
      <w:r w:rsidRPr="001E2DF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porabljene vode (brez DD</w:t>
      </w:r>
      <w:r w:rsidRPr="001E2DF0">
        <w:rPr>
          <w:rFonts w:ascii="Times New Roman" w:hAnsi="Times New Roman" w:cs="Times New Roman"/>
        </w:rPr>
        <w:t>V),</w:t>
      </w:r>
      <w:r w:rsidRPr="001E2DF0">
        <w:rPr>
          <w:rFonts w:ascii="Times New Roman" w:hAnsi="Times New Roman" w:cs="Times New Roman"/>
          <w:b/>
        </w:rPr>
        <w:t xml:space="preserve">  </w:t>
      </w:r>
      <w:r w:rsidRPr="00A3551B">
        <w:rPr>
          <w:rFonts w:ascii="Times New Roman" w:hAnsi="Times New Roman" w:cs="Times New Roman"/>
          <w:b/>
        </w:rPr>
        <w:t xml:space="preserve">to je </w:t>
      </w:r>
      <w:r w:rsidR="00A3551B" w:rsidRPr="00A3551B">
        <w:rPr>
          <w:rFonts w:ascii="Times New Roman" w:hAnsi="Times New Roman" w:cs="Times New Roman"/>
          <w:b/>
        </w:rPr>
        <w:t xml:space="preserve">0,8774 </w:t>
      </w:r>
      <w:r w:rsidRPr="00A3551B">
        <w:rPr>
          <w:rFonts w:ascii="Times New Roman" w:hAnsi="Times New Roman" w:cs="Times New Roman"/>
          <w:b/>
        </w:rPr>
        <w:t>€/m3 z DDV</w:t>
      </w:r>
      <w:r>
        <w:rPr>
          <w:rFonts w:ascii="Times New Roman" w:hAnsi="Times New Roman" w:cs="Times New Roman"/>
        </w:rPr>
        <w:t xml:space="preserve">  in mesečna tarifa </w:t>
      </w:r>
      <w:proofErr w:type="spellStart"/>
      <w:r>
        <w:rPr>
          <w:rFonts w:ascii="Times New Roman" w:hAnsi="Times New Roman" w:cs="Times New Roman"/>
        </w:rPr>
        <w:t>omrežnine</w:t>
      </w:r>
      <w:proofErr w:type="spellEnd"/>
      <w:r>
        <w:rPr>
          <w:rFonts w:ascii="Times New Roman" w:hAnsi="Times New Roman" w:cs="Times New Roman"/>
        </w:rPr>
        <w:t xml:space="preserve">, kot so navedene v zadnjem stolpcu tabele, glede na dimenzijo števca vodovodnega priključka: </w:t>
      </w:r>
    </w:p>
    <w:p w:rsidR="004E0228" w:rsidRDefault="004E0228" w:rsidP="00B96FF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773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789"/>
        <w:gridCol w:w="2789"/>
      </w:tblGrid>
      <w:tr w:rsidR="004E0228" w:rsidTr="004E022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28" w:rsidRDefault="004E0228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Dimenzija števca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28" w:rsidRDefault="004E0228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OMREŽNINA MESEČNO v  €   ( brez DDV)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8" w:rsidRDefault="004E0228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OMREŽNINA MESEČNO v  €   ( z </w:t>
            </w:r>
            <w:r w:rsidR="00C15802">
              <w:rPr>
                <w:rFonts w:ascii="Times New Roman" w:hAnsi="Times New Roman" w:cs="Times New Roman"/>
              </w:rPr>
              <w:t xml:space="preserve">9,5% </w:t>
            </w:r>
            <w:r>
              <w:rPr>
                <w:rFonts w:ascii="Times New Roman" w:hAnsi="Times New Roman" w:cs="Times New Roman"/>
              </w:rPr>
              <w:t>DDV)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A355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10,70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10,70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32,09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32,09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97,69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106,97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160,45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80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488,43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534,83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976,87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Pr="00A73903" w:rsidRDefault="00A3551B" w:rsidP="00A3551B">
            <w:pPr>
              <w:jc w:val="right"/>
            </w:pPr>
            <w:r w:rsidRPr="00A73903">
              <w:t>1.069,67</w:t>
            </w:r>
          </w:p>
        </w:tc>
      </w:tr>
      <w:tr w:rsidR="00A3551B" w:rsidTr="008053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B" w:rsidRDefault="00A3551B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1B" w:rsidRPr="00C15802" w:rsidRDefault="00A3551B" w:rsidP="00B96FF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16CF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953,74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1B" w:rsidRDefault="00A3551B" w:rsidP="00A3551B">
            <w:pPr>
              <w:jc w:val="right"/>
            </w:pPr>
            <w:r w:rsidRPr="00A73903">
              <w:t>2.139,35</w:t>
            </w:r>
          </w:p>
        </w:tc>
      </w:tr>
    </w:tbl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</w:p>
    <w:p w:rsidR="0066067C" w:rsidRDefault="0066067C" w:rsidP="00B96FF8">
      <w:pPr>
        <w:spacing w:line="276" w:lineRule="auto"/>
        <w:rPr>
          <w:rFonts w:ascii="Times New Roman" w:hAnsi="Times New Roman" w:cs="Times New Roman"/>
        </w:rPr>
      </w:pPr>
    </w:p>
    <w:p w:rsidR="004E0228" w:rsidRDefault="004E0228" w:rsidP="00B96F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člen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sklep začne veljati naslednji dan po objavi v Uradnem glasilu slovenskih občin. </w:t>
      </w:r>
    </w:p>
    <w:p w:rsidR="004E0228" w:rsidRDefault="004E0228" w:rsidP="00B96FF8">
      <w:pPr>
        <w:spacing w:line="276" w:lineRule="auto"/>
        <w:jc w:val="center"/>
        <w:rPr>
          <w:rFonts w:ascii="Times New Roman" w:hAnsi="Times New Roman" w:cs="Times New Roman"/>
        </w:rPr>
      </w:pP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Številka: </w:t>
      </w:r>
      <w:r w:rsidR="0092042D">
        <w:rPr>
          <w:rFonts w:ascii="Times New Roman" w:hAnsi="Times New Roman" w:cs="Times New Roman"/>
        </w:rPr>
        <w:t>35403-1/2016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4E0228" w:rsidRDefault="004E0228" w:rsidP="00B96FF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2B82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Župan</w:t>
      </w:r>
    </w:p>
    <w:p w:rsidR="004E0228" w:rsidRDefault="004E0228" w:rsidP="00B96F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Občine Sveta Trojica v Slovenskih goricah</w:t>
      </w:r>
    </w:p>
    <w:p w:rsidR="001E2DF0" w:rsidRDefault="004E0228" w:rsidP="00B96FF8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Darko FRAS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univ.dipl.prav.</w:t>
      </w:r>
    </w:p>
    <w:p w:rsidR="00A3551B" w:rsidRPr="00172B82" w:rsidRDefault="00A3551B" w:rsidP="00B96FF8">
      <w:pPr>
        <w:spacing w:line="276" w:lineRule="auto"/>
        <w:rPr>
          <w:rFonts w:ascii="Times New Roman" w:hAnsi="Times New Roman" w:cs="Times New Roman"/>
          <w:i/>
          <w:iCs/>
        </w:rPr>
      </w:pPr>
    </w:p>
    <w:p w:rsidR="00C15802" w:rsidRDefault="00172B82" w:rsidP="00172B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lastRenderedPageBreak/>
        <w:t>OBRAZLOŽITEV</w:t>
      </w:r>
    </w:p>
    <w:p w:rsidR="00172B82" w:rsidRDefault="00172B82" w:rsidP="0025530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172B82" w:rsidRDefault="00172B82" w:rsidP="0025530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8D6E69" w:rsidRDefault="00603C2C" w:rsidP="0025530E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25530E">
        <w:rPr>
          <w:rFonts w:ascii="Times New Roman" w:hAnsi="Times New Roman" w:cs="Times New Roman"/>
          <w:b/>
        </w:rPr>
        <w:t>ELABORAT</w:t>
      </w:r>
    </w:p>
    <w:p w:rsidR="00172B82" w:rsidRPr="0025530E" w:rsidRDefault="00172B82" w:rsidP="0025530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172B82" w:rsidRDefault="008930A4" w:rsidP="007F4D42">
      <w:pPr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7F4D42">
        <w:rPr>
          <w:rFonts w:ascii="Times New Roman" w:hAnsi="Times New Roman" w:cs="Times New Roman"/>
          <w:b/>
        </w:rPr>
        <w:t xml:space="preserve">2 </w:t>
      </w:r>
      <w:r w:rsidR="00476C06" w:rsidRPr="007F4D42">
        <w:rPr>
          <w:rFonts w:ascii="Times New Roman" w:hAnsi="Times New Roman" w:cs="Times New Roman"/>
          <w:b/>
        </w:rPr>
        <w:t>Elabo</w:t>
      </w:r>
      <w:r w:rsidR="00316CFD">
        <w:rPr>
          <w:rFonts w:ascii="Times New Roman" w:hAnsi="Times New Roman" w:cs="Times New Roman"/>
          <w:b/>
        </w:rPr>
        <w:t>rat GJS oskrbe s pitno vodo 2018</w:t>
      </w:r>
    </w:p>
    <w:p w:rsidR="00316CFD" w:rsidRPr="007F4D42" w:rsidRDefault="00316CFD" w:rsidP="00316CFD">
      <w:pPr>
        <w:spacing w:line="276" w:lineRule="auto"/>
        <w:rPr>
          <w:rFonts w:ascii="Times New Roman" w:hAnsi="Times New Roman" w:cs="Times New Roman"/>
          <w:b/>
        </w:rPr>
      </w:pPr>
    </w:p>
    <w:p w:rsidR="00172B82" w:rsidRDefault="00172B82" w:rsidP="00172B82">
      <w:pPr>
        <w:pStyle w:val="Odstavekseznama"/>
        <w:spacing w:line="276" w:lineRule="auto"/>
        <w:ind w:left="1080"/>
        <w:rPr>
          <w:rFonts w:ascii="Times New Roman" w:hAnsi="Times New Roman" w:cs="Times New Roman"/>
          <w:b/>
        </w:rPr>
      </w:pPr>
    </w:p>
    <w:p w:rsidR="0025530E" w:rsidRPr="0025530E" w:rsidRDefault="0025530E" w:rsidP="0025530E">
      <w:pPr>
        <w:spacing w:line="276" w:lineRule="auto"/>
        <w:rPr>
          <w:rFonts w:ascii="Times New Roman" w:hAnsi="Times New Roman" w:cs="Times New Roman"/>
          <w:b/>
        </w:rPr>
      </w:pPr>
    </w:p>
    <w:p w:rsidR="008D6E69" w:rsidRPr="00CE1B5B" w:rsidRDefault="008930A4" w:rsidP="00CE1B5B">
      <w:pPr>
        <w:pStyle w:val="Odstavekseznama"/>
        <w:spacing w:line="276" w:lineRule="auto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CE1B5B">
        <w:rPr>
          <w:rFonts w:ascii="Times New Roman" w:hAnsi="Times New Roman" w:cs="Times New Roman"/>
          <w:b/>
        </w:rPr>
        <w:t xml:space="preserve">3 </w:t>
      </w:r>
      <w:r w:rsidR="008D6E69" w:rsidRPr="00CE1B5B">
        <w:rPr>
          <w:rFonts w:ascii="Times New Roman" w:hAnsi="Times New Roman" w:cs="Times New Roman"/>
          <w:b/>
        </w:rPr>
        <w:t>Obrazložitev Občinske uprave</w:t>
      </w:r>
    </w:p>
    <w:p w:rsidR="00D76470" w:rsidRDefault="00D76470" w:rsidP="00B96FF8">
      <w:pPr>
        <w:spacing w:line="276" w:lineRule="auto"/>
        <w:jc w:val="both"/>
        <w:rPr>
          <w:rFonts w:ascii="Times New Roman" w:hAnsi="Times New Roman" w:cs="Times New Roman"/>
        </w:rPr>
      </w:pPr>
    </w:p>
    <w:p w:rsidR="001269CB" w:rsidRDefault="00206407" w:rsidP="00B96F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</w:t>
      </w:r>
      <w:r w:rsidRPr="0085580C">
        <w:rPr>
          <w:rFonts w:ascii="Times New Roman" w:hAnsi="Times New Roman" w:cs="Times New Roman"/>
        </w:rPr>
        <w:t>Uredbe o metodologiji za oblikovanje cen storitev obveznih gospodarskih javnih služb varstva okolja (Uradni list RS, št. 87/2012 in 109/2012)</w:t>
      </w:r>
      <w:r>
        <w:rPr>
          <w:rFonts w:ascii="Times New Roman" w:hAnsi="Times New Roman" w:cs="Times New Roman"/>
        </w:rPr>
        <w:t xml:space="preserve"> je Vlada RS določila  način oblikovanja cene oskrbe s pitno vodo.   </w:t>
      </w:r>
      <w:r w:rsidR="00476C06">
        <w:rPr>
          <w:rFonts w:ascii="Times New Roman" w:hAnsi="Times New Roman" w:cs="Times New Roman"/>
        </w:rPr>
        <w:t xml:space="preserve">Cena je sestavljena iz </w:t>
      </w:r>
      <w:proofErr w:type="spellStart"/>
      <w:r w:rsidR="00476C06">
        <w:rPr>
          <w:rFonts w:ascii="Times New Roman" w:hAnsi="Times New Roman" w:cs="Times New Roman"/>
        </w:rPr>
        <w:t>omrežnine</w:t>
      </w:r>
      <w:proofErr w:type="spellEnd"/>
      <w:r w:rsidR="00476C06">
        <w:rPr>
          <w:rFonts w:ascii="Times New Roman" w:hAnsi="Times New Roman" w:cs="Times New Roman"/>
        </w:rPr>
        <w:t xml:space="preserve"> (vključuje stroške javne infrastrukture) in vodarine (stroške opravljanja storitev). Ceno javne službe predlaga izvajalec z elaboratom o oblikovanju cene izvajanja javne službe in jo predloži pristojnemu občinskemu organu v potrditev.</w:t>
      </w:r>
      <w:r w:rsidR="00A739E4">
        <w:rPr>
          <w:rFonts w:ascii="Times New Roman" w:hAnsi="Times New Roman" w:cs="Times New Roman"/>
        </w:rPr>
        <w:t xml:space="preserve"> </w:t>
      </w:r>
      <w:r w:rsidR="00B96FF8">
        <w:rPr>
          <w:rFonts w:ascii="Times New Roman" w:hAnsi="Times New Roman" w:cs="Times New Roman"/>
        </w:rPr>
        <w:t xml:space="preserve">V primeru, da razlika med potrjeno ceno (obstoječo)  in predračunsko ceno  iz tekočega elaborata presega deset odstotkov, novo ceno potrjuje Občinski svet. </w:t>
      </w:r>
      <w:r w:rsidR="00D76470" w:rsidRPr="00D76470">
        <w:rPr>
          <w:rFonts w:ascii="Times New Roman" w:hAnsi="Times New Roman" w:cs="Times New Roman"/>
        </w:rPr>
        <w:t xml:space="preserve">Trenutno veljavna cena je sprejeta s </w:t>
      </w:r>
      <w:r w:rsidR="00D76470" w:rsidRPr="00476C06">
        <w:rPr>
          <w:rFonts w:ascii="Times New Roman" w:hAnsi="Times New Roman" w:cs="Times New Roman"/>
        </w:rPr>
        <w:t xml:space="preserve">Sklepom </w:t>
      </w:r>
      <w:r w:rsidR="00D76470" w:rsidRPr="00476C06">
        <w:rPr>
          <w:rFonts w:ascii="Times New Roman" w:eastAsiaTheme="minorHAnsi" w:hAnsi="Times New Roman" w:cs="Times New Roman"/>
          <w:bCs/>
        </w:rPr>
        <w:t xml:space="preserve">o sprejemu Elaborata za oblikovanju cen storitev obveznih občinskih gospodarskih javnih služb varstva okolja oskrbe s pitno vodo Mariborskega vodovoda d.d. na območju občine Sveta Trojica v Slovenskih goricah za leto </w:t>
      </w:r>
      <w:r w:rsidR="00D76470" w:rsidRPr="00316CFD">
        <w:rPr>
          <w:rFonts w:ascii="Times New Roman" w:eastAsiaTheme="minorHAnsi" w:hAnsi="Times New Roman" w:cs="Times New Roman"/>
          <w:b/>
          <w:bCs/>
        </w:rPr>
        <w:t xml:space="preserve">2014 </w:t>
      </w:r>
      <w:r w:rsidR="00D76470" w:rsidRPr="00476C06">
        <w:rPr>
          <w:rFonts w:ascii="Times New Roman" w:eastAsiaTheme="minorHAnsi" w:hAnsi="Times New Roman" w:cs="Times New Roman"/>
          <w:bCs/>
        </w:rPr>
        <w:t>(MUV, št. 6/2014 )</w:t>
      </w:r>
      <w:r w:rsidR="00D76470" w:rsidRPr="00D76470">
        <w:rPr>
          <w:rFonts w:ascii="Times New Roman" w:hAnsi="Times New Roman" w:cs="Times New Roman"/>
        </w:rPr>
        <w:t xml:space="preserve"> </w:t>
      </w:r>
      <w:r w:rsidR="00316CFD">
        <w:rPr>
          <w:rFonts w:ascii="Times New Roman" w:hAnsi="Times New Roman" w:cs="Times New Roman"/>
        </w:rPr>
        <w:t xml:space="preserve">z </w:t>
      </w:r>
      <w:r w:rsidR="00D76470" w:rsidRPr="00D76470">
        <w:rPr>
          <w:rFonts w:ascii="Times New Roman" w:hAnsi="Times New Roman" w:cs="Times New Roman"/>
        </w:rPr>
        <w:t>dne 20. 3. 201</w:t>
      </w:r>
      <w:r w:rsidR="00476C06">
        <w:rPr>
          <w:rFonts w:ascii="Times New Roman" w:hAnsi="Times New Roman" w:cs="Times New Roman"/>
        </w:rPr>
        <w:t>4 na 26. seji Občinskega sveta O</w:t>
      </w:r>
      <w:r w:rsidR="00D76470" w:rsidRPr="00D76470">
        <w:rPr>
          <w:rFonts w:ascii="Times New Roman" w:hAnsi="Times New Roman" w:cs="Times New Roman"/>
        </w:rPr>
        <w:t>bčine Sveta Trojica v Slovenskih goricah.</w:t>
      </w:r>
      <w:r>
        <w:rPr>
          <w:rFonts w:ascii="Times New Roman" w:hAnsi="Times New Roman" w:cs="Times New Roman"/>
        </w:rPr>
        <w:t xml:space="preserve"> Izvajalec javne službe na delu območja občine </w:t>
      </w:r>
      <w:r w:rsidR="00B96F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veta Trojica v Slovenskih goricah, to je  Mariborski vodovod d.d. (drug izvajalec je Komunalno podjetje Ptuj d.d., kjer pa se cena ne spreminja)</w:t>
      </w:r>
      <w:r w:rsidR="0072301F">
        <w:rPr>
          <w:rFonts w:ascii="Times New Roman" w:hAnsi="Times New Roman" w:cs="Times New Roman"/>
        </w:rPr>
        <w:t>,</w:t>
      </w:r>
      <w:r w:rsidR="008D6E69">
        <w:rPr>
          <w:rFonts w:ascii="Times New Roman" w:hAnsi="Times New Roman" w:cs="Times New Roman"/>
        </w:rPr>
        <w:t xml:space="preserve"> je dne </w:t>
      </w:r>
      <w:r w:rsidR="00A739E4">
        <w:rPr>
          <w:rFonts w:ascii="Times New Roman" w:hAnsi="Times New Roman" w:cs="Times New Roman"/>
        </w:rPr>
        <w:t xml:space="preserve">31. 03. 2017 posredoval Elaborat GJS oskrbe s pitno vodo 2017. </w:t>
      </w:r>
      <w:r w:rsidR="001269CB">
        <w:rPr>
          <w:rFonts w:ascii="Times New Roman" w:hAnsi="Times New Roman" w:cs="Times New Roman"/>
        </w:rPr>
        <w:t xml:space="preserve"> Ta elaborat je bil izdelan z enotnimi cenami za vseh šest občin UE Lenart.</w:t>
      </w:r>
      <w:r w:rsidR="00BD6ECC">
        <w:rPr>
          <w:rFonts w:ascii="Times New Roman" w:hAnsi="Times New Roman" w:cs="Times New Roman"/>
        </w:rPr>
        <w:t xml:space="preserve"> Povzemamo cenovne elemente tedanjega Elaborata: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1359"/>
        <w:gridCol w:w="1871"/>
        <w:gridCol w:w="1256"/>
        <w:gridCol w:w="1363"/>
      </w:tblGrid>
      <w:tr w:rsidR="001269CB" w:rsidRPr="001269CB" w:rsidTr="0068674B">
        <w:trPr>
          <w:trHeight w:val="51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Obstoječa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69CB" w:rsidRPr="001269CB" w:rsidRDefault="00BD6ECC" w:rsidP="001269CB">
            <w:pPr>
              <w:rPr>
                <w:rFonts w:cs="Times New Roman"/>
                <w:color w:val="000000"/>
                <w:lang w:eastAsia="sl-SI"/>
              </w:rPr>
            </w:pPr>
            <w:r>
              <w:rPr>
                <w:rFonts w:cs="Times New Roman"/>
                <w:color w:val="000000"/>
                <w:lang w:eastAsia="sl-SI"/>
              </w:rPr>
              <w:t>E</w:t>
            </w:r>
            <w:r w:rsidR="001269CB" w:rsidRPr="001269CB">
              <w:rPr>
                <w:rFonts w:cs="Times New Roman"/>
                <w:color w:val="000000"/>
                <w:lang w:eastAsia="sl-SI"/>
              </w:rPr>
              <w:t>laborat 2017 UE Lenart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razlika €</w:t>
            </w:r>
          </w:p>
        </w:tc>
      </w:tr>
      <w:tr w:rsidR="001269CB" w:rsidRPr="001269CB" w:rsidTr="0068674B">
        <w:trPr>
          <w:trHeight w:val="30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Vodarina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0,7809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0,9146</w:t>
            </w:r>
            <w:r>
              <w:rPr>
                <w:rFonts w:cs="Times New Roman"/>
                <w:color w:val="000000"/>
                <w:lang w:eastAsia="sl-SI"/>
              </w:rPr>
              <w:t xml:space="preserve"> €/m3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17,12%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0,1337</w:t>
            </w:r>
          </w:p>
        </w:tc>
      </w:tr>
      <w:tr w:rsidR="001269CB" w:rsidRPr="001269CB" w:rsidTr="0068674B">
        <w:trPr>
          <w:trHeight w:val="288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proofErr w:type="spellStart"/>
            <w:r w:rsidRPr="001269CB">
              <w:rPr>
                <w:rFonts w:cs="Times New Roman"/>
                <w:color w:val="000000"/>
                <w:lang w:eastAsia="sl-SI"/>
              </w:rPr>
              <w:t>Omrežnina</w:t>
            </w:r>
            <w:proofErr w:type="spellEnd"/>
            <w:r>
              <w:rPr>
                <w:rFonts w:cs="Times New Roman"/>
                <w:color w:val="000000"/>
                <w:lang w:eastAsia="sl-SI"/>
              </w:rPr>
              <w:t xml:space="preserve"> DN 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6,84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8,42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23,10%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1,58</w:t>
            </w:r>
          </w:p>
        </w:tc>
      </w:tr>
      <w:tr w:rsidR="001269CB" w:rsidRPr="001269CB" w:rsidTr="0068674B">
        <w:trPr>
          <w:trHeight w:val="30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>
              <w:rPr>
                <w:rFonts w:cs="Times New Roman"/>
                <w:color w:val="000000"/>
                <w:lang w:eastAsia="sl-SI"/>
              </w:rPr>
              <w:t>Simulacija za porabo 15 m</w:t>
            </w:r>
            <w:r>
              <w:rPr>
                <w:rFonts w:cs="Times New Roman"/>
                <w:color w:val="000000"/>
                <w:vertAlign w:val="superscript"/>
                <w:lang w:eastAsia="sl-SI"/>
              </w:rPr>
              <w:t>3</w:t>
            </w:r>
            <w:r>
              <w:rPr>
                <w:rFonts w:cs="Times New Roman"/>
                <w:color w:val="000000"/>
                <w:lang w:eastAsia="sl-SI"/>
              </w:rPr>
              <w:t xml:space="preserve"> in DN 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</w:tr>
      <w:tr w:rsidR="001269CB" w:rsidRPr="001269CB" w:rsidTr="0068674B">
        <w:trPr>
          <w:trHeight w:val="30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18,5535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22,139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19,33%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3,59</w:t>
            </w:r>
          </w:p>
        </w:tc>
      </w:tr>
      <w:tr w:rsidR="001269CB" w:rsidRPr="001269CB" w:rsidTr="0068674B">
        <w:trPr>
          <w:trHeight w:val="288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DDV 9,5%: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b/>
                <w:bCs/>
                <w:color w:val="000000"/>
                <w:lang w:eastAsia="sl-SI"/>
              </w:rPr>
            </w:pPr>
            <w:r w:rsidRPr="001269CB">
              <w:rPr>
                <w:rFonts w:cs="Times New Roman"/>
                <w:b/>
                <w:bCs/>
                <w:color w:val="000000"/>
                <w:lang w:eastAsia="sl-SI"/>
              </w:rPr>
              <w:t>20,32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b/>
                <w:bCs/>
                <w:color w:val="000000"/>
                <w:lang w:eastAsia="sl-SI"/>
              </w:rPr>
            </w:pPr>
            <w:r w:rsidRPr="001269CB">
              <w:rPr>
                <w:rFonts w:cs="Times New Roman"/>
                <w:b/>
                <w:bCs/>
                <w:color w:val="000000"/>
                <w:lang w:eastAsia="sl-SI"/>
              </w:rPr>
              <w:t>24,24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19,33%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69CB" w:rsidRPr="001269CB" w:rsidRDefault="001269CB" w:rsidP="001269CB">
            <w:pPr>
              <w:jc w:val="center"/>
              <w:rPr>
                <w:rFonts w:cs="Times New Roman"/>
                <w:color w:val="000000"/>
                <w:lang w:eastAsia="sl-SI"/>
              </w:rPr>
            </w:pPr>
            <w:r w:rsidRPr="001269CB">
              <w:rPr>
                <w:rFonts w:cs="Times New Roman"/>
                <w:color w:val="000000"/>
                <w:lang w:eastAsia="sl-SI"/>
              </w:rPr>
              <w:t>3,93</w:t>
            </w:r>
          </w:p>
        </w:tc>
      </w:tr>
    </w:tbl>
    <w:p w:rsidR="001269CB" w:rsidRDefault="001269CB" w:rsidP="00B96FF8">
      <w:pPr>
        <w:spacing w:line="276" w:lineRule="auto"/>
        <w:jc w:val="both"/>
        <w:rPr>
          <w:rFonts w:ascii="Times New Roman" w:hAnsi="Times New Roman" w:cs="Times New Roman"/>
        </w:rPr>
      </w:pPr>
    </w:p>
    <w:p w:rsidR="002B2FEF" w:rsidRDefault="0072301F" w:rsidP="002B2F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39E4">
        <w:rPr>
          <w:rFonts w:ascii="Times New Roman" w:hAnsi="Times New Roman" w:cs="Times New Roman"/>
        </w:rPr>
        <w:t>V Elaboratu</w:t>
      </w:r>
      <w:r w:rsidR="00B96FF8">
        <w:rPr>
          <w:rFonts w:ascii="Times New Roman" w:hAnsi="Times New Roman" w:cs="Times New Roman"/>
        </w:rPr>
        <w:t xml:space="preserve"> </w:t>
      </w:r>
      <w:r w:rsidR="00BD6ECC">
        <w:rPr>
          <w:rFonts w:ascii="Times New Roman" w:hAnsi="Times New Roman" w:cs="Times New Roman"/>
        </w:rPr>
        <w:t xml:space="preserve">UE Lenart </w:t>
      </w:r>
      <w:r w:rsidR="00B96FF8">
        <w:rPr>
          <w:rFonts w:ascii="Times New Roman" w:hAnsi="Times New Roman" w:cs="Times New Roman"/>
        </w:rPr>
        <w:t>2017</w:t>
      </w:r>
      <w:r w:rsidR="00A739E4">
        <w:rPr>
          <w:rFonts w:ascii="Times New Roman" w:hAnsi="Times New Roman" w:cs="Times New Roman"/>
        </w:rPr>
        <w:t xml:space="preserve"> je </w:t>
      </w:r>
      <w:r w:rsidR="001269CB">
        <w:rPr>
          <w:rFonts w:ascii="Times New Roman" w:hAnsi="Times New Roman" w:cs="Times New Roman"/>
        </w:rPr>
        <w:t xml:space="preserve">bilo predvideno </w:t>
      </w:r>
      <w:r w:rsidR="00A739E4">
        <w:rPr>
          <w:rFonts w:ascii="Times New Roman" w:hAnsi="Times New Roman" w:cs="Times New Roman"/>
        </w:rPr>
        <w:t xml:space="preserve"> povišanje cene in sicer tako na delu </w:t>
      </w:r>
      <w:proofErr w:type="spellStart"/>
      <w:r w:rsidR="00A739E4">
        <w:rPr>
          <w:rFonts w:ascii="Times New Roman" w:hAnsi="Times New Roman" w:cs="Times New Roman"/>
        </w:rPr>
        <w:t>omrežnine</w:t>
      </w:r>
      <w:proofErr w:type="spellEnd"/>
      <w:r w:rsidR="00A739E4">
        <w:rPr>
          <w:rFonts w:ascii="Times New Roman" w:hAnsi="Times New Roman" w:cs="Times New Roman"/>
        </w:rPr>
        <w:t xml:space="preserve">, kot tudi na delu cene, ki zajema ceno storitve. </w:t>
      </w:r>
      <w:r w:rsidR="001269C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ovišanje cene je Mariborski vodovod d.d. predlagal že leta 2016, izvedenih je bilo več usklajevalnih sestankov na različnih nivojih, tudi v povezavi z ostalimi razmerji med občinami in izvajalcem GJS. Stališče občin je tedaj bilo, da Elaborat 2016 ni pripravljen ustrezno ter posamezne postavke niso zadostno obrazložene, zato </w:t>
      </w:r>
      <w:r w:rsidR="001269CB">
        <w:rPr>
          <w:rFonts w:ascii="Times New Roman" w:hAnsi="Times New Roman" w:cs="Times New Roman"/>
        </w:rPr>
        <w:t xml:space="preserve">nismo pristopili k potrjevanju </w:t>
      </w:r>
      <w:r>
        <w:rPr>
          <w:rFonts w:ascii="Times New Roman" w:hAnsi="Times New Roman" w:cs="Times New Roman"/>
        </w:rPr>
        <w:t xml:space="preserve"> elaborata.  </w:t>
      </w:r>
      <w:r w:rsidR="00A739E4">
        <w:rPr>
          <w:rFonts w:ascii="Times New Roman" w:hAnsi="Times New Roman" w:cs="Times New Roman"/>
        </w:rPr>
        <w:t xml:space="preserve">Glede </w:t>
      </w:r>
      <w:r w:rsidR="00B96FF8">
        <w:rPr>
          <w:rFonts w:ascii="Times New Roman" w:hAnsi="Times New Roman" w:cs="Times New Roman"/>
        </w:rPr>
        <w:t>E</w:t>
      </w:r>
      <w:r w:rsidR="00A739E4">
        <w:rPr>
          <w:rFonts w:ascii="Times New Roman" w:hAnsi="Times New Roman" w:cs="Times New Roman"/>
        </w:rPr>
        <w:t>laborata</w:t>
      </w:r>
      <w:r w:rsidR="00B96FF8">
        <w:rPr>
          <w:rFonts w:ascii="Times New Roman" w:hAnsi="Times New Roman" w:cs="Times New Roman"/>
        </w:rPr>
        <w:t xml:space="preserve"> GJS oskrbe s pitno vodo 2017, pripravljenega s strani Mariborski vodovod d.d.</w:t>
      </w:r>
      <w:r w:rsidR="00BD6ECC">
        <w:rPr>
          <w:rFonts w:ascii="Times New Roman" w:hAnsi="Times New Roman" w:cs="Times New Roman"/>
        </w:rPr>
        <w:t>- Elaborat</w:t>
      </w:r>
      <w:r w:rsidR="00A739E4">
        <w:rPr>
          <w:rFonts w:ascii="Times New Roman" w:hAnsi="Times New Roman" w:cs="Times New Roman"/>
        </w:rPr>
        <w:t xml:space="preserve"> je bil </w:t>
      </w:r>
      <w:r w:rsidR="001269CB">
        <w:rPr>
          <w:rFonts w:ascii="Times New Roman" w:hAnsi="Times New Roman" w:cs="Times New Roman"/>
        </w:rPr>
        <w:t>obravnavan na</w:t>
      </w:r>
      <w:r w:rsidR="0002525C">
        <w:rPr>
          <w:rFonts w:ascii="Times New Roman" w:hAnsi="Times New Roman" w:cs="Times New Roman"/>
        </w:rPr>
        <w:t xml:space="preserve"> 17. </w:t>
      </w:r>
      <w:r w:rsidR="00BD6ECC">
        <w:rPr>
          <w:rFonts w:ascii="Times New Roman" w:hAnsi="Times New Roman" w:cs="Times New Roman"/>
        </w:rPr>
        <w:t>r</w:t>
      </w:r>
      <w:r w:rsidR="0002525C">
        <w:rPr>
          <w:rFonts w:ascii="Times New Roman" w:hAnsi="Times New Roman" w:cs="Times New Roman"/>
        </w:rPr>
        <w:t xml:space="preserve">edni </w:t>
      </w:r>
      <w:r w:rsidR="00BD6ECC">
        <w:rPr>
          <w:rFonts w:ascii="Times New Roman" w:hAnsi="Times New Roman" w:cs="Times New Roman"/>
        </w:rPr>
        <w:t>seji</w:t>
      </w:r>
      <w:r w:rsidR="002B2FEF">
        <w:rPr>
          <w:rFonts w:ascii="Times New Roman" w:hAnsi="Times New Roman" w:cs="Times New Roman"/>
        </w:rPr>
        <w:t xml:space="preserve"> OS maja 2017. Obravnava </w:t>
      </w:r>
      <w:r w:rsidR="0002525C">
        <w:rPr>
          <w:rFonts w:ascii="Times New Roman" w:hAnsi="Times New Roman" w:cs="Times New Roman"/>
        </w:rPr>
        <w:t xml:space="preserve">je bila prekinjena in nadaljevana na 21. </w:t>
      </w:r>
      <w:r w:rsidR="002B2FEF">
        <w:rPr>
          <w:rFonts w:ascii="Times New Roman" w:hAnsi="Times New Roman" w:cs="Times New Roman"/>
        </w:rPr>
        <w:t>r</w:t>
      </w:r>
      <w:r w:rsidR="0002525C">
        <w:rPr>
          <w:rFonts w:ascii="Times New Roman" w:hAnsi="Times New Roman" w:cs="Times New Roman"/>
        </w:rPr>
        <w:t xml:space="preserve">edni seji dne 30. 11. 2017. </w:t>
      </w:r>
      <w:r w:rsidR="00A739E4">
        <w:rPr>
          <w:rFonts w:ascii="Times New Roman" w:hAnsi="Times New Roman" w:cs="Times New Roman"/>
        </w:rPr>
        <w:t xml:space="preserve"> </w:t>
      </w:r>
      <w:r w:rsidR="002B2FEF">
        <w:rPr>
          <w:rFonts w:ascii="Times New Roman" w:hAnsi="Times New Roman" w:cs="Times New Roman"/>
        </w:rPr>
        <w:t>Glede na to, da so nekatere občine UE Lenart</w:t>
      </w:r>
      <w:r w:rsidR="00BD6ECC">
        <w:rPr>
          <w:rFonts w:ascii="Times New Roman" w:hAnsi="Times New Roman" w:cs="Times New Roman"/>
        </w:rPr>
        <w:t xml:space="preserve"> v vmesnem času</w:t>
      </w:r>
      <w:r w:rsidR="002B2FEF">
        <w:rPr>
          <w:rFonts w:ascii="Times New Roman" w:hAnsi="Times New Roman" w:cs="Times New Roman"/>
        </w:rPr>
        <w:t xml:space="preserve"> zavrnile sprejem enotnega elaborata in so sprejele Elaborat oblikovan za posamezno občino, je bil na tej seji sprejet sklep, da skupni Elaborata 2017  ni več aktualen. O Elaboratu UE Lenart 2017 se tako ni odločalo, </w:t>
      </w:r>
      <w:r w:rsidR="002B2FEF">
        <w:rPr>
          <w:rFonts w:ascii="Times-Roman" w:eastAsiaTheme="minorHAnsi" w:hAnsi="Times-Roman" w:cs="Times-Roman"/>
        </w:rPr>
        <w:t xml:space="preserve">Mariborski vodovod d.d. pa je bil pozvan, da pripravi nov predlog za oblikovanje cene, ki ga bo obravnaval </w:t>
      </w:r>
      <w:r w:rsidR="002B2FEF" w:rsidRPr="002B2FEF">
        <w:rPr>
          <w:rFonts w:ascii="Times New Roman" w:hAnsi="Times New Roman" w:cs="Times New Roman"/>
        </w:rPr>
        <w:t>Občinski svet Občine Sveta Trojica v Slovenskih</w:t>
      </w:r>
      <w:r w:rsidR="002B2FEF">
        <w:rPr>
          <w:rFonts w:ascii="Times-Roman" w:eastAsiaTheme="minorHAnsi" w:hAnsi="Times-Roman" w:cs="Times-Roman"/>
        </w:rPr>
        <w:t xml:space="preserve"> goricah.</w:t>
      </w:r>
      <w:r w:rsidR="002B2FEF">
        <w:rPr>
          <w:rFonts w:ascii="Times New Roman" w:hAnsi="Times New Roman" w:cs="Times New Roman"/>
        </w:rPr>
        <w:t xml:space="preserve"> </w:t>
      </w:r>
    </w:p>
    <w:p w:rsidR="00BD6ECC" w:rsidRDefault="00BD6ECC" w:rsidP="002B2F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2FEF" w:rsidRDefault="00BD6ECC" w:rsidP="002B2F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Izvajalec javne službe je</w:t>
      </w:r>
      <w:r w:rsidR="002B2FEF">
        <w:rPr>
          <w:rFonts w:ascii="Times New Roman" w:hAnsi="Times New Roman" w:cs="Times New Roman"/>
        </w:rPr>
        <w:t xml:space="preserve"> pripravil Elaborat za leto 2018, </w:t>
      </w:r>
      <w:r>
        <w:rPr>
          <w:rFonts w:ascii="Times New Roman" w:hAnsi="Times New Roman" w:cs="Times New Roman"/>
        </w:rPr>
        <w:t>oblikovan posebej za občino S</w:t>
      </w:r>
      <w:r w:rsidR="002B2FEF">
        <w:rPr>
          <w:rFonts w:ascii="Times New Roman" w:hAnsi="Times New Roman" w:cs="Times New Roman"/>
        </w:rPr>
        <w:t xml:space="preserve">veta Trojica v Slovenskih goricah. </w:t>
      </w:r>
      <w:r>
        <w:rPr>
          <w:rFonts w:ascii="Times New Roman" w:hAnsi="Times New Roman" w:cs="Times New Roman"/>
        </w:rPr>
        <w:t xml:space="preserve">Izvajalec predvideva z elaboratom 2018 spremembo cene vodarine, kot </w:t>
      </w:r>
      <w:proofErr w:type="spellStart"/>
      <w:r>
        <w:rPr>
          <w:rFonts w:ascii="Times New Roman" w:hAnsi="Times New Roman" w:cs="Times New Roman"/>
        </w:rPr>
        <w:t>omrežnine</w:t>
      </w:r>
      <w:proofErr w:type="spellEnd"/>
      <w:r>
        <w:rPr>
          <w:rFonts w:ascii="Times New Roman" w:hAnsi="Times New Roman" w:cs="Times New Roman"/>
        </w:rPr>
        <w:t>.</w:t>
      </w:r>
    </w:p>
    <w:p w:rsidR="00BD6ECC" w:rsidRDefault="00BD6ECC" w:rsidP="002B2F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96FF8" w:rsidRDefault="00B96FF8" w:rsidP="00B96F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nadaljevanju posredujemo primerjavo med obstoječo ceno in predlagano novo ceno.</w:t>
      </w:r>
    </w:p>
    <w:p w:rsidR="00CE1B5B" w:rsidRDefault="00CE1B5B" w:rsidP="00B96FF8">
      <w:pPr>
        <w:spacing w:line="276" w:lineRule="auto"/>
        <w:rPr>
          <w:rFonts w:ascii="Times New Roman" w:hAnsi="Times New Roman" w:cs="Times New Roman"/>
        </w:rPr>
      </w:pPr>
    </w:p>
    <w:p w:rsidR="003C2327" w:rsidRDefault="003C2327" w:rsidP="00B96FF8">
      <w:pPr>
        <w:spacing w:line="276" w:lineRule="auto"/>
        <w:jc w:val="both"/>
        <w:rPr>
          <w:rFonts w:ascii="Times New Roman" w:hAnsi="Times New Roman" w:cs="Times New Roman"/>
        </w:rPr>
      </w:pPr>
      <w:r w:rsidRPr="00BD6ECC">
        <w:rPr>
          <w:rFonts w:ascii="Times New Roman" w:hAnsi="Times New Roman" w:cs="Times New Roman"/>
          <w:b/>
          <w:shd w:val="clear" w:color="auto" w:fill="F2F2F2" w:themeFill="background1" w:themeFillShade="F2"/>
        </w:rPr>
        <w:t>VODARINA</w:t>
      </w:r>
      <w:r w:rsidRPr="00BD6ECC">
        <w:rPr>
          <w:rFonts w:ascii="Times New Roman" w:hAnsi="Times New Roman" w:cs="Times New Roman"/>
          <w:shd w:val="clear" w:color="auto" w:fill="F2F2F2" w:themeFill="background1" w:themeFillShade="F2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C2327" w:rsidRPr="003C2327" w:rsidRDefault="003C2327" w:rsidP="00B96FF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2327">
        <w:rPr>
          <w:rFonts w:ascii="Times New Roman" w:hAnsi="Times New Roman" w:cs="Times New Roman"/>
          <w:b/>
          <w:u w:val="single"/>
        </w:rPr>
        <w:t>Obstoječa</w:t>
      </w:r>
      <w:r>
        <w:rPr>
          <w:rFonts w:ascii="Times New Roman" w:hAnsi="Times New Roman" w:cs="Times New Roman"/>
        </w:rPr>
        <w:t xml:space="preserve">: </w:t>
      </w:r>
      <w:r w:rsidRPr="003C2327">
        <w:rPr>
          <w:rFonts w:ascii="Times New Roman" w:hAnsi="Times New Roman" w:cs="Times New Roman"/>
        </w:rPr>
        <w:t xml:space="preserve">   0,7809 € / m</w:t>
      </w:r>
      <w:r w:rsidRPr="003C2327">
        <w:rPr>
          <w:rFonts w:ascii="Times New Roman" w:hAnsi="Times New Roman" w:cs="Times New Roman"/>
          <w:vertAlign w:val="superscript"/>
        </w:rPr>
        <w:t>3</w:t>
      </w:r>
      <w:r w:rsidRPr="003C2327"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r w:rsidRPr="003C2327">
        <w:rPr>
          <w:rFonts w:ascii="Times New Roman" w:hAnsi="Times New Roman" w:cs="Times New Roman"/>
        </w:rPr>
        <w:t xml:space="preserve"> porabljene vode (brez DDV),</w:t>
      </w:r>
      <w:r w:rsidRPr="003C2327">
        <w:rPr>
          <w:rFonts w:ascii="Times New Roman" w:hAnsi="Times New Roman" w:cs="Times New Roman"/>
          <w:b/>
        </w:rPr>
        <w:t xml:space="preserve">  </w:t>
      </w:r>
      <w:r w:rsidRPr="003C2327">
        <w:rPr>
          <w:rFonts w:ascii="Times New Roman" w:hAnsi="Times New Roman" w:cs="Times New Roman"/>
          <w:b/>
          <w:u w:val="single"/>
        </w:rPr>
        <w:t>to je 0,8551 €/m</w:t>
      </w:r>
      <w:r w:rsidRPr="003C2327">
        <w:rPr>
          <w:rFonts w:ascii="Times New Roman" w:hAnsi="Times New Roman" w:cs="Times New Roman"/>
          <w:b/>
          <w:u w:val="single"/>
          <w:vertAlign w:val="superscript"/>
        </w:rPr>
        <w:t>3</w:t>
      </w:r>
      <w:r w:rsidRPr="003C2327">
        <w:rPr>
          <w:rFonts w:ascii="Times New Roman" w:hAnsi="Times New Roman" w:cs="Times New Roman"/>
          <w:b/>
          <w:u w:val="single"/>
        </w:rPr>
        <w:t xml:space="preserve"> z DDV</w:t>
      </w:r>
    </w:p>
    <w:p w:rsidR="003C2327" w:rsidRDefault="003C2327" w:rsidP="00B96FF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Predlog nove cene:</w:t>
      </w:r>
      <w:r w:rsidRPr="003C2327">
        <w:rPr>
          <w:rFonts w:ascii="Times New Roman" w:hAnsi="Times New Roman" w:cs="Times New Roman"/>
        </w:rPr>
        <w:t xml:space="preserve"> </w:t>
      </w:r>
      <w:r w:rsidRPr="001E2DF0">
        <w:rPr>
          <w:rFonts w:ascii="Times New Roman" w:hAnsi="Times New Roman" w:cs="Times New Roman"/>
        </w:rPr>
        <w:t>0,</w:t>
      </w:r>
      <w:r w:rsidR="00316CFD">
        <w:rPr>
          <w:rFonts w:ascii="Times New Roman" w:hAnsi="Times New Roman" w:cs="Times New Roman"/>
        </w:rPr>
        <w:t>8013</w:t>
      </w:r>
      <w:r w:rsidRPr="001E2DF0">
        <w:rPr>
          <w:rFonts w:ascii="Times New Roman" w:hAnsi="Times New Roman" w:cs="Times New Roman"/>
        </w:rPr>
        <w:t xml:space="preserve"> € / m</w:t>
      </w:r>
      <w:r w:rsidRPr="001E2DF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porabljene vode (brez DD</w:t>
      </w:r>
      <w:r w:rsidRPr="001E2DF0">
        <w:rPr>
          <w:rFonts w:ascii="Times New Roman" w:hAnsi="Times New Roman" w:cs="Times New Roman"/>
        </w:rPr>
        <w:t>V),</w:t>
      </w:r>
      <w:r w:rsidRPr="001E2DF0">
        <w:rPr>
          <w:rFonts w:ascii="Times New Roman" w:hAnsi="Times New Roman" w:cs="Times New Roman"/>
          <w:b/>
        </w:rPr>
        <w:t xml:space="preserve">  </w:t>
      </w:r>
      <w:r w:rsidRPr="001E2DF0">
        <w:rPr>
          <w:rFonts w:ascii="Times New Roman" w:hAnsi="Times New Roman" w:cs="Times New Roman"/>
          <w:b/>
          <w:u w:val="single"/>
        </w:rPr>
        <w:t xml:space="preserve">to je </w:t>
      </w:r>
      <w:r w:rsidR="00316CFD">
        <w:rPr>
          <w:rFonts w:ascii="Times New Roman" w:hAnsi="Times New Roman" w:cs="Times New Roman"/>
          <w:b/>
          <w:u w:val="single"/>
        </w:rPr>
        <w:t>0,8774</w:t>
      </w:r>
      <w:r w:rsidRPr="001E2DF0">
        <w:rPr>
          <w:rFonts w:ascii="Times New Roman" w:hAnsi="Times New Roman" w:cs="Times New Roman"/>
          <w:b/>
          <w:u w:val="single"/>
        </w:rPr>
        <w:t xml:space="preserve"> €/m</w:t>
      </w:r>
      <w:r w:rsidRPr="001E2DF0">
        <w:rPr>
          <w:rFonts w:ascii="Times New Roman" w:hAnsi="Times New Roman" w:cs="Times New Roman"/>
          <w:b/>
          <w:u w:val="single"/>
          <w:vertAlign w:val="superscript"/>
        </w:rPr>
        <w:t>3</w:t>
      </w:r>
      <w:r w:rsidRPr="001E2DF0">
        <w:rPr>
          <w:rFonts w:ascii="Times New Roman" w:hAnsi="Times New Roman" w:cs="Times New Roman"/>
          <w:b/>
          <w:u w:val="single"/>
        </w:rPr>
        <w:t xml:space="preserve"> z DDV</w:t>
      </w:r>
      <w:r>
        <w:rPr>
          <w:rFonts w:ascii="Times New Roman" w:hAnsi="Times New Roman" w:cs="Times New Roman"/>
        </w:rPr>
        <w:t xml:space="preserve">  </w:t>
      </w:r>
    </w:p>
    <w:p w:rsidR="00BD6ECC" w:rsidRDefault="00BD6ECC" w:rsidP="00BD6ECC">
      <w:pPr>
        <w:pStyle w:val="Odstavekseznama"/>
        <w:spacing w:line="276" w:lineRule="auto"/>
        <w:ind w:left="780"/>
        <w:jc w:val="both"/>
        <w:rPr>
          <w:rFonts w:ascii="Times New Roman" w:hAnsi="Times New Roman" w:cs="Times New Roman"/>
        </w:rPr>
      </w:pPr>
    </w:p>
    <w:p w:rsidR="003C2327" w:rsidRPr="003C2327" w:rsidRDefault="003C2327" w:rsidP="00B96FF8">
      <w:pPr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BD6ECC">
        <w:rPr>
          <w:rFonts w:ascii="Times New Roman" w:hAnsi="Times New Roman" w:cs="Times New Roman"/>
          <w:b/>
        </w:rPr>
        <w:t xml:space="preserve">Razlika: </w:t>
      </w:r>
      <w:r>
        <w:rPr>
          <w:rFonts w:ascii="Times New Roman" w:hAnsi="Times New Roman" w:cs="Times New Roman"/>
        </w:rPr>
        <w:t>+ 0,</w:t>
      </w:r>
      <w:r w:rsidR="00316CFD">
        <w:rPr>
          <w:rFonts w:ascii="Times New Roman" w:hAnsi="Times New Roman" w:cs="Times New Roman"/>
        </w:rPr>
        <w:t>0204</w:t>
      </w:r>
      <w:r>
        <w:rPr>
          <w:rFonts w:ascii="Times New Roman" w:hAnsi="Times New Roman" w:cs="Times New Roman"/>
        </w:rPr>
        <w:t xml:space="preserve"> </w:t>
      </w:r>
      <w:r w:rsidRPr="001E2DF0">
        <w:rPr>
          <w:rFonts w:ascii="Times New Roman" w:hAnsi="Times New Roman" w:cs="Times New Roman"/>
        </w:rPr>
        <w:t xml:space="preserve"> € / m</w:t>
      </w:r>
      <w:r w:rsidRPr="001E2DF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porabljene vode (brez DD</w:t>
      </w:r>
      <w:r w:rsidRPr="001E2DF0">
        <w:rPr>
          <w:rFonts w:ascii="Times New Roman" w:hAnsi="Times New Roman" w:cs="Times New Roman"/>
        </w:rPr>
        <w:t>V)</w:t>
      </w:r>
      <w:r w:rsidR="00316CFD">
        <w:rPr>
          <w:rFonts w:ascii="Times New Roman" w:hAnsi="Times New Roman" w:cs="Times New Roman"/>
        </w:rPr>
        <w:t xml:space="preserve"> oz. 0,02234</w:t>
      </w:r>
      <w:r>
        <w:rPr>
          <w:rFonts w:ascii="Times New Roman" w:hAnsi="Times New Roman" w:cs="Times New Roman"/>
        </w:rPr>
        <w:t xml:space="preserve"> </w:t>
      </w:r>
      <w:r w:rsidR="00316CFD">
        <w:rPr>
          <w:rFonts w:ascii="Times New Roman" w:hAnsi="Times New Roman" w:cs="Times New Roman"/>
        </w:rPr>
        <w:t xml:space="preserve">€ </w:t>
      </w:r>
      <w:r w:rsidRPr="001E2DF0">
        <w:rPr>
          <w:rFonts w:ascii="Times New Roman" w:hAnsi="Times New Roman" w:cs="Times New Roman"/>
        </w:rPr>
        <w:t>/ m</w:t>
      </w:r>
      <w:r w:rsidRPr="001E2DF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(z DDV)</w:t>
      </w:r>
      <w:r w:rsidR="00316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F40455">
        <w:rPr>
          <w:rFonts w:ascii="Times New Roman" w:hAnsi="Times New Roman" w:cs="Times New Roman"/>
        </w:rPr>
        <w:t xml:space="preserve"> </w:t>
      </w:r>
      <w:r w:rsidR="00316CFD">
        <w:rPr>
          <w:rFonts w:ascii="Times New Roman" w:hAnsi="Times New Roman" w:cs="Times New Roman"/>
        </w:rPr>
        <w:t xml:space="preserve">+ 2,61 </w:t>
      </w:r>
      <w:r w:rsidR="00F4045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CE1B5B" w:rsidRDefault="00CE1B5B" w:rsidP="00B96FF8">
      <w:pPr>
        <w:pStyle w:val="Odstavekseznama"/>
        <w:spacing w:line="276" w:lineRule="auto"/>
        <w:ind w:left="780"/>
        <w:jc w:val="both"/>
        <w:rPr>
          <w:rFonts w:ascii="Times New Roman" w:hAnsi="Times New Roman" w:cs="Times New Roman"/>
        </w:rPr>
      </w:pPr>
    </w:p>
    <w:p w:rsidR="003C2327" w:rsidRPr="00BD6ECC" w:rsidRDefault="003C2327" w:rsidP="00B96FF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D6ECC">
        <w:rPr>
          <w:rFonts w:ascii="Times New Roman" w:hAnsi="Times New Roman" w:cs="Times New Roman"/>
          <w:b/>
          <w:shd w:val="clear" w:color="auto" w:fill="F2F2F2" w:themeFill="background1" w:themeFillShade="F2"/>
        </w:rPr>
        <w:t>OMREŽNINA</w:t>
      </w:r>
      <w:r w:rsidRPr="00BD6ECC">
        <w:rPr>
          <w:rFonts w:ascii="Times New Roman" w:hAnsi="Times New Roman" w:cs="Times New Roman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10"/>
        <w:gridCol w:w="3810"/>
      </w:tblGrid>
      <w:tr w:rsidR="003C2327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7" w:rsidRDefault="003C2327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Dimenzija števca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27" w:rsidRPr="003C2327" w:rsidRDefault="003C2327" w:rsidP="0068674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OMREŽNINA MESEČNO v  €   ( brez DDV)</w:t>
            </w:r>
            <w:r w:rsidR="0068674B">
              <w:rPr>
                <w:rFonts w:ascii="Times New Roman" w:hAnsi="Times New Roman" w:cs="Times New Roman"/>
              </w:rPr>
              <w:t xml:space="preserve">          </w:t>
            </w:r>
            <w:r w:rsidRPr="003C2327">
              <w:rPr>
                <w:rFonts w:ascii="Times New Roman" w:hAnsi="Times New Roman" w:cs="Times New Roman"/>
                <w:b/>
              </w:rPr>
              <w:t>OBSOJEČE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27" w:rsidRPr="003C2327" w:rsidRDefault="003C2327" w:rsidP="0068674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OMREŽNINA MESEČNO v  €   ( BREZ </w:t>
            </w:r>
            <w:proofErr w:type="spellStart"/>
            <w:r>
              <w:rPr>
                <w:rFonts w:ascii="Times New Roman" w:hAnsi="Times New Roman" w:cs="Times New Roman"/>
              </w:rPr>
              <w:t>ddv</w:t>
            </w:r>
            <w:proofErr w:type="spellEnd"/>
            <w:r>
              <w:rPr>
                <w:rFonts w:ascii="Times New Roman" w:hAnsi="Times New Roman" w:cs="Times New Roman"/>
              </w:rPr>
              <w:t xml:space="preserve"> DDV)</w:t>
            </w:r>
            <w:r w:rsidR="0068674B">
              <w:rPr>
                <w:rFonts w:ascii="Times New Roman" w:hAnsi="Times New Roman" w:cs="Times New Roman"/>
              </w:rPr>
              <w:t xml:space="preserve">  </w:t>
            </w:r>
            <w:r w:rsidRPr="003C2327">
              <w:rPr>
                <w:rFonts w:ascii="Times New Roman" w:hAnsi="Times New Roman" w:cs="Times New Roman"/>
                <w:b/>
              </w:rPr>
              <w:t>PREDLOG NOVIH CEN MB VODOVODA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316C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9,77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20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9,77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25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29,31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30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29,31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40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97,69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50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146,53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80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341,92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488,43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100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683,84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Pr="009C7A48" w:rsidRDefault="00316CFD" w:rsidP="00316CFD">
            <w:pPr>
              <w:jc w:val="right"/>
            </w:pPr>
            <w:r w:rsidRPr="009C7A48">
              <w:t>976,87</w:t>
            </w:r>
          </w:p>
        </w:tc>
      </w:tr>
      <w:tr w:rsidR="00316CFD" w:rsidTr="0068674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150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FD" w:rsidRDefault="00316CFD" w:rsidP="00B96F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1.367,68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FD" w:rsidRDefault="00316CFD" w:rsidP="00316CFD">
            <w:pPr>
              <w:jc w:val="right"/>
            </w:pPr>
            <w:r w:rsidRPr="009C7A48">
              <w:t>1.953,74</w:t>
            </w:r>
          </w:p>
        </w:tc>
      </w:tr>
    </w:tbl>
    <w:p w:rsidR="00F40455" w:rsidRDefault="00F40455" w:rsidP="00B96FF8">
      <w:pPr>
        <w:spacing w:line="276" w:lineRule="auto"/>
        <w:rPr>
          <w:rFonts w:ascii="Times New Roman" w:hAnsi="Times New Roman" w:cs="Times New Roman"/>
        </w:rPr>
      </w:pPr>
      <w:r w:rsidRPr="0068674B">
        <w:rPr>
          <w:rFonts w:ascii="Times New Roman" w:hAnsi="Times New Roman" w:cs="Times New Roman"/>
          <w:b/>
        </w:rPr>
        <w:t>Razlika pri DN 20</w:t>
      </w:r>
      <w:r>
        <w:rPr>
          <w:rFonts w:ascii="Times New Roman" w:hAnsi="Times New Roman" w:cs="Times New Roman"/>
        </w:rPr>
        <w:t xml:space="preserve">: + </w:t>
      </w:r>
      <w:r w:rsidR="00316CFD">
        <w:rPr>
          <w:rFonts w:ascii="Times New Roman" w:hAnsi="Times New Roman" w:cs="Times New Roman"/>
        </w:rPr>
        <w:t>2,93</w:t>
      </w:r>
      <w:r>
        <w:rPr>
          <w:rFonts w:ascii="Times New Roman" w:hAnsi="Times New Roman" w:cs="Times New Roman"/>
        </w:rPr>
        <w:t xml:space="preserve"> EUR (brez DDV) oz. + </w:t>
      </w:r>
      <w:r w:rsidR="00316CFD">
        <w:rPr>
          <w:rFonts w:ascii="Times New Roman" w:hAnsi="Times New Roman" w:cs="Times New Roman"/>
        </w:rPr>
        <w:t>3,21</w:t>
      </w:r>
      <w:r>
        <w:rPr>
          <w:rFonts w:ascii="Times New Roman" w:hAnsi="Times New Roman" w:cs="Times New Roman"/>
        </w:rPr>
        <w:t xml:space="preserve"> EUR (z DDV) = + </w:t>
      </w:r>
      <w:r w:rsidR="00316CFD">
        <w:rPr>
          <w:rFonts w:ascii="Times New Roman" w:hAnsi="Times New Roman" w:cs="Times New Roman"/>
        </w:rPr>
        <w:t>42,84</w:t>
      </w:r>
      <w:r>
        <w:rPr>
          <w:rFonts w:ascii="Times New Roman" w:hAnsi="Times New Roman" w:cs="Times New Roman"/>
        </w:rPr>
        <w:t xml:space="preserve"> %.</w:t>
      </w:r>
    </w:p>
    <w:p w:rsidR="00F40455" w:rsidRDefault="00F40455" w:rsidP="00B96FF8">
      <w:pPr>
        <w:spacing w:line="276" w:lineRule="auto"/>
        <w:rPr>
          <w:rFonts w:ascii="Times New Roman" w:hAnsi="Times New Roman" w:cs="Times New Roman"/>
        </w:rPr>
      </w:pPr>
    </w:p>
    <w:p w:rsidR="00F40455" w:rsidRDefault="00F40455" w:rsidP="00B96FF8">
      <w:pPr>
        <w:spacing w:line="276" w:lineRule="auto"/>
        <w:rPr>
          <w:rFonts w:ascii="Times New Roman" w:hAnsi="Times New Roman" w:cs="Times New Roman"/>
        </w:rPr>
      </w:pPr>
      <w:r w:rsidRPr="00CE1B5B">
        <w:rPr>
          <w:rFonts w:ascii="Times New Roman" w:hAnsi="Times New Roman" w:cs="Times New Roman"/>
          <w:b/>
        </w:rPr>
        <w:t>Simulacij</w:t>
      </w:r>
      <w:r>
        <w:rPr>
          <w:rFonts w:ascii="Times New Roman" w:hAnsi="Times New Roman" w:cs="Times New Roman"/>
        </w:rPr>
        <w:t>a učinkov spremembe cene na gospodin</w:t>
      </w:r>
      <w:r w:rsidR="0063426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stvo</w:t>
      </w:r>
      <w:r w:rsidR="0068674B">
        <w:rPr>
          <w:rFonts w:ascii="Times New Roman" w:hAnsi="Times New Roman" w:cs="Times New Roman"/>
        </w:rPr>
        <w:t xml:space="preserve"> pri DN 20</w:t>
      </w:r>
      <w:r>
        <w:rPr>
          <w:rFonts w:ascii="Times New Roman" w:hAnsi="Times New Roman" w:cs="Times New Roman"/>
        </w:rPr>
        <w:t>:</w:t>
      </w:r>
    </w:p>
    <w:tbl>
      <w:tblPr>
        <w:tblW w:w="48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78"/>
        <w:gridCol w:w="1029"/>
        <w:gridCol w:w="574"/>
        <w:gridCol w:w="722"/>
        <w:gridCol w:w="885"/>
        <w:gridCol w:w="1029"/>
        <w:gridCol w:w="574"/>
        <w:gridCol w:w="696"/>
        <w:gridCol w:w="583"/>
        <w:gridCol w:w="757"/>
      </w:tblGrid>
      <w:tr w:rsidR="009F5BF2" w:rsidRPr="009F5BF2" w:rsidTr="009F5BF2">
        <w:trPr>
          <w:trHeight w:val="312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OBSTOJEČA CENA v EUR</w:t>
            </w:r>
          </w:p>
        </w:tc>
        <w:tc>
          <w:tcPr>
            <w:tcW w:w="1791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PREDLAGANA CENA v EUR</w:t>
            </w:r>
          </w:p>
        </w:tc>
        <w:tc>
          <w:tcPr>
            <w:tcW w:w="328" w:type="pct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pct"/>
            <w:tcBorders>
              <w:top w:val="thinThickSmallGap" w:sz="24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F5BF2" w:rsidRPr="009F5BF2" w:rsidTr="009F5BF2">
        <w:trPr>
          <w:trHeight w:val="288"/>
        </w:trPr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Poraba pitne vode v m3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Vodarina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Omrežnina</w:t>
            </w:r>
            <w:proofErr w:type="spellEnd"/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      DN 20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DDV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Skupaj za plačilo</w:t>
            </w:r>
          </w:p>
        </w:tc>
        <w:tc>
          <w:tcPr>
            <w:tcW w:w="498" w:type="pct"/>
            <w:vMerge w:val="restart"/>
            <w:tcBorders>
              <w:top w:val="nil"/>
              <w:left w:val="thinThickSmallGap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Vodarina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Omrežnina</w:t>
            </w:r>
            <w:proofErr w:type="spellEnd"/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DN 20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DDV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Skupaj za plačilo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+ EUR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9F5BF2" w:rsidRPr="009F5BF2" w:rsidTr="009F5BF2">
        <w:trPr>
          <w:trHeight w:val="300"/>
        </w:trPr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pct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F5BF2" w:rsidRPr="009F5BF2" w:rsidRDefault="009F5BF2" w:rsidP="009F5B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9F5BF2" w:rsidRPr="009F5BF2" w:rsidTr="009F5BF2">
        <w:trPr>
          <w:trHeight w:val="300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6,25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6,84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14,33</w:t>
            </w:r>
          </w:p>
        </w:tc>
        <w:tc>
          <w:tcPr>
            <w:tcW w:w="498" w:type="pc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6,41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9,77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1,54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17,72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3,39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23,64%</w:t>
            </w:r>
          </w:p>
        </w:tc>
      </w:tr>
      <w:tr w:rsidR="009F5BF2" w:rsidRPr="009F5BF2" w:rsidTr="009F5BF2">
        <w:trPr>
          <w:trHeight w:val="300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11,71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6,84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20,32</w:t>
            </w:r>
          </w:p>
        </w:tc>
        <w:tc>
          <w:tcPr>
            <w:tcW w:w="498" w:type="pc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12,02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9,77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2,07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23,86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3,54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17,42%</w:t>
            </w:r>
          </w:p>
        </w:tc>
      </w:tr>
      <w:tr w:rsidR="009F5BF2" w:rsidRPr="009F5BF2" w:rsidTr="009F5BF2">
        <w:trPr>
          <w:trHeight w:val="300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19,52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6,84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28,87</w:t>
            </w:r>
          </w:p>
        </w:tc>
        <w:tc>
          <w:tcPr>
            <w:tcW w:w="498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20,03</w:t>
            </w:r>
          </w:p>
        </w:tc>
        <w:tc>
          <w:tcPr>
            <w:tcW w:w="579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9,77</w:t>
            </w:r>
          </w:p>
        </w:tc>
        <w:tc>
          <w:tcPr>
            <w:tcW w:w="323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2,83</w:t>
            </w:r>
          </w:p>
        </w:tc>
        <w:tc>
          <w:tcPr>
            <w:tcW w:w="391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32,63</w:t>
            </w:r>
          </w:p>
        </w:tc>
        <w:tc>
          <w:tcPr>
            <w:tcW w:w="328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3,76</w:t>
            </w:r>
          </w:p>
        </w:tc>
        <w:tc>
          <w:tcPr>
            <w:tcW w:w="426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F5BF2" w:rsidRPr="009F5BF2" w:rsidRDefault="009F5BF2" w:rsidP="009F5B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F5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13,04%</w:t>
            </w:r>
          </w:p>
        </w:tc>
      </w:tr>
    </w:tbl>
    <w:p w:rsidR="009F5BF2" w:rsidRDefault="009F5BF2" w:rsidP="00B96FF8">
      <w:pPr>
        <w:spacing w:line="276" w:lineRule="auto"/>
        <w:rPr>
          <w:rFonts w:ascii="Times New Roman" w:hAnsi="Times New Roman" w:cs="Times New Roman"/>
        </w:rPr>
      </w:pPr>
    </w:p>
    <w:p w:rsidR="0068674B" w:rsidRDefault="00BD6ECC" w:rsidP="0068674B">
      <w:pPr>
        <w:jc w:val="both"/>
        <w:rPr>
          <w:rFonts w:ascii="Times New Roman" w:hAnsi="Times New Roman" w:cs="Times New Roman"/>
        </w:rPr>
      </w:pPr>
      <w:r w:rsidRPr="00BD6ECC">
        <w:rPr>
          <w:rFonts w:ascii="Times New Roman" w:hAnsi="Times New Roman" w:cs="Times New Roman"/>
        </w:rPr>
        <w:t xml:space="preserve">Mnenja smo, da je </w:t>
      </w:r>
      <w:r w:rsidR="0068674B">
        <w:rPr>
          <w:rFonts w:ascii="Times New Roman" w:hAnsi="Times New Roman" w:cs="Times New Roman"/>
        </w:rPr>
        <w:t xml:space="preserve">bistveni del </w:t>
      </w:r>
      <w:r w:rsidRPr="00BD6ECC">
        <w:rPr>
          <w:rFonts w:ascii="Times New Roman" w:hAnsi="Times New Roman" w:cs="Times New Roman"/>
        </w:rPr>
        <w:t xml:space="preserve">povišanja cene, ki se nanaša na vrednost </w:t>
      </w:r>
      <w:proofErr w:type="spellStart"/>
      <w:r w:rsidRPr="00BD6ECC">
        <w:rPr>
          <w:rFonts w:ascii="Times New Roman" w:hAnsi="Times New Roman" w:cs="Times New Roman"/>
        </w:rPr>
        <w:t>omrežnine</w:t>
      </w:r>
      <w:proofErr w:type="spellEnd"/>
      <w:r w:rsidRPr="00BD6ECC">
        <w:rPr>
          <w:rFonts w:ascii="Times New Roman" w:hAnsi="Times New Roman" w:cs="Times New Roman"/>
        </w:rPr>
        <w:t xml:space="preserve"> upravičen, saj je z zaključkom projekta izgradnje tranzitnega vodovoda, povišala vrednost infrastrukture in s tem tudi amortizacija, kot enega od elementov </w:t>
      </w:r>
      <w:proofErr w:type="spellStart"/>
      <w:r w:rsidRPr="00BD6ECC">
        <w:rPr>
          <w:rFonts w:ascii="Times New Roman" w:hAnsi="Times New Roman" w:cs="Times New Roman"/>
        </w:rPr>
        <w:t>omrežnine</w:t>
      </w:r>
      <w:proofErr w:type="spellEnd"/>
      <w:r w:rsidRPr="00BD6ECC">
        <w:rPr>
          <w:rFonts w:ascii="Times New Roman" w:hAnsi="Times New Roman" w:cs="Times New Roman"/>
        </w:rPr>
        <w:t xml:space="preserve"> (ob amortizaciji </w:t>
      </w:r>
      <w:proofErr w:type="spellStart"/>
      <w:r w:rsidRPr="00BD6ECC">
        <w:rPr>
          <w:rFonts w:ascii="Times New Roman" w:hAnsi="Times New Roman" w:cs="Times New Roman"/>
        </w:rPr>
        <w:t>omrežnina</w:t>
      </w:r>
      <w:proofErr w:type="spellEnd"/>
      <w:r w:rsidRPr="00BD6ECC">
        <w:rPr>
          <w:rFonts w:ascii="Times New Roman" w:hAnsi="Times New Roman" w:cs="Times New Roman"/>
        </w:rPr>
        <w:t xml:space="preserve"> vključuje še stroške zavarovanja infrastrukture, stroške odškodnin, stroške obnove in vzdrževanja priključkov, stroške nadomestil kmetom na vodovarstvenih območjih, plačilo vodne pravice, odhodke financiranja).</w:t>
      </w:r>
      <w:r w:rsidR="0068674B">
        <w:rPr>
          <w:rFonts w:ascii="Times New Roman" w:hAnsi="Times New Roman" w:cs="Times New Roman"/>
        </w:rPr>
        <w:t xml:space="preserve"> </w:t>
      </w:r>
    </w:p>
    <w:p w:rsidR="0068674B" w:rsidRDefault="0068674B" w:rsidP="0068674B">
      <w:pPr>
        <w:jc w:val="both"/>
        <w:rPr>
          <w:rFonts w:ascii="Times New Roman" w:hAnsi="Times New Roman" w:cs="Times New Roman"/>
        </w:rPr>
      </w:pPr>
      <w:r w:rsidRPr="0068674B">
        <w:rPr>
          <w:rFonts w:ascii="Times New Roman" w:hAnsi="Times New Roman" w:cs="Times New Roman"/>
        </w:rPr>
        <w:t>Predlagamo Občinskemu svetu Občine Sveta Trojica v Slovenskih goricah, da sprejme sklep kot je predlagan.</w:t>
      </w:r>
    </w:p>
    <w:p w:rsidR="00EE008F" w:rsidRDefault="00EE008F" w:rsidP="0068674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674B" w:rsidRPr="0068674B" w:rsidRDefault="0068674B" w:rsidP="0068674B">
      <w:pPr>
        <w:jc w:val="both"/>
        <w:rPr>
          <w:rFonts w:ascii="Times New Roman" w:hAnsi="Times New Roman" w:cs="Times New Roman"/>
        </w:rPr>
      </w:pPr>
    </w:p>
    <w:p w:rsidR="00510042" w:rsidRDefault="00510042" w:rsidP="00B96FF8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Pripravili:</w:t>
      </w:r>
    </w:p>
    <w:p w:rsidR="00510042" w:rsidRDefault="00510042" w:rsidP="00B96FF8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Elaborat: Mariborski vodovod, javno podjetje, d.d.</w:t>
      </w:r>
    </w:p>
    <w:p w:rsidR="00F40455" w:rsidRPr="00C15802" w:rsidRDefault="00510042" w:rsidP="00BD6E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Obrazložitev: Občinska uprava, zanjo</w:t>
      </w:r>
      <w:r w:rsidRPr="00607A44">
        <w:rPr>
          <w:rFonts w:ascii="Times New Roman" w:hAnsi="Times New Roman" w:cs="Times New Roman"/>
          <w:iCs/>
        </w:rPr>
        <w:t xml:space="preserve"> S</w:t>
      </w:r>
      <w:r>
        <w:rPr>
          <w:rFonts w:ascii="Times New Roman" w:hAnsi="Times New Roman" w:cs="Times New Roman"/>
          <w:iCs/>
        </w:rPr>
        <w:t>r</w:t>
      </w:r>
      <w:r w:rsidRPr="00607A44">
        <w:rPr>
          <w:rFonts w:ascii="Times New Roman" w:hAnsi="Times New Roman" w:cs="Times New Roman"/>
          <w:iCs/>
        </w:rPr>
        <w:t>ečko A. Padovnik</w:t>
      </w:r>
    </w:p>
    <w:sectPr w:rsidR="00F40455" w:rsidRPr="00C1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2EB"/>
    <w:multiLevelType w:val="hybridMultilevel"/>
    <w:tmpl w:val="49186E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5AC"/>
    <w:multiLevelType w:val="multilevel"/>
    <w:tmpl w:val="DC24C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02316A"/>
    <w:multiLevelType w:val="hybridMultilevel"/>
    <w:tmpl w:val="8F08BAAC"/>
    <w:lvl w:ilvl="0" w:tplc="9170F95A">
      <w:start w:val="4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50C86"/>
    <w:multiLevelType w:val="hybridMultilevel"/>
    <w:tmpl w:val="5868F390"/>
    <w:lvl w:ilvl="0" w:tplc="B6403FFE">
      <w:start w:val="4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C3055"/>
    <w:multiLevelType w:val="hybridMultilevel"/>
    <w:tmpl w:val="B5E46B20"/>
    <w:lvl w:ilvl="0" w:tplc="07D281D2">
      <w:start w:val="4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80C50"/>
    <w:multiLevelType w:val="hybridMultilevel"/>
    <w:tmpl w:val="FB3E2C6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DF1B1B"/>
    <w:multiLevelType w:val="multilevel"/>
    <w:tmpl w:val="418056C0"/>
    <w:lvl w:ilvl="0">
      <w:start w:val="4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5BC439CB"/>
    <w:multiLevelType w:val="multilevel"/>
    <w:tmpl w:val="CF46407C"/>
    <w:lvl w:ilvl="0">
      <w:start w:val="4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5CA27434"/>
    <w:multiLevelType w:val="hybridMultilevel"/>
    <w:tmpl w:val="BDCE2BC2"/>
    <w:lvl w:ilvl="0" w:tplc="EC0E7C16">
      <w:start w:val="42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680DEB"/>
    <w:multiLevelType w:val="hybridMultilevel"/>
    <w:tmpl w:val="F2CC3BE2"/>
    <w:lvl w:ilvl="0" w:tplc="9A8441F0">
      <w:start w:val="4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810BF"/>
    <w:multiLevelType w:val="multilevel"/>
    <w:tmpl w:val="3C74A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8"/>
    <w:rsid w:val="0002525C"/>
    <w:rsid w:val="000E18F2"/>
    <w:rsid w:val="001269CB"/>
    <w:rsid w:val="00172B82"/>
    <w:rsid w:val="001E2DF0"/>
    <w:rsid w:val="00206407"/>
    <w:rsid w:val="0025530E"/>
    <w:rsid w:val="002567BB"/>
    <w:rsid w:val="002B2FEF"/>
    <w:rsid w:val="00316CFD"/>
    <w:rsid w:val="00341227"/>
    <w:rsid w:val="003514BA"/>
    <w:rsid w:val="00365219"/>
    <w:rsid w:val="003A16AB"/>
    <w:rsid w:val="003C2327"/>
    <w:rsid w:val="003F533C"/>
    <w:rsid w:val="00476C06"/>
    <w:rsid w:val="004E0228"/>
    <w:rsid w:val="00510042"/>
    <w:rsid w:val="005906C8"/>
    <w:rsid w:val="006007EC"/>
    <w:rsid w:val="00603C2C"/>
    <w:rsid w:val="00634266"/>
    <w:rsid w:val="0066067C"/>
    <w:rsid w:val="0068674B"/>
    <w:rsid w:val="0072301F"/>
    <w:rsid w:val="00786DA0"/>
    <w:rsid w:val="007F4D42"/>
    <w:rsid w:val="008930A4"/>
    <w:rsid w:val="008D6E69"/>
    <w:rsid w:val="009202FD"/>
    <w:rsid w:val="0092042D"/>
    <w:rsid w:val="009E49D3"/>
    <w:rsid w:val="009F1AE9"/>
    <w:rsid w:val="009F5BF2"/>
    <w:rsid w:val="00A14DAF"/>
    <w:rsid w:val="00A3551B"/>
    <w:rsid w:val="00A739E4"/>
    <w:rsid w:val="00B43CF1"/>
    <w:rsid w:val="00B96FF8"/>
    <w:rsid w:val="00BD6ECC"/>
    <w:rsid w:val="00C15802"/>
    <w:rsid w:val="00CB6631"/>
    <w:rsid w:val="00CE1B5B"/>
    <w:rsid w:val="00D76470"/>
    <w:rsid w:val="00EE008F"/>
    <w:rsid w:val="00F17CEE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22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2327"/>
    <w:pPr>
      <w:ind w:left="720"/>
      <w:contextualSpacing/>
    </w:pPr>
  </w:style>
  <w:style w:type="table" w:styleId="Tabelamrea">
    <w:name w:val="Table Grid"/>
    <w:basedOn w:val="Navadnatabela"/>
    <w:uiPriority w:val="59"/>
    <w:rsid w:val="006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3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3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22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2327"/>
    <w:pPr>
      <w:ind w:left="720"/>
      <w:contextualSpacing/>
    </w:pPr>
  </w:style>
  <w:style w:type="table" w:styleId="Tabelamrea">
    <w:name w:val="Table Grid"/>
    <w:basedOn w:val="Navadnatabela"/>
    <w:uiPriority w:val="59"/>
    <w:rsid w:val="006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3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940D-D303-4421-B192-FEC89CF0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Padovnik Srecko</dc:creator>
  <cp:lastModifiedBy>obcina</cp:lastModifiedBy>
  <cp:revision>6</cp:revision>
  <dcterms:created xsi:type="dcterms:W3CDTF">2018-02-13T14:37:00Z</dcterms:created>
  <dcterms:modified xsi:type="dcterms:W3CDTF">2018-02-14T13:58:00Z</dcterms:modified>
</cp:coreProperties>
</file>