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52" w:rsidRPr="00AA6452" w:rsidRDefault="00AA6452" w:rsidP="00AA645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eastAsia="sl-SI"/>
        </w:rPr>
      </w:pPr>
      <w:smartTag w:uri="urn:schemas-microsoft-com:office:smarttags" w:element="PersonName">
        <w:smartTagPr>
          <w:attr w:name="ProductID" w:val="OBČINA PREVALJE"/>
        </w:smartTagPr>
        <w:r w:rsidRPr="00AA6452">
          <w:rPr>
            <w:rFonts w:ascii="Tahoma" w:eastAsia="Times New Roman" w:hAnsi="Tahoma" w:cs="Tahoma"/>
            <w:b/>
            <w:sz w:val="24"/>
            <w:szCs w:val="24"/>
            <w:lang w:eastAsia="sl-SI"/>
          </w:rPr>
          <w:t>OBČINA PREVALJE</w:t>
        </w:r>
      </w:smartTag>
    </w:p>
    <w:p w:rsidR="00AA6452" w:rsidRPr="00AA6452" w:rsidRDefault="00AA6452" w:rsidP="00AA645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6452">
        <w:rPr>
          <w:rFonts w:ascii="Tahoma" w:eastAsia="Times New Roman" w:hAnsi="Tahoma" w:cs="Tahoma"/>
          <w:b/>
          <w:sz w:val="24"/>
          <w:szCs w:val="24"/>
          <w:lang w:eastAsia="sl-SI"/>
        </w:rPr>
        <w:t>Trg 2/a, 2391 Prevalje</w:t>
      </w: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AA6452" w:rsidRPr="00AA6452" w:rsidRDefault="00AA6452" w:rsidP="00AA645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6452">
        <w:rPr>
          <w:rFonts w:ascii="Tahoma" w:eastAsia="Times New Roman" w:hAnsi="Tahoma" w:cs="Tahoma"/>
          <w:b/>
          <w:sz w:val="24"/>
          <w:szCs w:val="24"/>
          <w:lang w:eastAsia="sl-SI"/>
        </w:rPr>
        <w:t>PREDLOG ODLOKA:</w:t>
      </w: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sl-SI"/>
        </w:rPr>
      </w:pPr>
      <w:r w:rsidRPr="00AA6452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sl-SI"/>
        </w:rPr>
        <w:t>ODLOK O SPREMEMBAH IN DOPOLNITVAH ODLOKA O KATEGORIZACIJI OBČINSKIH CEST V OBČINI PREVALJE</w:t>
      </w: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A6452">
        <w:rPr>
          <w:rFonts w:ascii="Tahoma" w:eastAsia="Times New Roman" w:hAnsi="Tahoma" w:cs="Tahoma"/>
          <w:b/>
          <w:sz w:val="24"/>
          <w:szCs w:val="24"/>
          <w:lang w:eastAsia="sl-SI"/>
        </w:rPr>
        <w:t>I. UVOD</w:t>
      </w: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380"/>
      </w:tblGrid>
      <w:tr w:rsidR="00AA6452" w:rsidRPr="00AA6452" w:rsidTr="00B568D1">
        <w:tc>
          <w:tcPr>
            <w:tcW w:w="2230" w:type="dxa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Predlagatelj:</w:t>
            </w:r>
          </w:p>
        </w:tc>
        <w:tc>
          <w:tcPr>
            <w:tcW w:w="7380" w:type="dxa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Župan Občine Prevalje</w:t>
            </w:r>
          </w:p>
        </w:tc>
      </w:tr>
    </w:tbl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AA6452" w:rsidRPr="00AA6452" w:rsidTr="00B568D1">
        <w:tc>
          <w:tcPr>
            <w:tcW w:w="2268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Faza sprejemanja:</w:t>
            </w:r>
          </w:p>
        </w:tc>
        <w:tc>
          <w:tcPr>
            <w:tcW w:w="7380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Predlog – druga</w:t>
            </w:r>
            <w:r w:rsidRPr="00AA6452">
              <w:rPr>
                <w:rFonts w:ascii="Tahoma" w:eastAsia="Times New Roman" w:hAnsi="Tahoma" w:cs="Tahoma"/>
                <w:lang w:eastAsia="sl-SI"/>
              </w:rPr>
              <w:t xml:space="preserve"> obravnava</w:t>
            </w:r>
          </w:p>
        </w:tc>
      </w:tr>
    </w:tbl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AA6452" w:rsidRPr="00AA6452" w:rsidTr="00B568D1">
        <w:trPr>
          <w:trHeight w:val="2762"/>
        </w:trPr>
        <w:tc>
          <w:tcPr>
            <w:tcW w:w="2268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Pravna podlaga:</w:t>
            </w:r>
          </w:p>
        </w:tc>
        <w:tc>
          <w:tcPr>
            <w:tcW w:w="7380" w:type="dxa"/>
            <w:shd w:val="clear" w:color="auto" w:fill="auto"/>
          </w:tcPr>
          <w:p w:rsidR="00AA6452" w:rsidRPr="00AA6452" w:rsidRDefault="00AA6452" w:rsidP="00AA645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Zakon o cestah (Uradni list RS, št. 109/10 in 48/12);</w:t>
            </w:r>
          </w:p>
          <w:p w:rsidR="00AA6452" w:rsidRPr="00AA6452" w:rsidRDefault="00AA6452" w:rsidP="00AA645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Pravilnik o načinu označevanja javnih cest in o evidencah o javnih cestah in objektih na njih (Uradni list RS, št. 47/97 in 2/04);</w:t>
            </w:r>
          </w:p>
          <w:p w:rsidR="00AA6452" w:rsidRPr="00AA6452" w:rsidRDefault="00AA6452" w:rsidP="00AA645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Uredba o merilih za kategorizacijo javnih cest (Uradni list RS, št. 47/97 in 113/09);</w:t>
            </w:r>
          </w:p>
          <w:p w:rsidR="00AA6452" w:rsidRPr="00AA6452" w:rsidRDefault="00AA6452" w:rsidP="00AA645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17. člen Statut Občine Prevalje (Uradno glasilo slovenskih občin, št. 18/06, 19/06, 34/07, 15/10 in 12/13).</w:t>
            </w:r>
          </w:p>
        </w:tc>
      </w:tr>
    </w:tbl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AA6452" w:rsidRPr="00AA6452" w:rsidTr="00B568D1">
        <w:tc>
          <w:tcPr>
            <w:tcW w:w="2268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rPr>
                <w:rFonts w:ascii="Tahoma" w:eastAsia="Times New Roman" w:hAnsi="Tahoma" w:cs="Tahoma"/>
                <w:b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Finančne posledice:</w:t>
            </w:r>
          </w:p>
        </w:tc>
        <w:tc>
          <w:tcPr>
            <w:tcW w:w="7380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AA6452">
              <w:rPr>
                <w:rFonts w:ascii="Tahoma" w:eastAsia="Times New Roman" w:hAnsi="Tahoma" w:cs="Tahoma"/>
                <w:lang w:eastAsia="ar-SA"/>
              </w:rPr>
              <w:t xml:space="preserve">Sprejetje predlaganega odloka ne zahteva dodatnih proračunskih sredstev. </w:t>
            </w:r>
          </w:p>
        </w:tc>
      </w:tr>
    </w:tbl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380"/>
      </w:tblGrid>
      <w:tr w:rsidR="00AA6452" w:rsidRPr="00AA6452" w:rsidTr="00B568D1">
        <w:trPr>
          <w:trHeight w:val="360"/>
        </w:trPr>
        <w:tc>
          <w:tcPr>
            <w:tcW w:w="2230" w:type="dxa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Obrazložitev:</w:t>
            </w:r>
          </w:p>
        </w:tc>
        <w:tc>
          <w:tcPr>
            <w:tcW w:w="7380" w:type="dxa"/>
          </w:tcPr>
          <w:p w:rsidR="00AA6452" w:rsidRPr="00AA6452" w:rsidRDefault="00AA6452" w:rsidP="00A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Na podlagi določil Zakona o cestah (v nadaljevanju: ZCes-1) – Uradni list RS, št. 109/10 in 48/12 morajo občine kot upravljavci občinskih cest voditi evidence o občinskih cestah in objektih na njih. Skladno s predpisi Pravilnika o načinu označevanja javnih cest in o evidencah o javnih cestah in objektih na njih – Uradni list RS, št. 49/97 in 2/04 (v nadaljevanju: Pravilnik) in Uredbe o merilih za kategorizacijo javnih cest – Uradni list RS,</w:t>
            </w:r>
          </w:p>
          <w:p w:rsidR="00AA6452" w:rsidRPr="00AA6452" w:rsidRDefault="00AA6452" w:rsidP="00A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št. 49/97 in 113/09 (v nadaljevanju: Uredba) so morale občine po uveljavitvi zakonodaje pripraviti Odlok o kategorizaciji občinskih cest (v nadaljevanju: Odlok).</w:t>
            </w:r>
          </w:p>
          <w:p w:rsidR="00AA6452" w:rsidRDefault="00AA6452" w:rsidP="00A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 xml:space="preserve">Odlok o kategorizaciji občinskih cest je pravni akt, katerega mora po predhodnem soglasju s strani Direkcije RS za infrastrukturo (v nadaljevanju: DRSI) potrditi občinski svet občine. V skladu z določili Uredbe mora občina, ki želi spremeniti ali dopolniti veljavni Odlok, na DRSI poslati vlogo za spremembo kategorizacije občinskih cest. DRSI ji v primeru ustreznega gradiva izda soglasje k predlaganim spremembam ali dopolnitvam, oz. občino pozove k odpravi ugotovljenih neskladij. </w:t>
            </w:r>
          </w:p>
          <w:p w:rsidR="00AA6452" w:rsidRPr="00AA6452" w:rsidRDefault="00AA6452" w:rsidP="00A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 xml:space="preserve">Na podlagi potrditve </w:t>
            </w:r>
            <w:r>
              <w:rPr>
                <w:rFonts w:ascii="Tahoma" w:eastAsia="Times New Roman" w:hAnsi="Tahoma" w:cs="Tahoma"/>
                <w:lang w:eastAsia="sl-SI"/>
              </w:rPr>
              <w:t>S</w:t>
            </w:r>
            <w:r w:rsidRPr="00AA6452">
              <w:rPr>
                <w:rFonts w:ascii="Tahoma" w:eastAsia="Times New Roman" w:hAnsi="Tahoma" w:cs="Tahoma"/>
                <w:lang w:eastAsia="sl-SI"/>
              </w:rPr>
              <w:t>prememb</w:t>
            </w:r>
            <w:r>
              <w:rPr>
                <w:rFonts w:ascii="Tahoma" w:eastAsia="Times New Roman" w:hAnsi="Tahoma" w:cs="Tahoma"/>
                <w:lang w:eastAsia="sl-SI"/>
              </w:rPr>
              <w:t xml:space="preserve"> in dopolnitev</w:t>
            </w:r>
            <w:r w:rsidRPr="00AA6452">
              <w:rPr>
                <w:rFonts w:ascii="Tahoma" w:eastAsia="Times New Roman" w:hAnsi="Tahoma" w:cs="Tahoma"/>
                <w:lang w:eastAsia="sl-SI"/>
              </w:rPr>
              <w:t xml:space="preserve"> odloka v prvi obravnavi je Občina Prevalje poslala vlogo na DRSI ter dne 4. maja 2016 prejela tudi pozitivno soglasje direkcije. Na podlagi navedenega se je pripravilo gradivo za obravnavo </w:t>
            </w:r>
            <w:r>
              <w:rPr>
                <w:rFonts w:ascii="Tahoma" w:eastAsia="Times New Roman" w:hAnsi="Tahoma" w:cs="Tahoma"/>
                <w:lang w:eastAsia="sl-SI"/>
              </w:rPr>
              <w:t>S</w:t>
            </w:r>
            <w:r w:rsidRPr="00AA6452">
              <w:rPr>
                <w:rFonts w:ascii="Tahoma" w:eastAsia="Times New Roman" w:hAnsi="Tahoma" w:cs="Tahoma"/>
                <w:lang w:eastAsia="sl-SI"/>
              </w:rPr>
              <w:t>prememb in dopolnitev odloka o kategorizaciji občinskih cest v Občini Prevalje v drugi obravnavi.</w:t>
            </w:r>
          </w:p>
          <w:p w:rsidR="00AA6452" w:rsidRPr="00AA6452" w:rsidRDefault="00AA6452" w:rsidP="00A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  <w:p w:rsidR="00AA6452" w:rsidRPr="00AA6452" w:rsidRDefault="00AA6452" w:rsidP="00AA6452">
            <w:pPr>
              <w:spacing w:after="21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Predlog je prikazan v predloženem gradivu.</w:t>
            </w:r>
          </w:p>
        </w:tc>
      </w:tr>
    </w:tbl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878"/>
        <w:gridCol w:w="4606"/>
      </w:tblGrid>
      <w:tr w:rsidR="00AA6452" w:rsidRPr="00AA6452" w:rsidTr="00B568D1">
        <w:tc>
          <w:tcPr>
            <w:tcW w:w="1728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  <w:r w:rsidRPr="00AA6452">
              <w:rPr>
                <w:rFonts w:ascii="Tahoma" w:eastAsia="Times New Roman" w:hAnsi="Tahoma" w:cs="Tahoma"/>
                <w:lang w:eastAsia="sl-SI"/>
              </w:rPr>
              <w:t>predlog sklepa: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sl-SI"/>
              </w:rPr>
            </w:pPr>
            <w:r w:rsidRPr="00AA6452">
              <w:rPr>
                <w:rFonts w:ascii="Tahoma" w:eastAsia="Times New Roman" w:hAnsi="Tahoma" w:cs="Tahoma"/>
                <w:b/>
                <w:lang w:eastAsia="sl-SI"/>
              </w:rPr>
              <w:t>O</w:t>
            </w:r>
            <w:r>
              <w:rPr>
                <w:rFonts w:ascii="Tahoma" w:eastAsia="Times New Roman" w:hAnsi="Tahoma" w:cs="Tahoma"/>
                <w:b/>
                <w:lang w:eastAsia="sl-SI"/>
              </w:rPr>
              <w:t>bčinski svet Občine</w:t>
            </w:r>
            <w:r w:rsidRPr="00AA6452">
              <w:rPr>
                <w:rFonts w:ascii="Tahoma" w:eastAsia="Times New Roman" w:hAnsi="Tahoma" w:cs="Tahoma"/>
                <w:b/>
                <w:lang w:eastAsia="sl-SI"/>
              </w:rPr>
              <w:t xml:space="preserve"> Prevalje je obravnaval predlog Odloka o spremembah in dopolnitvah Odloka o kategorizaciji občinskih cest v Občini Prevalje v </w:t>
            </w:r>
            <w:r>
              <w:rPr>
                <w:rFonts w:ascii="Tahoma" w:eastAsia="Times New Roman" w:hAnsi="Tahoma" w:cs="Tahoma"/>
                <w:b/>
                <w:lang w:eastAsia="sl-SI"/>
              </w:rPr>
              <w:t>drugi</w:t>
            </w:r>
            <w:r w:rsidRPr="00AA6452">
              <w:rPr>
                <w:rFonts w:ascii="Tahoma" w:eastAsia="Times New Roman" w:hAnsi="Tahoma" w:cs="Tahoma"/>
                <w:b/>
                <w:lang w:eastAsia="sl-SI"/>
              </w:rPr>
              <w:t xml:space="preserve"> </w:t>
            </w:r>
            <w:bookmarkStart w:id="0" w:name="_GoBack"/>
            <w:bookmarkEnd w:id="0"/>
            <w:r w:rsidRPr="00AA6452">
              <w:rPr>
                <w:rFonts w:ascii="Tahoma" w:eastAsia="Times New Roman" w:hAnsi="Tahoma" w:cs="Tahoma"/>
                <w:b/>
                <w:lang w:eastAsia="sl-SI"/>
              </w:rPr>
              <w:t>obravnavi ter se z njim strinja in ga potrjuje.</w:t>
            </w:r>
          </w:p>
        </w:tc>
      </w:tr>
      <w:tr w:rsidR="00AA6452" w:rsidRPr="00AA6452" w:rsidTr="00B568D1">
        <w:tc>
          <w:tcPr>
            <w:tcW w:w="4606" w:type="dxa"/>
            <w:gridSpan w:val="2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606" w:type="dxa"/>
            <w:shd w:val="clear" w:color="auto" w:fill="auto"/>
          </w:tcPr>
          <w:p w:rsidR="00AA6452" w:rsidRPr="00AA6452" w:rsidRDefault="00AA6452" w:rsidP="00AA64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  <w:p w:rsidR="00AA6452" w:rsidRPr="00AA6452" w:rsidRDefault="00AA6452" w:rsidP="00AA64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  <w:p w:rsidR="00AA6452" w:rsidRPr="00AA6452" w:rsidRDefault="00AA6452" w:rsidP="00AA64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  <w:p w:rsidR="00AA6452" w:rsidRPr="00AA6452" w:rsidRDefault="00AA6452" w:rsidP="00AA645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AA6452">
        <w:rPr>
          <w:rFonts w:ascii="Tahoma" w:eastAsia="Times New Roman" w:hAnsi="Tahoma" w:cs="Tahoma"/>
          <w:lang w:eastAsia="sl-SI"/>
        </w:rPr>
        <w:t>Pripravil: Oddelek za KCG</w:t>
      </w: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AA6452">
        <w:rPr>
          <w:rFonts w:ascii="Tahoma" w:eastAsia="Times New Roman" w:hAnsi="Tahoma" w:cs="Tahoma"/>
          <w:b/>
          <w:lang w:eastAsia="sl-SI"/>
        </w:rPr>
        <w:t>II. BESEDILO ODLOKA:</w:t>
      </w:r>
    </w:p>
    <w:p w:rsidR="00AA6452" w:rsidRPr="00AA6452" w:rsidRDefault="00AA6452" w:rsidP="00AA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6452" w:rsidRPr="00AA6452" w:rsidRDefault="00AA6452" w:rsidP="00AA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4375" w:rsidRDefault="00AA6452"/>
    <w:sectPr w:rsidR="00444375" w:rsidSect="00CF0AD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52"/>
    <w:rsid w:val="00331911"/>
    <w:rsid w:val="00331B39"/>
    <w:rsid w:val="00A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2016-05-11T08:05:00Z</dcterms:created>
  <dcterms:modified xsi:type="dcterms:W3CDTF">2016-05-11T08:07:00Z</dcterms:modified>
</cp:coreProperties>
</file>