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000" w:firstRow="0" w:lastRow="0" w:firstColumn="0" w:lastColumn="0" w:noHBand="0" w:noVBand="0"/>
      </w:tblPr>
      <w:tblGrid>
        <w:gridCol w:w="993"/>
        <w:gridCol w:w="8080"/>
      </w:tblGrid>
      <w:tr w:rsidR="00CB3412" w:rsidRPr="00031186" w:rsidTr="002B5BFB">
        <w:tc>
          <w:tcPr>
            <w:tcW w:w="993" w:type="dxa"/>
          </w:tcPr>
          <w:p w:rsidR="00CB3412" w:rsidRPr="00A03BF5" w:rsidRDefault="00CB3412" w:rsidP="002B5BFB">
            <w:pPr>
              <w:spacing w:before="20" w:after="100" w:line="240" w:lineRule="auto"/>
              <w:ind w:right="-108"/>
              <w:jc w:val="center"/>
              <w:rPr>
                <w:rFonts w:ascii="Arial" w:eastAsia="Times New Roman" w:hAnsi="Arial"/>
                <w:szCs w:val="20"/>
                <w:lang w:eastAsia="sl-SI"/>
              </w:rPr>
            </w:pPr>
            <w:r>
              <w:rPr>
                <w:rFonts w:ascii="Arial" w:eastAsia="Times New Roman" w:hAnsi="Arial"/>
                <w:noProof/>
                <w:szCs w:val="20"/>
                <w:lang w:eastAsia="sl-SI"/>
              </w:rPr>
              <w:drawing>
                <wp:inline distT="0" distB="0" distL="0" distR="0" wp14:anchorId="0147A79D" wp14:editId="34F5D062">
                  <wp:extent cx="500380" cy="600075"/>
                  <wp:effectExtent l="0" t="0" r="0" b="9525"/>
                  <wp:docPr id="1" name="Slika 1" descr="Opis: Opis: ORG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RG157"/>
                          <pic:cNvPicPr>
                            <a:picLocks noChangeAspect="1" noChangeArrowheads="1"/>
                          </pic:cNvPicPr>
                        </pic:nvPicPr>
                        <pic:blipFill>
                          <a:blip r:embed="rId6" cstate="print">
                            <a:extLst>
                              <a:ext uri="{28A0092B-C50C-407E-A947-70E740481C1C}">
                                <a14:useLocalDpi xmlns:a14="http://schemas.microsoft.com/office/drawing/2010/main" val="0"/>
                              </a:ext>
                            </a:extLst>
                          </a:blip>
                          <a:srcRect l="-3877" t="-3174" r="-3877" b="-3174"/>
                          <a:stretch>
                            <a:fillRect/>
                          </a:stretch>
                        </pic:blipFill>
                        <pic:spPr bwMode="auto">
                          <a:xfrm>
                            <a:off x="0" y="0"/>
                            <a:ext cx="500380" cy="600075"/>
                          </a:xfrm>
                          <a:prstGeom prst="rect">
                            <a:avLst/>
                          </a:prstGeom>
                          <a:noFill/>
                          <a:ln>
                            <a:noFill/>
                          </a:ln>
                        </pic:spPr>
                      </pic:pic>
                    </a:graphicData>
                  </a:graphic>
                </wp:inline>
              </w:drawing>
            </w:r>
          </w:p>
        </w:tc>
        <w:tc>
          <w:tcPr>
            <w:tcW w:w="8080" w:type="dxa"/>
          </w:tcPr>
          <w:p w:rsidR="00CB3412" w:rsidRPr="00A03BF5" w:rsidRDefault="00CB3412" w:rsidP="002B5BFB">
            <w:pPr>
              <w:spacing w:before="80" w:after="0" w:line="240" w:lineRule="auto"/>
              <w:ind w:left="34"/>
              <w:rPr>
                <w:rFonts w:ascii="Times New Roman" w:eastAsia="Times New Roman" w:hAnsi="Times New Roman"/>
                <w:b/>
                <w:noProof/>
                <w:szCs w:val="20"/>
                <w:lang w:eastAsia="sl-SI"/>
              </w:rPr>
            </w:pPr>
            <w:r w:rsidRPr="00A03BF5">
              <w:rPr>
                <w:rFonts w:ascii="Times New Roman" w:eastAsia="Times New Roman" w:hAnsi="Times New Roman"/>
                <w:b/>
                <w:noProof/>
                <w:szCs w:val="20"/>
                <w:lang w:eastAsia="sl-SI"/>
              </w:rPr>
              <w:t>OBČINA RIBNICA</w:t>
            </w:r>
          </w:p>
          <w:p w:rsidR="00CB3412" w:rsidRPr="00A03BF5" w:rsidRDefault="00CB3412" w:rsidP="002B5BFB">
            <w:pPr>
              <w:spacing w:after="0" w:line="211" w:lineRule="exact"/>
              <w:ind w:left="34"/>
              <w:rPr>
                <w:rFonts w:ascii="Times New Roman" w:eastAsia="Times New Roman" w:hAnsi="Times New Roman"/>
                <w:noProof/>
                <w:position w:val="1"/>
                <w:szCs w:val="20"/>
                <w:lang w:eastAsia="sl-SI"/>
              </w:rPr>
            </w:pPr>
            <w:r w:rsidRPr="00A03BF5">
              <w:rPr>
                <w:rFonts w:ascii="Times New Roman" w:eastAsia="Times New Roman" w:hAnsi="Times New Roman"/>
                <w:noProof/>
                <w:position w:val="1"/>
                <w:szCs w:val="20"/>
                <w:lang w:eastAsia="sl-SI"/>
              </w:rPr>
              <w:t>Oddelek za finance</w:t>
            </w:r>
          </w:p>
          <w:p w:rsidR="00CB3412" w:rsidRPr="00A03BF5" w:rsidRDefault="00CB3412" w:rsidP="002B5BFB">
            <w:pPr>
              <w:spacing w:after="0" w:line="180" w:lineRule="exact"/>
              <w:ind w:left="34"/>
              <w:rPr>
                <w:rFonts w:ascii="Times New Roman" w:eastAsia="Times New Roman" w:hAnsi="Times New Roman"/>
                <w:noProof/>
                <w:position w:val="1"/>
                <w:sz w:val="18"/>
                <w:szCs w:val="20"/>
                <w:lang w:eastAsia="sl-SI"/>
              </w:rPr>
            </w:pPr>
            <w:r w:rsidRPr="00A03BF5">
              <w:rPr>
                <w:rFonts w:ascii="Times New Roman" w:eastAsia="Times New Roman" w:hAnsi="Times New Roman"/>
                <w:noProof/>
                <w:position w:val="1"/>
                <w:sz w:val="18"/>
                <w:szCs w:val="20"/>
                <w:lang w:eastAsia="sl-SI"/>
              </w:rPr>
              <w:t>Gorenjska cesta 3, 1310 Ribnica, Slovenija, Telefon: 01/ 837 20 21</w:t>
            </w:r>
          </w:p>
          <w:p w:rsidR="00CB3412" w:rsidRPr="00A03BF5" w:rsidRDefault="00CB3412" w:rsidP="002B5BFB">
            <w:pPr>
              <w:spacing w:after="0" w:line="180" w:lineRule="exact"/>
              <w:ind w:left="34"/>
              <w:rPr>
                <w:rFonts w:ascii="Times New Roman" w:eastAsia="Times New Roman" w:hAnsi="Times New Roman"/>
                <w:b/>
                <w:noProof/>
                <w:spacing w:val="20"/>
                <w:position w:val="1"/>
                <w:sz w:val="18"/>
                <w:szCs w:val="20"/>
                <w:lang w:eastAsia="sl-SI"/>
              </w:rPr>
            </w:pPr>
            <w:r w:rsidRPr="00A03BF5">
              <w:rPr>
                <w:rFonts w:ascii="Times New Roman" w:eastAsia="Times New Roman" w:hAnsi="Times New Roman"/>
                <w:noProof/>
                <w:position w:val="1"/>
                <w:sz w:val="18"/>
                <w:szCs w:val="20"/>
                <w:lang w:eastAsia="sl-SI"/>
              </w:rPr>
              <w:t xml:space="preserve">Faks: 01/ 836 10 91, E-pošta: </w:t>
            </w:r>
            <w:smartTag w:uri="urn:schemas-microsoft-com:office:smarttags" w:element="PersonName">
              <w:r w:rsidRPr="00A03BF5">
                <w:rPr>
                  <w:rFonts w:ascii="Times New Roman" w:eastAsia="Times New Roman" w:hAnsi="Times New Roman"/>
                  <w:noProof/>
                  <w:position w:val="1"/>
                  <w:sz w:val="18"/>
                  <w:szCs w:val="20"/>
                  <w:lang w:eastAsia="sl-SI"/>
                </w:rPr>
                <w:t>obcina@ribnica.si</w:t>
              </w:r>
            </w:smartTag>
          </w:p>
        </w:tc>
      </w:tr>
    </w:tbl>
    <w:p w:rsidR="00CB3412" w:rsidRPr="00A03BF5" w:rsidRDefault="00CB3412" w:rsidP="00CB3412">
      <w:pPr>
        <w:pBdr>
          <w:top w:val="single" w:sz="6" w:space="1" w:color="auto"/>
        </w:pBdr>
        <w:spacing w:after="0" w:line="240" w:lineRule="auto"/>
        <w:rPr>
          <w:rFonts w:ascii="Arial" w:eastAsia="Times New Roman" w:hAnsi="Arial"/>
          <w:noProof/>
          <w:szCs w:val="20"/>
          <w:lang w:eastAsia="sl-SI"/>
        </w:rPr>
      </w:pPr>
    </w:p>
    <w:p w:rsidR="00CB3412" w:rsidRPr="00A03BF5" w:rsidRDefault="00CB3412" w:rsidP="00CB3412">
      <w:pPr>
        <w:spacing w:after="0" w:line="240" w:lineRule="auto"/>
        <w:rPr>
          <w:rFonts w:ascii="Arial" w:eastAsia="Times New Roman" w:hAnsi="Arial"/>
          <w:szCs w:val="20"/>
          <w:lang w:eastAsia="sl-SI"/>
        </w:rPr>
      </w:pPr>
      <w:r w:rsidRPr="00A03BF5">
        <w:rPr>
          <w:rFonts w:ascii="Arial" w:eastAsia="Times New Roman" w:hAnsi="Arial"/>
          <w:szCs w:val="20"/>
          <w:lang w:eastAsia="sl-SI"/>
        </w:rPr>
        <w:t xml:space="preserve">Datum: </w:t>
      </w:r>
      <w:r>
        <w:rPr>
          <w:rFonts w:ascii="Arial" w:eastAsia="Times New Roman" w:hAnsi="Arial"/>
          <w:szCs w:val="20"/>
          <w:lang w:eastAsia="sl-SI"/>
        </w:rPr>
        <w:t>03</w:t>
      </w:r>
      <w:r w:rsidRPr="00A03BF5">
        <w:rPr>
          <w:rFonts w:ascii="Arial" w:eastAsia="Times New Roman" w:hAnsi="Arial"/>
          <w:szCs w:val="20"/>
          <w:lang w:eastAsia="sl-SI"/>
        </w:rPr>
        <w:t>.1</w:t>
      </w:r>
      <w:r>
        <w:rPr>
          <w:rFonts w:ascii="Arial" w:eastAsia="Times New Roman" w:hAnsi="Arial"/>
          <w:szCs w:val="20"/>
          <w:lang w:eastAsia="sl-SI"/>
        </w:rPr>
        <w:t>2</w:t>
      </w:r>
      <w:r w:rsidRPr="00A03BF5">
        <w:rPr>
          <w:rFonts w:ascii="Arial" w:eastAsia="Times New Roman" w:hAnsi="Arial"/>
          <w:szCs w:val="20"/>
          <w:lang w:eastAsia="sl-SI"/>
        </w:rPr>
        <w:t>.</w:t>
      </w:r>
      <w:r>
        <w:rPr>
          <w:rFonts w:ascii="Arial" w:eastAsia="Times New Roman" w:hAnsi="Arial"/>
          <w:szCs w:val="20"/>
          <w:lang w:eastAsia="sl-SI"/>
        </w:rPr>
        <w:t>2014</w:t>
      </w:r>
    </w:p>
    <w:p w:rsidR="00CB3412" w:rsidRPr="00A03BF5" w:rsidRDefault="00CB3412" w:rsidP="00CB3412">
      <w:pPr>
        <w:spacing w:after="0" w:line="240" w:lineRule="auto"/>
        <w:rPr>
          <w:rFonts w:ascii="Arial" w:eastAsia="Times New Roman" w:hAnsi="Arial"/>
          <w:szCs w:val="20"/>
          <w:lang w:eastAsia="sl-SI"/>
        </w:rPr>
      </w:pPr>
      <w:r w:rsidRPr="00A03BF5">
        <w:rPr>
          <w:rFonts w:ascii="Arial" w:eastAsia="Times New Roman" w:hAnsi="Arial"/>
          <w:szCs w:val="20"/>
          <w:lang w:eastAsia="sl-SI"/>
        </w:rPr>
        <w:t xml:space="preserve">Številka: </w:t>
      </w:r>
      <w:r w:rsidRPr="00CB3412">
        <w:rPr>
          <w:rFonts w:ascii="Arial" w:eastAsia="Times New Roman" w:hAnsi="Arial"/>
          <w:szCs w:val="20"/>
          <w:lang w:eastAsia="sl-SI"/>
        </w:rPr>
        <w:t>410-0054/2014</w:t>
      </w:r>
    </w:p>
    <w:p w:rsidR="00CB3412" w:rsidRDefault="00CB3412" w:rsidP="00CB3412">
      <w:pPr>
        <w:spacing w:after="0" w:line="240" w:lineRule="auto"/>
        <w:rPr>
          <w:rFonts w:ascii="Arial" w:eastAsia="Times New Roman" w:hAnsi="Arial"/>
          <w:szCs w:val="20"/>
          <w:lang w:eastAsia="sl-SI"/>
        </w:rPr>
      </w:pPr>
    </w:p>
    <w:p w:rsidR="00CB3412" w:rsidRPr="00A03BF5" w:rsidRDefault="00CB3412" w:rsidP="00CB3412">
      <w:pPr>
        <w:spacing w:after="0" w:line="240" w:lineRule="auto"/>
        <w:rPr>
          <w:rFonts w:ascii="Arial" w:eastAsia="Times New Roman" w:hAnsi="Arial"/>
          <w:szCs w:val="20"/>
          <w:lang w:eastAsia="sl-SI"/>
        </w:rPr>
      </w:pPr>
    </w:p>
    <w:p w:rsidR="00CB3412" w:rsidRPr="00CB3412" w:rsidRDefault="00CB3412" w:rsidP="00CB3412">
      <w:pPr>
        <w:keepNext/>
        <w:spacing w:before="240" w:after="60" w:line="240" w:lineRule="auto"/>
        <w:outlineLvl w:val="1"/>
        <w:rPr>
          <w:rFonts w:ascii="Arial Narrow" w:eastAsia="Times New Roman" w:hAnsi="Arial Narrow" w:cs="Arial"/>
          <w:b/>
          <w:bCs/>
          <w:i/>
          <w:iCs/>
          <w:sz w:val="32"/>
          <w:szCs w:val="32"/>
          <w:lang w:eastAsia="sl-SI"/>
        </w:rPr>
      </w:pPr>
      <w:r w:rsidRPr="00CB3412">
        <w:rPr>
          <w:rFonts w:ascii="Arial Narrow" w:eastAsia="Times New Roman" w:hAnsi="Arial Narrow" w:cs="Arial"/>
          <w:b/>
          <w:bCs/>
          <w:i/>
          <w:iCs/>
          <w:sz w:val="32"/>
          <w:szCs w:val="32"/>
          <w:lang w:eastAsia="sl-SI"/>
        </w:rPr>
        <w:t>Občinski svet Občine Ribnica</w:t>
      </w:r>
    </w:p>
    <w:p w:rsidR="00CB3412" w:rsidRPr="00CB3412" w:rsidRDefault="00CB3412" w:rsidP="00CB3412">
      <w:pPr>
        <w:spacing w:after="0" w:line="240" w:lineRule="auto"/>
        <w:rPr>
          <w:rFonts w:ascii="Arial Narrow" w:eastAsia="Times New Roman" w:hAnsi="Arial Narrow" w:cs="Arial"/>
          <w:szCs w:val="20"/>
          <w:lang w:eastAsia="sl-SI"/>
        </w:rPr>
      </w:pPr>
    </w:p>
    <w:p w:rsidR="00CB3412" w:rsidRPr="00CB3412" w:rsidRDefault="00CB3412" w:rsidP="00CB3412">
      <w:pPr>
        <w:pBdr>
          <w:top w:val="single" w:sz="4" w:space="1" w:color="auto"/>
          <w:left w:val="single" w:sz="4" w:space="4" w:color="auto"/>
          <w:bottom w:val="single" w:sz="4" w:space="1" w:color="auto"/>
          <w:right w:val="single" w:sz="4" w:space="4" w:color="auto"/>
        </w:pBdr>
        <w:spacing w:after="0" w:line="240" w:lineRule="auto"/>
        <w:ind w:left="964" w:hanging="964"/>
        <w:rPr>
          <w:rFonts w:ascii="Arial Narrow" w:eastAsia="Times New Roman" w:hAnsi="Arial Narrow" w:cs="Arial"/>
          <w:sz w:val="28"/>
          <w:szCs w:val="28"/>
          <w:lang w:eastAsia="sl-SI"/>
        </w:rPr>
      </w:pPr>
      <w:r w:rsidRPr="00CB3412">
        <w:rPr>
          <w:rFonts w:ascii="Arial Narrow" w:eastAsia="Times New Roman" w:hAnsi="Arial Narrow" w:cs="Arial"/>
          <w:b/>
          <w:bCs/>
          <w:sz w:val="28"/>
          <w:szCs w:val="28"/>
          <w:lang w:eastAsia="sl-SI"/>
        </w:rPr>
        <w:t xml:space="preserve">Zadeva: </w:t>
      </w:r>
      <w:r w:rsidRPr="00CB3412">
        <w:rPr>
          <w:rFonts w:ascii="Arial Narrow" w:eastAsia="Times New Roman" w:hAnsi="Arial Narrow" w:cs="Arial"/>
          <w:b/>
          <w:bCs/>
          <w:sz w:val="28"/>
          <w:szCs w:val="28"/>
          <w:lang w:eastAsia="sl-SI"/>
        </w:rPr>
        <w:tab/>
      </w:r>
      <w:r w:rsidRPr="00CB3412">
        <w:rPr>
          <w:rFonts w:ascii="Arial Narrow" w:eastAsia="Times New Roman" w:hAnsi="Arial Narrow" w:cs="Arial"/>
          <w:sz w:val="28"/>
          <w:szCs w:val="28"/>
          <w:u w:val="single"/>
          <w:lang w:eastAsia="sl-SI"/>
        </w:rPr>
        <w:t>Sklep o začasnem financiranju Občine Ribnica v obdobju januar – marec 2015</w:t>
      </w:r>
    </w:p>
    <w:p w:rsidR="00CB3412" w:rsidRPr="00CB3412" w:rsidRDefault="00CB3412" w:rsidP="00CB3412">
      <w:pPr>
        <w:spacing w:after="0" w:line="240" w:lineRule="auto"/>
        <w:rPr>
          <w:rFonts w:ascii="Arial Narrow" w:eastAsia="Times New Roman" w:hAnsi="Arial Narrow" w:cs="Arial"/>
          <w:sz w:val="24"/>
          <w:szCs w:val="24"/>
          <w:lang w:eastAsia="sl-SI"/>
        </w:rPr>
      </w:pPr>
    </w:p>
    <w:tbl>
      <w:tblPr>
        <w:tblW w:w="9714" w:type="dxa"/>
        <w:tblLook w:val="01E0" w:firstRow="1" w:lastRow="1" w:firstColumn="1" w:lastColumn="1" w:noHBand="0" w:noVBand="0"/>
      </w:tblPr>
      <w:tblGrid>
        <w:gridCol w:w="1801"/>
        <w:gridCol w:w="7913"/>
      </w:tblGrid>
      <w:tr w:rsidR="00CB3412" w:rsidRPr="00CB3412" w:rsidTr="000B697B">
        <w:trPr>
          <w:trHeight w:val="296"/>
        </w:trPr>
        <w:tc>
          <w:tcPr>
            <w:tcW w:w="1801" w:type="dxa"/>
          </w:tcPr>
          <w:p w:rsidR="00CB3412" w:rsidRPr="00CB3412" w:rsidRDefault="00CB3412" w:rsidP="00CB3412">
            <w:pPr>
              <w:spacing w:after="0" w:line="240" w:lineRule="auto"/>
              <w:rPr>
                <w:rFonts w:ascii="Arial Narrow" w:eastAsia="Times New Roman" w:hAnsi="Arial Narrow" w:cs="Arial"/>
                <w:sz w:val="24"/>
                <w:szCs w:val="24"/>
                <w:lang w:eastAsia="sl-SI"/>
              </w:rPr>
            </w:pPr>
            <w:r w:rsidRPr="00CB3412">
              <w:rPr>
                <w:rFonts w:ascii="Arial Narrow" w:eastAsia="Times New Roman" w:hAnsi="Arial Narrow" w:cs="Arial"/>
                <w:sz w:val="24"/>
                <w:szCs w:val="24"/>
                <w:lang w:eastAsia="sl-SI"/>
              </w:rPr>
              <w:t xml:space="preserve">Predlagatelj: </w:t>
            </w:r>
            <w:r w:rsidRPr="00CB3412">
              <w:rPr>
                <w:rFonts w:ascii="Arial Narrow" w:eastAsia="Times New Roman" w:hAnsi="Arial Narrow" w:cs="Arial"/>
                <w:sz w:val="24"/>
                <w:szCs w:val="24"/>
                <w:lang w:eastAsia="sl-SI"/>
              </w:rPr>
              <w:tab/>
            </w:r>
          </w:p>
        </w:tc>
        <w:tc>
          <w:tcPr>
            <w:tcW w:w="7913" w:type="dxa"/>
          </w:tcPr>
          <w:p w:rsidR="00CB3412" w:rsidRPr="00CB3412" w:rsidRDefault="00CB3412" w:rsidP="00CB3412">
            <w:pPr>
              <w:spacing w:after="0" w:line="240" w:lineRule="auto"/>
              <w:rPr>
                <w:rFonts w:ascii="Arial Narrow" w:eastAsia="Times New Roman" w:hAnsi="Arial Narrow" w:cs="Arial"/>
                <w:sz w:val="24"/>
                <w:szCs w:val="24"/>
                <w:lang w:eastAsia="sl-SI"/>
              </w:rPr>
            </w:pPr>
            <w:smartTag w:uri="urn:schemas-microsoft-com:office:smarttags" w:element="PersonName">
              <w:smartTagPr>
                <w:attr w:name="ProductID" w:val="Jože Levstek"/>
              </w:smartTagPr>
              <w:r w:rsidRPr="00CB3412">
                <w:rPr>
                  <w:rFonts w:ascii="Arial Narrow" w:eastAsia="Times New Roman" w:hAnsi="Arial Narrow" w:cs="Arial"/>
                  <w:sz w:val="24"/>
                  <w:szCs w:val="24"/>
                  <w:lang w:eastAsia="sl-SI"/>
                </w:rPr>
                <w:t>Jože Levstek</w:t>
              </w:r>
            </w:smartTag>
            <w:r w:rsidRPr="00CB3412">
              <w:rPr>
                <w:rFonts w:ascii="Arial Narrow" w:eastAsia="Times New Roman" w:hAnsi="Arial Narrow" w:cs="Arial"/>
                <w:sz w:val="24"/>
                <w:szCs w:val="24"/>
                <w:lang w:eastAsia="sl-SI"/>
              </w:rPr>
              <w:t>, župan Občine Ribnica</w:t>
            </w:r>
          </w:p>
          <w:p w:rsidR="00CB3412" w:rsidRPr="00CB3412" w:rsidRDefault="00CB3412" w:rsidP="00CB3412">
            <w:pPr>
              <w:spacing w:after="0" w:line="240" w:lineRule="auto"/>
              <w:rPr>
                <w:rFonts w:ascii="Arial Narrow" w:eastAsia="Times New Roman" w:hAnsi="Arial Narrow" w:cs="Arial"/>
                <w:sz w:val="24"/>
                <w:szCs w:val="24"/>
                <w:lang w:eastAsia="sl-SI"/>
              </w:rPr>
            </w:pPr>
          </w:p>
          <w:p w:rsidR="00CB3412" w:rsidRPr="00CB3412" w:rsidRDefault="00CB3412" w:rsidP="00CB3412">
            <w:pPr>
              <w:spacing w:after="0" w:line="240" w:lineRule="auto"/>
              <w:rPr>
                <w:rFonts w:ascii="Arial Narrow" w:eastAsia="Times New Roman" w:hAnsi="Arial Narrow" w:cs="Arial"/>
                <w:sz w:val="6"/>
                <w:szCs w:val="6"/>
                <w:lang w:eastAsia="sl-SI"/>
              </w:rPr>
            </w:pPr>
          </w:p>
        </w:tc>
      </w:tr>
      <w:tr w:rsidR="00CB3412" w:rsidRPr="00CB3412" w:rsidTr="000B697B">
        <w:trPr>
          <w:trHeight w:val="405"/>
        </w:trPr>
        <w:tc>
          <w:tcPr>
            <w:tcW w:w="1801" w:type="dxa"/>
          </w:tcPr>
          <w:p w:rsidR="00CB3412" w:rsidRPr="00CB3412" w:rsidRDefault="00CB3412" w:rsidP="00CB3412">
            <w:pPr>
              <w:spacing w:after="0" w:line="240" w:lineRule="auto"/>
              <w:rPr>
                <w:rFonts w:ascii="Arial Narrow" w:eastAsia="Times New Roman" w:hAnsi="Arial Narrow" w:cs="Arial"/>
                <w:sz w:val="24"/>
                <w:szCs w:val="24"/>
                <w:lang w:eastAsia="sl-SI"/>
              </w:rPr>
            </w:pPr>
            <w:r w:rsidRPr="00CB3412">
              <w:rPr>
                <w:rFonts w:ascii="Arial Narrow" w:eastAsia="Times New Roman" w:hAnsi="Arial Narrow" w:cs="Arial"/>
                <w:sz w:val="24"/>
                <w:szCs w:val="24"/>
                <w:lang w:eastAsia="sl-SI"/>
              </w:rPr>
              <w:t>Poročeval</w:t>
            </w:r>
            <w:r>
              <w:rPr>
                <w:rFonts w:ascii="Arial Narrow" w:eastAsia="Times New Roman" w:hAnsi="Arial Narrow" w:cs="Arial"/>
                <w:sz w:val="24"/>
                <w:szCs w:val="24"/>
                <w:lang w:eastAsia="sl-SI"/>
              </w:rPr>
              <w:t>ec</w:t>
            </w:r>
            <w:r w:rsidRPr="00CB3412">
              <w:rPr>
                <w:rFonts w:ascii="Arial Narrow" w:eastAsia="Times New Roman" w:hAnsi="Arial Narrow" w:cs="Arial"/>
                <w:sz w:val="24"/>
                <w:szCs w:val="24"/>
                <w:lang w:eastAsia="sl-SI"/>
              </w:rPr>
              <w:t>:</w:t>
            </w:r>
          </w:p>
        </w:tc>
        <w:tc>
          <w:tcPr>
            <w:tcW w:w="7913" w:type="dxa"/>
          </w:tcPr>
          <w:p w:rsidR="00CB3412" w:rsidRPr="00CB3412" w:rsidRDefault="00CB3412" w:rsidP="00CB3412">
            <w:pPr>
              <w:spacing w:after="0" w:line="240" w:lineRule="auto"/>
              <w:rPr>
                <w:rFonts w:ascii="Arial Narrow" w:eastAsia="Times New Roman" w:hAnsi="Arial Narrow" w:cs="Arial"/>
                <w:sz w:val="24"/>
                <w:szCs w:val="24"/>
                <w:lang w:eastAsia="sl-SI"/>
              </w:rPr>
            </w:pPr>
            <w:r w:rsidRPr="00CB3412">
              <w:rPr>
                <w:rFonts w:ascii="Arial Narrow" w:eastAsia="Times New Roman" w:hAnsi="Arial Narrow" w:cs="Arial"/>
                <w:sz w:val="24"/>
                <w:szCs w:val="24"/>
                <w:lang w:eastAsia="sl-SI"/>
              </w:rPr>
              <w:t>Darko Lavrič, oddelek za finance</w:t>
            </w:r>
          </w:p>
          <w:p w:rsidR="00CB3412" w:rsidRPr="00CB3412" w:rsidRDefault="00CB3412" w:rsidP="00CB3412">
            <w:pPr>
              <w:spacing w:after="0" w:line="240" w:lineRule="auto"/>
              <w:rPr>
                <w:rFonts w:ascii="Arial Narrow" w:eastAsia="Times New Roman" w:hAnsi="Arial Narrow" w:cs="Arial"/>
                <w:sz w:val="24"/>
                <w:szCs w:val="24"/>
                <w:lang w:eastAsia="sl-SI"/>
              </w:rPr>
            </w:pPr>
          </w:p>
          <w:p w:rsidR="00CB3412" w:rsidRPr="00CB3412" w:rsidRDefault="00CB3412" w:rsidP="00CB3412">
            <w:pPr>
              <w:spacing w:after="0" w:line="240" w:lineRule="auto"/>
              <w:rPr>
                <w:rFonts w:ascii="Arial Narrow" w:eastAsia="Times New Roman" w:hAnsi="Arial Narrow" w:cs="Arial"/>
                <w:sz w:val="24"/>
                <w:szCs w:val="24"/>
                <w:lang w:eastAsia="sl-SI"/>
              </w:rPr>
            </w:pPr>
          </w:p>
        </w:tc>
      </w:tr>
      <w:tr w:rsidR="00CB3412" w:rsidRPr="00CB3412" w:rsidTr="000B697B">
        <w:trPr>
          <w:trHeight w:val="537"/>
        </w:trPr>
        <w:tc>
          <w:tcPr>
            <w:tcW w:w="1801" w:type="dxa"/>
          </w:tcPr>
          <w:p w:rsidR="00CB3412" w:rsidRPr="00CB3412" w:rsidRDefault="00CB3412" w:rsidP="00CB3412">
            <w:pPr>
              <w:spacing w:after="0" w:line="240" w:lineRule="auto"/>
              <w:rPr>
                <w:rFonts w:ascii="Arial Narrow" w:eastAsia="Times New Roman" w:hAnsi="Arial Narrow" w:cs="Arial"/>
                <w:sz w:val="24"/>
                <w:szCs w:val="24"/>
                <w:lang w:eastAsia="sl-SI"/>
              </w:rPr>
            </w:pPr>
            <w:r w:rsidRPr="00CB3412">
              <w:rPr>
                <w:rFonts w:ascii="Arial Narrow" w:eastAsia="Times New Roman" w:hAnsi="Arial Narrow" w:cs="Arial"/>
                <w:sz w:val="24"/>
                <w:szCs w:val="24"/>
                <w:lang w:eastAsia="sl-SI"/>
              </w:rPr>
              <w:t xml:space="preserve">Pravne podlage: </w:t>
            </w:r>
          </w:p>
          <w:p w:rsidR="00CB3412" w:rsidRPr="00CB3412" w:rsidRDefault="00CB3412" w:rsidP="00CB3412">
            <w:pPr>
              <w:spacing w:after="0" w:line="240" w:lineRule="auto"/>
              <w:rPr>
                <w:rFonts w:ascii="Arial Narrow" w:eastAsia="Times New Roman" w:hAnsi="Arial Narrow" w:cs="Arial"/>
                <w:sz w:val="24"/>
                <w:szCs w:val="24"/>
                <w:lang w:eastAsia="sl-SI"/>
              </w:rPr>
            </w:pPr>
          </w:p>
        </w:tc>
        <w:tc>
          <w:tcPr>
            <w:tcW w:w="7913" w:type="dxa"/>
          </w:tcPr>
          <w:p w:rsidR="00CB3412" w:rsidRPr="00CB3412" w:rsidRDefault="00CB3412" w:rsidP="00CB3412">
            <w:pPr>
              <w:numPr>
                <w:ilvl w:val="0"/>
                <w:numId w:val="2"/>
              </w:numPr>
              <w:spacing w:after="0" w:line="240" w:lineRule="auto"/>
              <w:contextualSpacing/>
              <w:rPr>
                <w:rFonts w:ascii="Arial Narrow" w:eastAsia="Times New Roman" w:hAnsi="Arial Narrow" w:cs="Arial"/>
                <w:sz w:val="24"/>
                <w:szCs w:val="24"/>
                <w:lang w:eastAsia="sl-SI"/>
              </w:rPr>
            </w:pPr>
            <w:r w:rsidRPr="000B697B">
              <w:rPr>
                <w:rFonts w:ascii="Arial Narrow" w:eastAsia="Times New Roman" w:hAnsi="Arial Narrow" w:cs="Arial"/>
                <w:sz w:val="24"/>
                <w:szCs w:val="24"/>
                <w:lang w:eastAsia="sl-SI"/>
              </w:rPr>
              <w:t xml:space="preserve">Zakon o javnih financah </w:t>
            </w:r>
            <w:r w:rsidRPr="000B697B">
              <w:rPr>
                <w:rFonts w:ascii="Arial Narrow" w:eastAsia="Times New Roman" w:hAnsi="Arial Narrow" w:cs="Arial"/>
                <w:sz w:val="24"/>
                <w:szCs w:val="24"/>
                <w:lang w:eastAsia="sl-SI"/>
              </w:rPr>
              <w:t xml:space="preserve">(Uradni list RS, št. 11/11 - uradno prečiščeno besedilo, 14/13 - </w:t>
            </w:r>
            <w:proofErr w:type="spellStart"/>
            <w:r w:rsidRPr="000B697B">
              <w:rPr>
                <w:rFonts w:ascii="Arial Narrow" w:eastAsia="Times New Roman" w:hAnsi="Arial Narrow" w:cs="Arial"/>
                <w:sz w:val="24"/>
                <w:szCs w:val="24"/>
                <w:lang w:eastAsia="sl-SI"/>
              </w:rPr>
              <w:t>popr</w:t>
            </w:r>
            <w:proofErr w:type="spellEnd"/>
            <w:r w:rsidRPr="000B697B">
              <w:rPr>
                <w:rFonts w:ascii="Arial Narrow" w:eastAsia="Times New Roman" w:hAnsi="Arial Narrow" w:cs="Arial"/>
                <w:sz w:val="24"/>
                <w:szCs w:val="24"/>
                <w:lang w:eastAsia="sl-SI"/>
              </w:rPr>
              <w:t>. in 101/13</w:t>
            </w:r>
            <w:r w:rsidRPr="000B697B">
              <w:rPr>
                <w:rFonts w:ascii="Arial Narrow" w:eastAsia="Times New Roman" w:hAnsi="Arial Narrow" w:cs="Arial"/>
                <w:sz w:val="24"/>
                <w:szCs w:val="24"/>
                <w:lang w:eastAsia="sl-SI"/>
              </w:rPr>
              <w:t>, nadaljevanju ZJF</w:t>
            </w:r>
            <w:r w:rsidR="000B697B">
              <w:rPr>
                <w:rFonts w:ascii="Arial Narrow" w:eastAsia="Times New Roman" w:hAnsi="Arial Narrow" w:cs="Arial"/>
                <w:sz w:val="24"/>
                <w:szCs w:val="24"/>
                <w:lang w:eastAsia="sl-SI"/>
              </w:rPr>
              <w:t>)</w:t>
            </w:r>
          </w:p>
          <w:p w:rsidR="00CB3412" w:rsidRPr="00CB3412" w:rsidRDefault="00CB3412" w:rsidP="00CB3412">
            <w:pPr>
              <w:numPr>
                <w:ilvl w:val="0"/>
                <w:numId w:val="2"/>
              </w:numPr>
              <w:spacing w:after="0" w:line="240" w:lineRule="auto"/>
              <w:contextualSpacing/>
              <w:rPr>
                <w:rFonts w:ascii="Arial Narrow" w:eastAsia="Times New Roman" w:hAnsi="Arial Narrow" w:cs="Arial"/>
                <w:sz w:val="24"/>
                <w:szCs w:val="24"/>
                <w:lang w:eastAsia="sl-SI"/>
              </w:rPr>
            </w:pPr>
            <w:r w:rsidRPr="000B697B">
              <w:rPr>
                <w:rFonts w:ascii="Arial Narrow" w:eastAsia="Times New Roman" w:hAnsi="Arial Narrow" w:cs="Arial"/>
                <w:sz w:val="24"/>
                <w:szCs w:val="24"/>
                <w:lang w:eastAsia="sl-SI"/>
              </w:rPr>
              <w:t>106. člena Statuta Občine Ribnica (Uradni list RS, št. 17/2012)</w:t>
            </w:r>
          </w:p>
          <w:p w:rsidR="00CB3412" w:rsidRPr="00CB3412" w:rsidRDefault="00CB3412" w:rsidP="00CB3412">
            <w:pPr>
              <w:spacing w:after="0" w:line="240" w:lineRule="auto"/>
              <w:ind w:left="360"/>
              <w:contextualSpacing/>
              <w:rPr>
                <w:rFonts w:ascii="Arial Narrow" w:eastAsia="Times New Roman" w:hAnsi="Arial Narrow" w:cs="Arial"/>
                <w:sz w:val="24"/>
                <w:szCs w:val="24"/>
                <w:lang w:eastAsia="sl-SI"/>
              </w:rPr>
            </w:pPr>
          </w:p>
        </w:tc>
      </w:tr>
      <w:tr w:rsidR="00CB3412" w:rsidRPr="00CB3412" w:rsidTr="000B697B">
        <w:trPr>
          <w:trHeight w:val="925"/>
        </w:trPr>
        <w:tc>
          <w:tcPr>
            <w:tcW w:w="1801" w:type="dxa"/>
          </w:tcPr>
          <w:p w:rsidR="00CB3412" w:rsidRPr="00CB3412" w:rsidRDefault="00CB3412" w:rsidP="00CB3412">
            <w:pPr>
              <w:spacing w:after="0" w:line="240" w:lineRule="auto"/>
              <w:rPr>
                <w:rFonts w:ascii="Arial Narrow" w:eastAsia="Times New Roman" w:hAnsi="Arial Narrow" w:cs="Arial"/>
                <w:sz w:val="24"/>
                <w:szCs w:val="24"/>
                <w:lang w:eastAsia="sl-SI"/>
              </w:rPr>
            </w:pPr>
            <w:r w:rsidRPr="00CB3412">
              <w:rPr>
                <w:rFonts w:ascii="Arial Narrow" w:eastAsia="Times New Roman" w:hAnsi="Arial Narrow" w:cs="Arial"/>
                <w:sz w:val="24"/>
                <w:szCs w:val="24"/>
                <w:lang w:eastAsia="sl-SI"/>
              </w:rPr>
              <w:t>Besedilo členov:</w:t>
            </w:r>
          </w:p>
        </w:tc>
        <w:tc>
          <w:tcPr>
            <w:tcW w:w="7913" w:type="dxa"/>
          </w:tcPr>
          <w:p w:rsidR="00CB3412" w:rsidRPr="00CB3412" w:rsidRDefault="00CB3412" w:rsidP="00CB3412">
            <w:pPr>
              <w:spacing w:after="0" w:line="240" w:lineRule="auto"/>
              <w:jc w:val="both"/>
              <w:rPr>
                <w:rFonts w:ascii="Arial Narrow" w:eastAsia="Times New Roman" w:hAnsi="Arial Narrow" w:cs="Arial"/>
                <w:sz w:val="24"/>
                <w:szCs w:val="24"/>
                <w:lang w:eastAsia="sl-SI"/>
              </w:rPr>
            </w:pPr>
            <w:r w:rsidRPr="00CB3412">
              <w:rPr>
                <w:rFonts w:ascii="Arial Narrow" w:eastAsia="Times New Roman" w:hAnsi="Arial Narrow" w:cs="Arial"/>
                <w:sz w:val="24"/>
                <w:szCs w:val="24"/>
                <w:lang w:eastAsia="sl-SI"/>
              </w:rPr>
              <w:t xml:space="preserve">Kot priloga je priložen </w:t>
            </w:r>
            <w:r w:rsidR="000B697B">
              <w:rPr>
                <w:rFonts w:ascii="Arial Narrow" w:eastAsia="Times New Roman" w:hAnsi="Arial Narrow" w:cs="Arial"/>
                <w:sz w:val="24"/>
                <w:szCs w:val="24"/>
                <w:lang w:eastAsia="sl-SI"/>
              </w:rPr>
              <w:t>Sklep o začasnem financiranju občine Ribnica v obdobju 01.01.-31.03.2015</w:t>
            </w:r>
          </w:p>
        </w:tc>
      </w:tr>
    </w:tbl>
    <w:p w:rsidR="00CB3412" w:rsidRPr="00CB3412" w:rsidRDefault="00CB3412" w:rsidP="000B697B">
      <w:pPr>
        <w:spacing w:after="0" w:line="240" w:lineRule="auto"/>
        <w:rPr>
          <w:rFonts w:ascii="Arial Narrow" w:eastAsia="Times New Roman" w:hAnsi="Arial Narrow" w:cs="Arial"/>
          <w:sz w:val="24"/>
          <w:szCs w:val="24"/>
          <w:lang w:eastAsia="sl-SI"/>
        </w:rPr>
      </w:pPr>
    </w:p>
    <w:p w:rsidR="00CB3412" w:rsidRPr="00CB3412" w:rsidRDefault="00CB3412" w:rsidP="000B697B">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sz w:val="24"/>
          <w:szCs w:val="24"/>
          <w:lang w:eastAsia="sl-SI"/>
        </w:rPr>
      </w:pPr>
      <w:r w:rsidRPr="00CB3412">
        <w:rPr>
          <w:rFonts w:ascii="Arial Narrow" w:eastAsia="Times New Roman" w:hAnsi="Arial Narrow" w:cs="Arial"/>
          <w:sz w:val="24"/>
          <w:szCs w:val="24"/>
          <w:lang w:eastAsia="sl-SI"/>
        </w:rPr>
        <w:t>Po končani obravnavi župan predlaga, da Občinski svet sprejme</w:t>
      </w:r>
    </w:p>
    <w:p w:rsidR="00CB3412" w:rsidRPr="00CB3412" w:rsidRDefault="00CB3412" w:rsidP="000B697B">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sz w:val="24"/>
          <w:szCs w:val="24"/>
          <w:lang w:eastAsia="sl-SI"/>
        </w:rPr>
      </w:pPr>
    </w:p>
    <w:p w:rsidR="00CB3412" w:rsidRDefault="00CB3412" w:rsidP="000B697B">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szCs w:val="20"/>
          <w:lang w:eastAsia="sl-SI"/>
        </w:rPr>
      </w:pPr>
      <w:r w:rsidRPr="00CB3412">
        <w:rPr>
          <w:rFonts w:ascii="Arial Narrow" w:eastAsia="Times New Roman" w:hAnsi="Arial Narrow" w:cs="Arial"/>
          <w:b/>
          <w:szCs w:val="20"/>
          <w:lang w:eastAsia="sl-SI"/>
        </w:rPr>
        <w:t>SKLEP</w:t>
      </w:r>
    </w:p>
    <w:p w:rsidR="000B697B" w:rsidRPr="00CB3412" w:rsidRDefault="000B697B" w:rsidP="000B697B">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szCs w:val="20"/>
          <w:lang w:eastAsia="sl-SI"/>
        </w:rPr>
      </w:pPr>
    </w:p>
    <w:p w:rsidR="00CB3412" w:rsidRPr="00CB3412" w:rsidRDefault="00CB3412" w:rsidP="000B697B">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sz w:val="24"/>
          <w:szCs w:val="24"/>
          <w:lang w:eastAsia="sl-SI"/>
        </w:rPr>
      </w:pPr>
      <w:r w:rsidRPr="00CB3412">
        <w:rPr>
          <w:rFonts w:ascii="Arial Narrow" w:eastAsia="Times New Roman" w:hAnsi="Arial Narrow" w:cs="Arial"/>
          <w:b/>
          <w:sz w:val="24"/>
          <w:szCs w:val="24"/>
          <w:lang w:eastAsia="sl-SI"/>
        </w:rPr>
        <w:t xml:space="preserve">Občinski svet </w:t>
      </w:r>
      <w:r w:rsidR="000B697B">
        <w:rPr>
          <w:rFonts w:ascii="Arial Narrow" w:eastAsia="Times New Roman" w:hAnsi="Arial Narrow" w:cs="Arial"/>
          <w:b/>
          <w:sz w:val="24"/>
          <w:szCs w:val="24"/>
          <w:lang w:eastAsia="sl-SI"/>
        </w:rPr>
        <w:t>se je seznanil s sprejetim sklepom župana o začasnem financiranju občine Ribnica v obdobju 01.01.-31.03.2015</w:t>
      </w:r>
      <w:r w:rsidRPr="00CB3412">
        <w:rPr>
          <w:rFonts w:ascii="Arial Narrow" w:eastAsia="Times New Roman" w:hAnsi="Arial Narrow" w:cs="Arial"/>
          <w:b/>
          <w:sz w:val="24"/>
          <w:szCs w:val="24"/>
          <w:lang w:eastAsia="sl-SI"/>
        </w:rPr>
        <w:t>.</w:t>
      </w:r>
    </w:p>
    <w:p w:rsidR="00CB3412" w:rsidRPr="00CB3412" w:rsidRDefault="00CB3412" w:rsidP="000B697B">
      <w:pPr>
        <w:spacing w:after="0" w:line="240" w:lineRule="auto"/>
        <w:jc w:val="center"/>
        <w:rPr>
          <w:rFonts w:ascii="Arial Narrow" w:eastAsia="Times New Roman" w:hAnsi="Arial Narrow" w:cs="Arial"/>
          <w:b/>
          <w:szCs w:val="20"/>
          <w:lang w:eastAsia="sl-SI"/>
        </w:rPr>
      </w:pPr>
    </w:p>
    <w:p w:rsidR="000B697B" w:rsidRDefault="000B697B" w:rsidP="00CB3412">
      <w:pPr>
        <w:spacing w:after="0" w:line="240" w:lineRule="auto"/>
        <w:jc w:val="both"/>
        <w:rPr>
          <w:rFonts w:ascii="Arial Narrow" w:eastAsia="Times New Roman" w:hAnsi="Arial Narrow" w:cs="Arial"/>
          <w:b/>
          <w:szCs w:val="20"/>
          <w:lang w:eastAsia="sl-SI"/>
        </w:rPr>
      </w:pPr>
    </w:p>
    <w:p w:rsidR="00CB3412" w:rsidRPr="00CB3412" w:rsidRDefault="00CB3412" w:rsidP="00CB3412">
      <w:pPr>
        <w:spacing w:after="0" w:line="240" w:lineRule="auto"/>
        <w:jc w:val="both"/>
        <w:rPr>
          <w:rFonts w:ascii="Arial" w:eastAsia="Times New Roman" w:hAnsi="Arial" w:cs="Arial"/>
          <w:szCs w:val="20"/>
          <w:lang w:eastAsia="sl-SI"/>
        </w:rPr>
      </w:pPr>
      <w:r w:rsidRPr="00CB3412">
        <w:rPr>
          <w:rFonts w:ascii="Arial" w:eastAsia="Times New Roman" w:hAnsi="Arial" w:cs="Arial"/>
          <w:szCs w:val="20"/>
          <w:lang w:eastAsia="sl-SI"/>
        </w:rPr>
        <w:t>Obrazložitev sklepa:</w:t>
      </w:r>
    </w:p>
    <w:p w:rsidR="00CB3412" w:rsidRDefault="00CB3412" w:rsidP="00CB3412">
      <w:pPr>
        <w:spacing w:after="0" w:line="240" w:lineRule="auto"/>
        <w:jc w:val="center"/>
        <w:rPr>
          <w:rFonts w:ascii="Arial" w:eastAsia="Times New Roman" w:hAnsi="Arial" w:cs="Arial"/>
          <w:szCs w:val="20"/>
          <w:lang w:eastAsia="sl-SI"/>
        </w:rPr>
      </w:pPr>
      <w:r w:rsidRPr="00CB3412">
        <w:rPr>
          <w:rFonts w:ascii="Arial" w:eastAsia="Times New Roman" w:hAnsi="Arial" w:cs="Arial"/>
          <w:szCs w:val="20"/>
          <w:lang w:eastAsia="sl-SI"/>
        </w:rPr>
        <w:t>I.</w:t>
      </w:r>
    </w:p>
    <w:p w:rsidR="00CB3412" w:rsidRPr="00CB3412" w:rsidRDefault="00CB3412" w:rsidP="00CB3412">
      <w:pPr>
        <w:spacing w:after="0" w:line="240" w:lineRule="auto"/>
        <w:jc w:val="both"/>
        <w:rPr>
          <w:rFonts w:ascii="Arial" w:eastAsia="Times New Roman" w:hAnsi="Arial" w:cs="Arial"/>
          <w:szCs w:val="20"/>
          <w:lang w:eastAsia="sl-SI"/>
        </w:rPr>
      </w:pPr>
      <w:r w:rsidRPr="00CB3412">
        <w:rPr>
          <w:rFonts w:ascii="Arial" w:eastAsia="Times New Roman" w:hAnsi="Arial" w:cs="Arial"/>
          <w:szCs w:val="20"/>
          <w:lang w:eastAsia="sl-SI"/>
        </w:rPr>
        <w:t xml:space="preserve">V 32. členu </w:t>
      </w:r>
      <w:r w:rsidRPr="00CB3412">
        <w:rPr>
          <w:rFonts w:ascii="Arial" w:hAnsi="Arial" w:cs="Arial"/>
        </w:rPr>
        <w:t>ZJF</w:t>
      </w:r>
      <w:r w:rsidRPr="00CB3412">
        <w:rPr>
          <w:rFonts w:ascii="Arial" w:hAnsi="Arial" w:cs="Arial"/>
        </w:rPr>
        <w:t xml:space="preserve"> </w:t>
      </w:r>
      <w:r w:rsidRPr="00CB3412">
        <w:rPr>
          <w:rFonts w:ascii="Arial" w:eastAsia="Times New Roman" w:hAnsi="Arial" w:cs="Arial"/>
          <w:szCs w:val="20"/>
          <w:lang w:eastAsia="sl-SI"/>
        </w:rPr>
        <w:t>je določeno:</w:t>
      </w:r>
    </w:p>
    <w:p w:rsidR="00CB3412" w:rsidRDefault="00CB3412" w:rsidP="00CB3412">
      <w:pPr>
        <w:spacing w:after="0" w:line="240" w:lineRule="auto"/>
        <w:rPr>
          <w:rFonts w:ascii="Arial" w:eastAsia="Times New Roman" w:hAnsi="Arial" w:cs="Arial"/>
          <w:b/>
          <w:szCs w:val="20"/>
          <w:lang w:eastAsia="sl-SI"/>
        </w:rPr>
      </w:pPr>
    </w:p>
    <w:p w:rsidR="00CB3412" w:rsidRPr="00A03BF5" w:rsidRDefault="00CB3412" w:rsidP="00CB3412">
      <w:pPr>
        <w:spacing w:after="210" w:line="240" w:lineRule="auto"/>
        <w:jc w:val="center"/>
        <w:rPr>
          <w:rFonts w:ascii="Arial" w:eastAsia="Times New Roman" w:hAnsi="Arial" w:cs="Arial"/>
          <w:b/>
          <w:szCs w:val="20"/>
          <w:lang w:eastAsia="sl-SI"/>
        </w:rPr>
      </w:pPr>
      <w:r w:rsidRPr="00A03BF5">
        <w:rPr>
          <w:rFonts w:ascii="Arial" w:eastAsia="Times New Roman" w:hAnsi="Arial" w:cs="Arial"/>
          <w:b/>
          <w:szCs w:val="20"/>
          <w:lang w:eastAsia="sl-SI"/>
        </w:rPr>
        <w:t>32. člen</w:t>
      </w:r>
    </w:p>
    <w:p w:rsidR="00CB3412" w:rsidRPr="00A03BF5" w:rsidRDefault="00CB3412" w:rsidP="00CB3412">
      <w:pPr>
        <w:spacing w:after="210" w:line="240" w:lineRule="auto"/>
        <w:jc w:val="center"/>
        <w:rPr>
          <w:rFonts w:ascii="Arial" w:eastAsia="Times New Roman" w:hAnsi="Arial" w:cs="Arial"/>
          <w:b/>
          <w:szCs w:val="20"/>
          <w:lang w:eastAsia="sl-SI"/>
        </w:rPr>
      </w:pPr>
      <w:r w:rsidRPr="00A03BF5">
        <w:rPr>
          <w:rFonts w:ascii="Arial" w:eastAsia="Times New Roman" w:hAnsi="Arial" w:cs="Arial"/>
          <w:b/>
          <w:szCs w:val="20"/>
          <w:lang w:eastAsia="sl-SI"/>
        </w:rPr>
        <w:t>(Sredstva v obdobju začasnega financiranja države oziroma občine)</w:t>
      </w:r>
    </w:p>
    <w:p w:rsidR="00CB3412" w:rsidRPr="00A03BF5" w:rsidRDefault="00CB3412" w:rsidP="000B697B">
      <w:pPr>
        <w:spacing w:after="210" w:line="240" w:lineRule="auto"/>
        <w:jc w:val="both"/>
        <w:rPr>
          <w:rFonts w:ascii="Arial" w:eastAsia="Times New Roman" w:hAnsi="Arial" w:cs="Arial"/>
          <w:b/>
          <w:szCs w:val="20"/>
          <w:lang w:eastAsia="sl-SI"/>
        </w:rPr>
      </w:pPr>
      <w:r w:rsidRPr="00A03BF5">
        <w:rPr>
          <w:rFonts w:ascii="Arial" w:eastAsia="Times New Roman" w:hAnsi="Arial" w:cs="Arial"/>
          <w:b/>
          <w:szCs w:val="20"/>
          <w:lang w:eastAsia="sl-SI"/>
        </w:rPr>
        <w:t xml:space="preserve">(1) Če proračun ni sprejet pred začetkom leta, na katero se nanaša, se financiranje funkcij države in občine ter njihovih nalog in drugih, s predpisi določenih namenov (v nadaljnjem besedilu: začasno financiranje), začasno nadaljuje na podlagi proračuna za preteklo leto in za iste programe kot v preteklem letu. V obdobju začasnega financiranja neposredni uporabniki ne smejo povečevati števila zaposlenih glede na stanje na dan 31. december preteklega leta. </w:t>
      </w:r>
    </w:p>
    <w:p w:rsidR="00CB3412" w:rsidRPr="00A03BF5" w:rsidRDefault="00CB3412" w:rsidP="000B697B">
      <w:pPr>
        <w:spacing w:after="210" w:line="240" w:lineRule="auto"/>
        <w:jc w:val="both"/>
        <w:rPr>
          <w:rFonts w:ascii="Arial" w:eastAsia="Times New Roman" w:hAnsi="Arial" w:cs="Arial"/>
          <w:b/>
          <w:szCs w:val="20"/>
          <w:lang w:eastAsia="sl-SI"/>
        </w:rPr>
      </w:pPr>
      <w:bookmarkStart w:id="0" w:name="_GoBack"/>
      <w:bookmarkEnd w:id="0"/>
      <w:r w:rsidRPr="00A03BF5">
        <w:rPr>
          <w:rFonts w:ascii="Arial" w:eastAsia="Times New Roman" w:hAnsi="Arial" w:cs="Arial"/>
          <w:b/>
          <w:szCs w:val="20"/>
          <w:lang w:eastAsia="sl-SI"/>
        </w:rPr>
        <w:lastRenderedPageBreak/>
        <w:t xml:space="preserve">(2) V obdobju začasnega financiranja se smejo uporabiti sredstva do višine, sorazmerne s porabljenimi sredstvi v enakem obdobju v proračunu za preteklo leto. </w:t>
      </w:r>
    </w:p>
    <w:p w:rsidR="00CB3412" w:rsidRPr="00A03BF5" w:rsidRDefault="00CB3412" w:rsidP="000B697B">
      <w:pPr>
        <w:spacing w:after="210" w:line="240" w:lineRule="auto"/>
        <w:jc w:val="both"/>
        <w:rPr>
          <w:rFonts w:ascii="Arial" w:eastAsia="Times New Roman" w:hAnsi="Arial" w:cs="Arial"/>
          <w:b/>
          <w:szCs w:val="20"/>
          <w:lang w:eastAsia="sl-SI"/>
        </w:rPr>
      </w:pPr>
      <w:r w:rsidRPr="00A03BF5">
        <w:rPr>
          <w:rFonts w:ascii="Arial" w:eastAsia="Times New Roman" w:hAnsi="Arial" w:cs="Arial"/>
          <w:b/>
          <w:szCs w:val="20"/>
          <w:lang w:eastAsia="sl-SI"/>
        </w:rPr>
        <w:t>(3) Po preteku začasnega financiranja se v tem obdobju plačane obveznosti vključijo v proračun tekočega leta.</w:t>
      </w:r>
    </w:p>
    <w:p w:rsidR="00CB3412" w:rsidRPr="00A03BF5" w:rsidRDefault="00CB3412" w:rsidP="00CB3412">
      <w:pPr>
        <w:spacing w:after="0" w:line="240" w:lineRule="auto"/>
        <w:jc w:val="both"/>
        <w:rPr>
          <w:rFonts w:ascii="Arial" w:eastAsia="Times New Roman" w:hAnsi="Arial" w:cs="Arial"/>
          <w:szCs w:val="20"/>
          <w:lang w:eastAsia="sl-SI"/>
        </w:rPr>
      </w:pPr>
      <w:r w:rsidRPr="00A03BF5">
        <w:rPr>
          <w:rFonts w:ascii="Arial" w:eastAsia="Times New Roman" w:hAnsi="Arial" w:cs="Arial"/>
          <w:szCs w:val="20"/>
          <w:lang w:eastAsia="sl-SI"/>
        </w:rPr>
        <w:t>Če proračun za tekoče leto ni sprejet, financiranje in s tem delovanje občine ne more biti povsem normalno iz dveh razlogov:</w:t>
      </w:r>
    </w:p>
    <w:p w:rsidR="00CB3412" w:rsidRPr="00A03BF5" w:rsidRDefault="00CB3412" w:rsidP="00CB3412">
      <w:pPr>
        <w:spacing w:after="0" w:line="240" w:lineRule="auto"/>
        <w:jc w:val="both"/>
        <w:rPr>
          <w:rFonts w:ascii="Arial" w:eastAsia="Times New Roman" w:hAnsi="Arial" w:cs="Arial"/>
          <w:szCs w:val="20"/>
          <w:lang w:eastAsia="sl-SI"/>
        </w:rPr>
      </w:pPr>
    </w:p>
    <w:p w:rsidR="00CB3412" w:rsidRPr="00A03BF5" w:rsidRDefault="00CB3412" w:rsidP="00CB3412">
      <w:pPr>
        <w:numPr>
          <w:ilvl w:val="0"/>
          <w:numId w:val="1"/>
        </w:numPr>
        <w:spacing w:after="0" w:line="240" w:lineRule="auto"/>
        <w:jc w:val="both"/>
        <w:rPr>
          <w:rFonts w:ascii="Arial" w:eastAsia="Times New Roman" w:hAnsi="Arial" w:cs="Arial"/>
          <w:szCs w:val="20"/>
          <w:lang w:eastAsia="sl-SI"/>
        </w:rPr>
      </w:pPr>
      <w:r w:rsidRPr="00A03BF5">
        <w:rPr>
          <w:rFonts w:ascii="Arial" w:eastAsia="Times New Roman" w:hAnsi="Arial" w:cs="Arial"/>
          <w:szCs w:val="20"/>
          <w:lang w:eastAsia="sl-SI"/>
        </w:rPr>
        <w:t>Prvi je načelni, saj predstavniško telo (Občinski svet) ni odobrilo porabe in s tem pooblastilo župana, da izvršuje proračun.</w:t>
      </w:r>
    </w:p>
    <w:p w:rsidR="00CB3412" w:rsidRPr="00A03BF5" w:rsidRDefault="00CB3412" w:rsidP="00CB3412">
      <w:pPr>
        <w:numPr>
          <w:ilvl w:val="0"/>
          <w:numId w:val="1"/>
        </w:numPr>
        <w:spacing w:after="0" w:line="240" w:lineRule="auto"/>
        <w:jc w:val="both"/>
        <w:rPr>
          <w:rFonts w:ascii="Arial" w:eastAsia="Times New Roman" w:hAnsi="Arial"/>
          <w:szCs w:val="20"/>
          <w:lang w:eastAsia="sl-SI"/>
        </w:rPr>
      </w:pPr>
      <w:r w:rsidRPr="00A03BF5">
        <w:rPr>
          <w:rFonts w:ascii="Arial" w:eastAsia="Times New Roman" w:hAnsi="Arial" w:cs="Arial"/>
          <w:szCs w:val="20"/>
          <w:lang w:eastAsia="sl-SI"/>
        </w:rPr>
        <w:t>Drugi razlog je v tem, da pravila izvrševanja t.i. začasnega financiranja vsebujejo določene omejitve, ki ne omogočajo trajnega financiranja neposrednih uporabnikov in s tem kontinuiranega izvajanja njihovih programov, posledično pa tudi programov posrednih uporabnikov proračuna.</w:t>
      </w:r>
    </w:p>
    <w:p w:rsidR="00CB3412" w:rsidRPr="00A03BF5" w:rsidRDefault="00CB3412" w:rsidP="00CB3412">
      <w:pPr>
        <w:spacing w:after="0" w:line="240" w:lineRule="auto"/>
        <w:jc w:val="both"/>
        <w:rPr>
          <w:rFonts w:ascii="Arial" w:eastAsia="Times New Roman" w:hAnsi="Arial" w:cs="Arial"/>
          <w:szCs w:val="20"/>
          <w:lang w:eastAsia="sl-SI"/>
        </w:rPr>
      </w:pPr>
    </w:p>
    <w:p w:rsidR="00CB3412" w:rsidRPr="00A03BF5" w:rsidRDefault="00CB3412" w:rsidP="00CB3412">
      <w:pPr>
        <w:spacing w:after="0" w:line="240" w:lineRule="auto"/>
        <w:jc w:val="both"/>
        <w:rPr>
          <w:rFonts w:ascii="Arial" w:eastAsia="Times New Roman" w:hAnsi="Arial" w:cs="Arial"/>
          <w:szCs w:val="20"/>
          <w:lang w:eastAsia="sl-SI"/>
        </w:rPr>
      </w:pPr>
      <w:r w:rsidRPr="00A03BF5">
        <w:rPr>
          <w:rFonts w:ascii="Arial" w:eastAsia="Times New Roman" w:hAnsi="Arial" w:cs="Arial"/>
          <w:szCs w:val="20"/>
          <w:lang w:eastAsia="sl-SI"/>
        </w:rPr>
        <w:t xml:space="preserve">Začasno financiranje pomeni predvsem to, da občinski organi ne morejo začeti z izvajanjem novih nalog, ter da ni mogoče brezpogojno sklepati pogodb oziroma izvajati javnih razpisov za obdobje po začasnem financiranju. To onemogoča normalno odločanje pri sklepanju poslov oziroma poslovnih razmerij, zato si morajo vsi vključeni v postopke priprave in sprejema proračuna prizadevati, da se začasno financiranje čim prej odpravi. </w:t>
      </w:r>
    </w:p>
    <w:p w:rsidR="00CB3412" w:rsidRPr="00A03BF5" w:rsidRDefault="00CB3412" w:rsidP="00CB3412">
      <w:pPr>
        <w:spacing w:after="0" w:line="240" w:lineRule="auto"/>
        <w:jc w:val="both"/>
        <w:rPr>
          <w:rFonts w:ascii="Arial" w:eastAsia="Times New Roman" w:hAnsi="Arial" w:cs="Arial"/>
          <w:szCs w:val="20"/>
          <w:lang w:eastAsia="sl-SI"/>
        </w:rPr>
      </w:pPr>
    </w:p>
    <w:p w:rsidR="00CB3412" w:rsidRPr="00A03BF5" w:rsidRDefault="00CB3412" w:rsidP="00CB3412">
      <w:pPr>
        <w:spacing w:after="0" w:line="240" w:lineRule="auto"/>
        <w:jc w:val="both"/>
        <w:rPr>
          <w:rFonts w:ascii="Arial" w:eastAsia="Times New Roman" w:hAnsi="Arial" w:cs="Arial"/>
          <w:szCs w:val="20"/>
          <w:lang w:eastAsia="sl-SI"/>
        </w:rPr>
      </w:pPr>
      <w:r w:rsidRPr="00A03BF5">
        <w:rPr>
          <w:rFonts w:ascii="Arial" w:eastAsia="Times New Roman" w:hAnsi="Arial" w:cs="Arial"/>
          <w:szCs w:val="20"/>
          <w:lang w:eastAsia="sl-SI"/>
        </w:rPr>
        <w:t>Pri določitvi začasnega financiranja je omejen skupni obseg izdatkov občine. To pa ne pomeni, da mora ostati tudi njihova notranja razdelitev med posameznimi neposrednimi proračunskimi uporabniki in proračunskimi postavkami enaka kot v preteklem letu. Potrebe enega neposrednega uporabnika v obdobju začasnega financiranja so namreč lahko iz utemeljenih razlogov večje, kot so potrebe drugega. Plačilo zapadlih prevzetih obveznosti mora imeti prednost pred sklepanjem in posledično plačilom novih pogodb, poleg tega ima plačilo izdatkov iz naslova t.i. zakonskih obveznosti (npr. plače, socialni transferi) prednost pred ostalimi obveznostmi. Pri določanju finančnih načrtov neposrednih uporabnikov v obdobju začasnega financiranja je treba upoštevati vsebino, obseg in dinamiko obveznosti, ki zapadejo v obdobje začasnega financiranja.</w:t>
      </w:r>
    </w:p>
    <w:p w:rsidR="00CB3412" w:rsidRPr="00A03BF5" w:rsidRDefault="00CB3412" w:rsidP="00CB3412">
      <w:pPr>
        <w:spacing w:after="0" w:line="240" w:lineRule="auto"/>
        <w:jc w:val="both"/>
        <w:rPr>
          <w:rFonts w:ascii="Arial" w:eastAsia="Times New Roman" w:hAnsi="Arial" w:cs="Arial"/>
          <w:szCs w:val="20"/>
          <w:lang w:eastAsia="sl-SI"/>
        </w:rPr>
      </w:pPr>
    </w:p>
    <w:p w:rsidR="00CB3412" w:rsidRDefault="00CB3412" w:rsidP="00CB3412">
      <w:pPr>
        <w:spacing w:after="0" w:line="240" w:lineRule="auto"/>
        <w:jc w:val="both"/>
        <w:rPr>
          <w:rFonts w:ascii="Arial" w:eastAsia="Times New Roman" w:hAnsi="Arial" w:cs="Arial"/>
          <w:szCs w:val="20"/>
          <w:lang w:eastAsia="sl-SI"/>
        </w:rPr>
      </w:pPr>
      <w:r w:rsidRPr="00A03BF5">
        <w:rPr>
          <w:rFonts w:ascii="Arial" w:eastAsia="Times New Roman" w:hAnsi="Arial" w:cs="Arial"/>
          <w:szCs w:val="20"/>
          <w:lang w:eastAsia="sl-SI"/>
        </w:rPr>
        <w:t>Zakon določa, da se skupni obseg izdatkov državnega oziroma občinskega proračuna določi glede na (sorazmerno) porabljena sredstva v enakem obdobju v proračunu za preteklo leto. Podlaga za določitev obsega začasnega financiranja države in občin je obseg izdatkov realiziranega proračuna. Pri tem se dikcija »sorazmerno porabljena sredstva v enakem obdobju v proračunu za preteklo leto« razume kot obseg realiziranih izdatkov proračuna v enakem obdobju, kot je obdobje, za katero se določa začasno financiranje. To po obsegu ni enako dvanajstinam odhodkov realiziranega proračuna.</w:t>
      </w:r>
    </w:p>
    <w:p w:rsidR="000B697B" w:rsidRDefault="000B697B" w:rsidP="00CB3412">
      <w:pPr>
        <w:spacing w:after="0" w:line="240" w:lineRule="auto"/>
        <w:jc w:val="both"/>
        <w:rPr>
          <w:rFonts w:ascii="Arial" w:eastAsia="Times New Roman" w:hAnsi="Arial" w:cs="Arial"/>
          <w:szCs w:val="20"/>
          <w:lang w:eastAsia="sl-SI"/>
        </w:rPr>
      </w:pPr>
    </w:p>
    <w:p w:rsidR="00CB3412" w:rsidRDefault="00CB3412" w:rsidP="00CB3412">
      <w:pPr>
        <w:spacing w:after="0" w:line="240" w:lineRule="auto"/>
        <w:jc w:val="both"/>
        <w:rPr>
          <w:rFonts w:ascii="Arial" w:eastAsia="Times New Roman" w:hAnsi="Arial" w:cs="Arial"/>
          <w:szCs w:val="20"/>
          <w:lang w:eastAsia="sl-SI"/>
        </w:rPr>
      </w:pPr>
    </w:p>
    <w:p w:rsidR="00CB3412" w:rsidRPr="00A03BF5" w:rsidRDefault="00CB3412" w:rsidP="00CB3412">
      <w:pPr>
        <w:spacing w:after="0" w:line="240" w:lineRule="auto"/>
        <w:jc w:val="center"/>
        <w:rPr>
          <w:rFonts w:ascii="Arial" w:eastAsia="Times New Roman" w:hAnsi="Arial" w:cs="Arial"/>
          <w:szCs w:val="20"/>
          <w:lang w:eastAsia="sl-SI"/>
        </w:rPr>
      </w:pPr>
      <w:r>
        <w:rPr>
          <w:rFonts w:ascii="Arial" w:eastAsia="Times New Roman" w:hAnsi="Arial" w:cs="Arial"/>
          <w:szCs w:val="20"/>
          <w:lang w:eastAsia="sl-SI"/>
        </w:rPr>
        <w:t>II.</w:t>
      </w:r>
    </w:p>
    <w:p w:rsidR="000B697B" w:rsidRDefault="000B697B" w:rsidP="000B697B">
      <w:pPr>
        <w:spacing w:after="0" w:line="240" w:lineRule="auto"/>
        <w:rPr>
          <w:rFonts w:ascii="Arial" w:eastAsia="Times New Roman" w:hAnsi="Arial" w:cs="Arial"/>
          <w:b/>
          <w:bCs/>
          <w:sz w:val="18"/>
          <w:szCs w:val="18"/>
          <w:lang w:eastAsia="sl-SI"/>
        </w:rPr>
      </w:pPr>
    </w:p>
    <w:p w:rsidR="00CB3412" w:rsidRPr="000B697B" w:rsidRDefault="00CB3412" w:rsidP="000B697B">
      <w:pPr>
        <w:spacing w:after="0" w:line="240" w:lineRule="auto"/>
        <w:rPr>
          <w:rFonts w:ascii="Arial" w:eastAsia="Times New Roman" w:hAnsi="Arial" w:cs="Arial"/>
          <w:szCs w:val="20"/>
          <w:lang w:eastAsia="sl-SI"/>
        </w:rPr>
      </w:pPr>
      <w:r w:rsidRPr="000B697B">
        <w:rPr>
          <w:rFonts w:ascii="Arial" w:eastAsia="Times New Roman" w:hAnsi="Arial" w:cs="Arial"/>
          <w:szCs w:val="20"/>
          <w:lang w:eastAsia="sl-SI"/>
        </w:rPr>
        <w:t xml:space="preserve">V 33. členu </w:t>
      </w:r>
      <w:r w:rsidR="000B697B" w:rsidRPr="000B697B">
        <w:rPr>
          <w:rFonts w:ascii="Arial" w:eastAsia="Times New Roman" w:hAnsi="Arial" w:cs="Arial"/>
          <w:szCs w:val="20"/>
          <w:lang w:eastAsia="sl-SI"/>
        </w:rPr>
        <w:t>ZJF</w:t>
      </w:r>
      <w:r w:rsidRPr="000B697B">
        <w:rPr>
          <w:rFonts w:ascii="Arial" w:hAnsi="Arial" w:cs="Arial"/>
        </w:rPr>
        <w:t xml:space="preserve">, </w:t>
      </w:r>
      <w:r w:rsidR="000B697B">
        <w:rPr>
          <w:rFonts w:ascii="Arial" w:eastAsia="Times New Roman" w:hAnsi="Arial" w:cs="Arial"/>
          <w:szCs w:val="20"/>
          <w:lang w:eastAsia="sl-SI"/>
        </w:rPr>
        <w:t>je določeno:</w:t>
      </w:r>
    </w:p>
    <w:p w:rsidR="00CB3412" w:rsidRPr="00A03BF5" w:rsidRDefault="00CB3412" w:rsidP="00CB3412">
      <w:pPr>
        <w:spacing w:after="210" w:line="240" w:lineRule="auto"/>
        <w:jc w:val="center"/>
        <w:rPr>
          <w:rFonts w:ascii="Arial" w:eastAsia="Times New Roman" w:hAnsi="Arial" w:cs="Arial"/>
          <w:b/>
          <w:szCs w:val="20"/>
          <w:lang w:eastAsia="sl-SI"/>
        </w:rPr>
      </w:pPr>
      <w:r w:rsidRPr="00A03BF5">
        <w:rPr>
          <w:rFonts w:ascii="Arial" w:eastAsia="Times New Roman" w:hAnsi="Arial" w:cs="Arial"/>
          <w:b/>
          <w:szCs w:val="20"/>
          <w:lang w:eastAsia="sl-SI"/>
        </w:rPr>
        <w:t>33. člen</w:t>
      </w:r>
    </w:p>
    <w:p w:rsidR="00CB3412" w:rsidRPr="00A03BF5" w:rsidRDefault="00CB3412" w:rsidP="00CB3412">
      <w:pPr>
        <w:spacing w:after="210" w:line="240" w:lineRule="auto"/>
        <w:jc w:val="center"/>
        <w:rPr>
          <w:rFonts w:ascii="Arial" w:eastAsia="Times New Roman" w:hAnsi="Arial" w:cs="Arial"/>
          <w:b/>
          <w:szCs w:val="20"/>
          <w:lang w:eastAsia="sl-SI"/>
        </w:rPr>
      </w:pPr>
      <w:r w:rsidRPr="00A03BF5">
        <w:rPr>
          <w:rFonts w:ascii="Arial" w:eastAsia="Times New Roman" w:hAnsi="Arial" w:cs="Arial"/>
          <w:b/>
          <w:szCs w:val="20"/>
          <w:lang w:eastAsia="sl-SI"/>
        </w:rPr>
        <w:t>(Odločanje o začasnem financiranju)</w:t>
      </w:r>
    </w:p>
    <w:p w:rsidR="00CB3412" w:rsidRPr="00A03BF5" w:rsidRDefault="00CB3412" w:rsidP="000B697B">
      <w:pPr>
        <w:spacing w:after="210" w:line="240" w:lineRule="auto"/>
        <w:jc w:val="both"/>
        <w:rPr>
          <w:rFonts w:ascii="Arial" w:eastAsia="Times New Roman" w:hAnsi="Arial" w:cs="Arial"/>
          <w:b/>
          <w:szCs w:val="20"/>
          <w:lang w:eastAsia="sl-SI"/>
        </w:rPr>
      </w:pPr>
      <w:r w:rsidRPr="00A03BF5">
        <w:rPr>
          <w:rFonts w:ascii="Arial" w:eastAsia="Times New Roman" w:hAnsi="Arial" w:cs="Arial"/>
          <w:b/>
          <w:szCs w:val="20"/>
          <w:lang w:eastAsia="sl-SI"/>
        </w:rPr>
        <w:t xml:space="preserve">(1) Odločitev o začasnem financiranju države sprejme vlada in o tem obvesti Državni zbor. </w:t>
      </w:r>
    </w:p>
    <w:p w:rsidR="00CB3412" w:rsidRPr="00A03BF5" w:rsidRDefault="00CB3412" w:rsidP="000B697B">
      <w:pPr>
        <w:spacing w:after="210" w:line="240" w:lineRule="auto"/>
        <w:jc w:val="both"/>
        <w:rPr>
          <w:rFonts w:ascii="Arial" w:eastAsia="Times New Roman" w:hAnsi="Arial" w:cs="Arial"/>
          <w:b/>
          <w:szCs w:val="20"/>
          <w:lang w:eastAsia="sl-SI"/>
        </w:rPr>
      </w:pPr>
      <w:r w:rsidRPr="00A03BF5">
        <w:rPr>
          <w:rFonts w:ascii="Arial" w:eastAsia="Times New Roman" w:hAnsi="Arial" w:cs="Arial"/>
          <w:b/>
          <w:szCs w:val="20"/>
          <w:lang w:eastAsia="sl-SI"/>
        </w:rPr>
        <w:t xml:space="preserve">(2) Odločitev o začasnem financiranju občine sprejeme župan in o tem obvesti občinski svet ter nadzorni odbor. Odločitev o začasnem financiranju se objavi v uradnem glasilu občine. </w:t>
      </w:r>
    </w:p>
    <w:p w:rsidR="00CB3412" w:rsidRPr="00A03BF5" w:rsidRDefault="00CB3412" w:rsidP="000B697B">
      <w:pPr>
        <w:spacing w:after="210" w:line="240" w:lineRule="auto"/>
        <w:jc w:val="both"/>
        <w:rPr>
          <w:rFonts w:ascii="Arial" w:eastAsia="Times New Roman" w:hAnsi="Arial" w:cs="Arial"/>
          <w:b/>
          <w:szCs w:val="20"/>
          <w:lang w:eastAsia="sl-SI"/>
        </w:rPr>
      </w:pPr>
      <w:r w:rsidRPr="00A03BF5">
        <w:rPr>
          <w:rFonts w:ascii="Arial" w:eastAsia="Times New Roman" w:hAnsi="Arial" w:cs="Arial"/>
          <w:b/>
          <w:szCs w:val="20"/>
          <w:lang w:eastAsia="sl-SI"/>
        </w:rPr>
        <w:lastRenderedPageBreak/>
        <w:t xml:space="preserve">(3) Obdobje začasnega financiranja lahko traja največ tri mesece. Če proračun ni sprejet v dodatnem roku treh mesecev začasnega financiranja, se začasno financiranje države lahko podaljša na predlog vlade s posebnim sklepom Državnega zbora, če je to potrebno za financiranje funkcij države. </w:t>
      </w:r>
    </w:p>
    <w:p w:rsidR="00CB3412" w:rsidRPr="00D0182D" w:rsidRDefault="00CB3412" w:rsidP="000B697B">
      <w:pPr>
        <w:spacing w:after="210" w:line="240" w:lineRule="auto"/>
        <w:jc w:val="both"/>
        <w:rPr>
          <w:rFonts w:ascii="Arial" w:eastAsia="Times New Roman" w:hAnsi="Arial" w:cs="Arial"/>
          <w:b/>
          <w:szCs w:val="20"/>
          <w:lang w:eastAsia="sl-SI"/>
        </w:rPr>
      </w:pPr>
      <w:r w:rsidRPr="00A03BF5">
        <w:rPr>
          <w:rFonts w:ascii="Arial" w:eastAsia="Times New Roman" w:hAnsi="Arial" w:cs="Arial"/>
          <w:b/>
          <w:szCs w:val="20"/>
          <w:lang w:eastAsia="sl-SI"/>
        </w:rPr>
        <w:t>Začasno financiranje občinskega proračuna se lahko podaljša na predlog župana s sklepom skupščinskega sveta, če je to potrebno za financiranje funkcij občine.</w:t>
      </w:r>
    </w:p>
    <w:p w:rsidR="00CB3412" w:rsidRPr="00A03BF5" w:rsidRDefault="00CB3412" w:rsidP="00CB3412">
      <w:pPr>
        <w:spacing w:after="0" w:line="240" w:lineRule="auto"/>
        <w:jc w:val="both"/>
        <w:rPr>
          <w:rFonts w:ascii="Arial" w:eastAsia="Times New Roman" w:hAnsi="Arial" w:cs="Arial"/>
          <w:szCs w:val="20"/>
          <w:lang w:eastAsia="sl-SI"/>
        </w:rPr>
      </w:pPr>
      <w:r w:rsidRPr="00A03BF5">
        <w:rPr>
          <w:rFonts w:ascii="Arial" w:eastAsia="Times New Roman" w:hAnsi="Arial" w:cs="Arial"/>
          <w:szCs w:val="20"/>
          <w:lang w:eastAsia="sl-SI"/>
        </w:rPr>
        <w:t xml:space="preserve">Odločitev o začasnem financiranju občine, ki traja prve tri mesece v letu, sprejme župan in o tem obvesti občinski svet ter nadzorni odbor. Podaljšanje začasnega financiranja oz. odločanje o začasnem financiranju, ki traja ali je daljše od prvih treh mesecev leta, mora odobriti občinski svet. </w:t>
      </w:r>
    </w:p>
    <w:p w:rsidR="00CB3412" w:rsidRPr="00A03BF5" w:rsidRDefault="00CB3412" w:rsidP="00CB3412">
      <w:pPr>
        <w:spacing w:after="0" w:line="240" w:lineRule="auto"/>
        <w:jc w:val="both"/>
        <w:rPr>
          <w:rFonts w:ascii="Arial" w:eastAsia="Times New Roman" w:hAnsi="Arial" w:cs="Arial"/>
          <w:szCs w:val="20"/>
          <w:lang w:eastAsia="sl-SI"/>
        </w:rPr>
      </w:pPr>
    </w:p>
    <w:p w:rsidR="00CB3412" w:rsidRPr="00A03BF5" w:rsidRDefault="00CB3412" w:rsidP="00CB3412">
      <w:pPr>
        <w:spacing w:after="0" w:line="240" w:lineRule="auto"/>
        <w:jc w:val="both"/>
        <w:rPr>
          <w:rFonts w:ascii="Arial" w:eastAsia="Times New Roman" w:hAnsi="Arial" w:cs="Arial"/>
          <w:szCs w:val="20"/>
          <w:lang w:eastAsia="sl-SI"/>
        </w:rPr>
      </w:pPr>
    </w:p>
    <w:p w:rsidR="00CB3412" w:rsidRPr="00A03BF5" w:rsidRDefault="00CB3412" w:rsidP="00CB3412">
      <w:pPr>
        <w:spacing w:after="0" w:line="240" w:lineRule="auto"/>
        <w:jc w:val="both"/>
        <w:rPr>
          <w:rFonts w:ascii="Arial" w:eastAsia="Times New Roman" w:hAnsi="Arial" w:cs="Arial"/>
          <w:szCs w:val="20"/>
          <w:lang w:eastAsia="sl-SI"/>
        </w:rPr>
      </w:pPr>
    </w:p>
    <w:p w:rsidR="00CB3412" w:rsidRPr="00A03BF5" w:rsidRDefault="00CB3412" w:rsidP="00CB3412">
      <w:pPr>
        <w:spacing w:after="0" w:line="240" w:lineRule="auto"/>
        <w:jc w:val="both"/>
        <w:rPr>
          <w:rFonts w:ascii="Arial" w:eastAsia="Times New Roman" w:hAnsi="Arial" w:cs="Arial"/>
          <w:szCs w:val="20"/>
          <w:lang w:eastAsia="sl-SI"/>
        </w:rPr>
      </w:pPr>
      <w:r w:rsidRPr="00A03BF5">
        <w:rPr>
          <w:rFonts w:ascii="Arial" w:eastAsia="Times New Roman" w:hAnsi="Arial" w:cs="Arial"/>
          <w:szCs w:val="20"/>
          <w:lang w:eastAsia="sl-SI"/>
        </w:rPr>
        <w:t>Pripravil: Darko Lavrič – višji svetovalec za finance</w:t>
      </w:r>
    </w:p>
    <w:p w:rsidR="00682965" w:rsidRDefault="00682965"/>
    <w:sectPr w:rsidR="00682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A7BBD"/>
    <w:multiLevelType w:val="hybridMultilevel"/>
    <w:tmpl w:val="DA5EDB46"/>
    <w:lvl w:ilvl="0" w:tplc="1E8C6A88">
      <w:start w:val="1"/>
      <w:numFmt w:val="bullet"/>
      <w:lvlText w:val="-"/>
      <w:lvlJc w:val="left"/>
      <w:pPr>
        <w:tabs>
          <w:tab w:val="num" w:pos="360"/>
        </w:tabs>
        <w:ind w:left="360" w:hanging="360"/>
      </w:pPr>
      <w:rPr>
        <w:rFonts w:ascii="Times New Roman" w:hAnsi="Times New Roman" w:hint="default"/>
        <w:color w:val="auto"/>
      </w:rPr>
    </w:lvl>
    <w:lvl w:ilvl="1" w:tplc="04240003">
      <w:start w:val="1"/>
      <w:numFmt w:val="bullet"/>
      <w:lvlText w:val="o"/>
      <w:lvlJc w:val="left"/>
      <w:pPr>
        <w:tabs>
          <w:tab w:val="num" w:pos="360"/>
        </w:tabs>
        <w:ind w:left="360" w:hanging="360"/>
      </w:pPr>
      <w:rPr>
        <w:rFonts w:ascii="Courier New" w:hAnsi="Courier New" w:hint="default"/>
      </w:rPr>
    </w:lvl>
    <w:lvl w:ilvl="2" w:tplc="1E8C6A88">
      <w:start w:val="1"/>
      <w:numFmt w:val="bullet"/>
      <w:lvlText w:val="-"/>
      <w:lvlJc w:val="left"/>
      <w:pPr>
        <w:tabs>
          <w:tab w:val="num" w:pos="1080"/>
        </w:tabs>
        <w:ind w:left="1080" w:hanging="360"/>
      </w:pPr>
      <w:rPr>
        <w:rFonts w:ascii="Times New Roman" w:hAnsi="Times New Roman" w:hint="default"/>
        <w:color w:val="auto"/>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
    <w:nsid w:val="58126C01"/>
    <w:multiLevelType w:val="hybridMultilevel"/>
    <w:tmpl w:val="9AA67216"/>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12"/>
    <w:rsid w:val="000B697B"/>
    <w:rsid w:val="00500340"/>
    <w:rsid w:val="00682965"/>
    <w:rsid w:val="00CB34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B3412"/>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341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341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B3412"/>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341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341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3</Pages>
  <Words>796</Words>
  <Characters>4538</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Lavrič</dc:creator>
  <cp:lastModifiedBy>Darko Lavrič</cp:lastModifiedBy>
  <cp:revision>1</cp:revision>
  <cp:lastPrinted>2014-12-08T08:35:00Z</cp:lastPrinted>
  <dcterms:created xsi:type="dcterms:W3CDTF">2014-12-08T08:17:00Z</dcterms:created>
  <dcterms:modified xsi:type="dcterms:W3CDTF">2014-12-11T09:04:00Z</dcterms:modified>
</cp:coreProperties>
</file>