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8D" w:rsidRPr="00FB1768" w:rsidRDefault="00901A8D" w:rsidP="001679EC">
      <w:pPr>
        <w:pageBreakBefore/>
        <w:autoSpaceDE w:val="0"/>
        <w:autoSpaceDN w:val="0"/>
        <w:adjustRightInd w:val="0"/>
        <w:spacing w:after="0" w:line="240" w:lineRule="auto"/>
        <w:jc w:val="both"/>
        <w:rPr>
          <w:rFonts w:cs="Times New Roman"/>
          <w:color w:val="000000"/>
          <w:sz w:val="23"/>
          <w:szCs w:val="23"/>
        </w:rPr>
      </w:pPr>
      <w:r w:rsidRPr="00FB1768">
        <w:rPr>
          <w:rFonts w:cs="Times New Roman"/>
          <w:color w:val="000000"/>
          <w:sz w:val="23"/>
          <w:szCs w:val="23"/>
        </w:rPr>
        <w:t>Na podlagi tretjega odstavka 149. člena Zakona o varstvu okolj</w:t>
      </w:r>
      <w:r w:rsidR="001679EC" w:rsidRPr="00FB1768">
        <w:rPr>
          <w:rFonts w:cs="Times New Roman"/>
          <w:color w:val="000000"/>
          <w:sz w:val="23"/>
          <w:szCs w:val="23"/>
        </w:rPr>
        <w:t xml:space="preserve">a </w:t>
      </w:r>
      <w:r w:rsidRPr="00FB1768">
        <w:rPr>
          <w:rFonts w:cs="Times New Roman"/>
          <w:color w:val="000000"/>
          <w:sz w:val="23"/>
          <w:szCs w:val="23"/>
        </w:rPr>
        <w:t xml:space="preserve">(Uradni list RS, št. 39/06 – uradno prečiščeno besedilo, 49/06 – </w:t>
      </w:r>
      <w:proofErr w:type="spellStart"/>
      <w:r w:rsidRPr="00FB1768">
        <w:rPr>
          <w:rFonts w:cs="Times New Roman"/>
          <w:color w:val="000000"/>
          <w:sz w:val="23"/>
          <w:szCs w:val="23"/>
        </w:rPr>
        <w:t>ZmetD</w:t>
      </w:r>
      <w:proofErr w:type="spellEnd"/>
      <w:r w:rsidRPr="00FB1768">
        <w:rPr>
          <w:rFonts w:cs="Times New Roman"/>
          <w:color w:val="000000"/>
          <w:sz w:val="23"/>
          <w:szCs w:val="23"/>
        </w:rPr>
        <w:t xml:space="preserve">, 66/06 – </w:t>
      </w:r>
      <w:proofErr w:type="spellStart"/>
      <w:r w:rsidRPr="00FB1768">
        <w:rPr>
          <w:rFonts w:cs="Times New Roman"/>
          <w:color w:val="000000"/>
          <w:sz w:val="23"/>
          <w:szCs w:val="23"/>
        </w:rPr>
        <w:t>odl</w:t>
      </w:r>
      <w:proofErr w:type="spellEnd"/>
      <w:r w:rsidRPr="00FB1768">
        <w:rPr>
          <w:rFonts w:cs="Times New Roman"/>
          <w:color w:val="000000"/>
          <w:sz w:val="23"/>
          <w:szCs w:val="23"/>
        </w:rPr>
        <w:t>. US, 33/07 – ZPNačrt, 57/08 – ZFO-1A, 70/08 in 108/09), 59. člena Zakona o gospodarskih javnih slu</w:t>
      </w:r>
      <w:r w:rsidR="001D4B51" w:rsidRPr="00FB1768">
        <w:rPr>
          <w:rFonts w:cs="Times New Roman"/>
          <w:color w:val="000000"/>
          <w:sz w:val="23"/>
          <w:szCs w:val="23"/>
        </w:rPr>
        <w:t>ž</w:t>
      </w:r>
      <w:r w:rsidRPr="00FB1768">
        <w:rPr>
          <w:rFonts w:cs="Times New Roman"/>
          <w:color w:val="000000"/>
          <w:sz w:val="23"/>
          <w:szCs w:val="23"/>
        </w:rPr>
        <w:t xml:space="preserve">bah (Uradni list RS, št. 32/93, 30/98 – ZZLPPO in 127/06 – ZJZP), </w:t>
      </w:r>
      <w:r w:rsidR="00524120" w:rsidRPr="00FB1768">
        <w:rPr>
          <w:rFonts w:cs="Times New Roman"/>
          <w:color w:val="000000" w:themeColor="text1"/>
          <w:sz w:val="23"/>
          <w:szCs w:val="23"/>
        </w:rPr>
        <w:t>5</w:t>
      </w:r>
      <w:r w:rsidRPr="00FB1768">
        <w:rPr>
          <w:rFonts w:cs="Times New Roman"/>
          <w:color w:val="000000" w:themeColor="text1"/>
          <w:sz w:val="23"/>
          <w:szCs w:val="23"/>
        </w:rPr>
        <w:t xml:space="preserve">. člena </w:t>
      </w:r>
      <w:r w:rsidRPr="00FB1768">
        <w:rPr>
          <w:rFonts w:cs="Times New Roman"/>
          <w:color w:val="000000"/>
          <w:sz w:val="23"/>
          <w:szCs w:val="23"/>
        </w:rPr>
        <w:t>Uredbe o metodologiji za oblikovanje cen storitev obveznih občinskih gospodarskih javnih slu</w:t>
      </w:r>
      <w:r w:rsidR="001D4B51" w:rsidRPr="00FB1768">
        <w:rPr>
          <w:rFonts w:cs="Times New Roman"/>
          <w:color w:val="000000"/>
          <w:sz w:val="23"/>
          <w:szCs w:val="23"/>
        </w:rPr>
        <w:t>ž</w:t>
      </w:r>
      <w:r w:rsidRPr="00FB1768">
        <w:rPr>
          <w:rFonts w:cs="Times New Roman"/>
          <w:color w:val="000000"/>
          <w:sz w:val="23"/>
          <w:szCs w:val="23"/>
        </w:rPr>
        <w:t xml:space="preserve">b varstva okolja (Uradni </w:t>
      </w:r>
      <w:r w:rsidR="0093393C" w:rsidRPr="00FB1768">
        <w:rPr>
          <w:rFonts w:cs="Times New Roman"/>
          <w:color w:val="000000"/>
          <w:sz w:val="23"/>
          <w:szCs w:val="23"/>
        </w:rPr>
        <w:t>list RS, št. 87/2012, 109/2012</w:t>
      </w:r>
      <w:r w:rsidR="007E14F5">
        <w:rPr>
          <w:rFonts w:cs="Times New Roman"/>
          <w:color w:val="000000"/>
          <w:sz w:val="23"/>
          <w:szCs w:val="23"/>
        </w:rPr>
        <w:t>, 76/2017</w:t>
      </w:r>
      <w:r w:rsidR="0093393C" w:rsidRPr="00FB1768">
        <w:rPr>
          <w:rFonts w:cs="Times New Roman"/>
          <w:color w:val="000000"/>
          <w:sz w:val="23"/>
          <w:szCs w:val="23"/>
        </w:rPr>
        <w:t xml:space="preserve">), Uredbe komisije (EU) št. 360/2012 z dne 25. aprila 2012 o uporabi členov 107 in 108 Pogodbe o delovanju Evropske unije pri pomoči de </w:t>
      </w:r>
      <w:proofErr w:type="spellStart"/>
      <w:r w:rsidR="0093393C" w:rsidRPr="00FB1768">
        <w:rPr>
          <w:rFonts w:cs="Times New Roman"/>
          <w:color w:val="000000"/>
          <w:sz w:val="23"/>
          <w:szCs w:val="23"/>
        </w:rPr>
        <w:t>minimis</w:t>
      </w:r>
      <w:proofErr w:type="spellEnd"/>
      <w:r w:rsidR="0093393C" w:rsidRPr="00FB1768">
        <w:rPr>
          <w:rFonts w:cs="Times New Roman"/>
          <w:color w:val="000000"/>
          <w:sz w:val="23"/>
          <w:szCs w:val="23"/>
        </w:rPr>
        <w:t xml:space="preserve"> za podjetja, ki opravljajo storitve splošnega gospodarskega pomena (Ur. l. EU L 114) </w:t>
      </w:r>
      <w:r w:rsidRPr="00FB1768">
        <w:rPr>
          <w:rFonts w:cs="Times New Roman"/>
          <w:color w:val="000000"/>
          <w:sz w:val="23"/>
          <w:szCs w:val="23"/>
        </w:rPr>
        <w:t>ter 1</w:t>
      </w:r>
      <w:r w:rsidR="001679EC" w:rsidRPr="00FB1768">
        <w:rPr>
          <w:rFonts w:cs="Times New Roman"/>
          <w:color w:val="000000"/>
          <w:sz w:val="23"/>
          <w:szCs w:val="23"/>
        </w:rPr>
        <w:t>4</w:t>
      </w:r>
      <w:r w:rsidRPr="00FB1768">
        <w:rPr>
          <w:rFonts w:cs="Times New Roman"/>
          <w:color w:val="000000"/>
          <w:sz w:val="23"/>
          <w:szCs w:val="23"/>
        </w:rPr>
        <w:t xml:space="preserve">. člena Statuta Občine </w:t>
      </w:r>
      <w:r w:rsidR="001D4B51" w:rsidRPr="00FB1768">
        <w:rPr>
          <w:rFonts w:cs="Times New Roman"/>
          <w:color w:val="000000"/>
          <w:sz w:val="23"/>
          <w:szCs w:val="23"/>
        </w:rPr>
        <w:t>Lovrenc na Pohorju</w:t>
      </w:r>
      <w:r w:rsidRPr="00FB1768">
        <w:rPr>
          <w:rFonts w:cs="Times New Roman"/>
          <w:color w:val="000000"/>
          <w:sz w:val="23"/>
          <w:szCs w:val="23"/>
        </w:rPr>
        <w:t xml:space="preserve"> (</w:t>
      </w:r>
      <w:r w:rsidR="001679EC" w:rsidRPr="00FB1768">
        <w:rPr>
          <w:rFonts w:cs="Times New Roman"/>
          <w:color w:val="000000"/>
          <w:sz w:val="23"/>
          <w:szCs w:val="23"/>
        </w:rPr>
        <w:t xml:space="preserve">Uradno glasilo slovenskih občin, št. </w:t>
      </w:r>
      <w:r w:rsidR="00F52723">
        <w:rPr>
          <w:rFonts w:cs="Times New Roman"/>
          <w:color w:val="000000"/>
          <w:sz w:val="23"/>
          <w:szCs w:val="23"/>
        </w:rPr>
        <w:t>59/2017</w:t>
      </w:r>
      <w:r w:rsidR="001679EC" w:rsidRPr="00FB1768">
        <w:rPr>
          <w:rFonts w:cs="Times New Roman"/>
          <w:color w:val="000000"/>
          <w:sz w:val="23"/>
          <w:szCs w:val="23"/>
        </w:rPr>
        <w:t>)</w:t>
      </w:r>
      <w:r w:rsidR="0087289C">
        <w:rPr>
          <w:rFonts w:cs="Times New Roman"/>
          <w:color w:val="000000"/>
          <w:sz w:val="23"/>
          <w:szCs w:val="23"/>
        </w:rPr>
        <w:t>,</w:t>
      </w:r>
      <w:r w:rsidRPr="00FB1768">
        <w:rPr>
          <w:rFonts w:cs="Times New Roman"/>
          <w:color w:val="000000"/>
          <w:sz w:val="23"/>
          <w:szCs w:val="23"/>
        </w:rPr>
        <w:t xml:space="preserve"> je Občinski svet Občine </w:t>
      </w:r>
      <w:r w:rsidR="001D4B51" w:rsidRPr="00FB1768">
        <w:rPr>
          <w:rFonts w:cs="Times New Roman"/>
          <w:color w:val="000000"/>
          <w:sz w:val="23"/>
          <w:szCs w:val="23"/>
        </w:rPr>
        <w:t>Lovrenc na Pohorju</w:t>
      </w:r>
      <w:r w:rsidR="0087289C">
        <w:rPr>
          <w:rFonts w:cs="Times New Roman"/>
          <w:color w:val="000000"/>
          <w:sz w:val="23"/>
          <w:szCs w:val="23"/>
        </w:rPr>
        <w:t>,</w:t>
      </w:r>
      <w:r w:rsidRPr="00FB1768">
        <w:rPr>
          <w:rFonts w:cs="Times New Roman"/>
          <w:color w:val="000000"/>
          <w:sz w:val="23"/>
          <w:szCs w:val="23"/>
        </w:rPr>
        <w:t xml:space="preserve"> na </w:t>
      </w:r>
      <w:r w:rsidR="0087289C">
        <w:rPr>
          <w:rFonts w:cs="Times New Roman"/>
          <w:color w:val="000000"/>
          <w:sz w:val="23"/>
          <w:szCs w:val="23"/>
        </w:rPr>
        <w:t>1.</w:t>
      </w:r>
      <w:r w:rsidRPr="00FB1768">
        <w:rPr>
          <w:rFonts w:cs="Times New Roman"/>
          <w:color w:val="000000"/>
          <w:sz w:val="23"/>
          <w:szCs w:val="23"/>
        </w:rPr>
        <w:t xml:space="preserve"> </w:t>
      </w:r>
      <w:r w:rsidR="0087289C">
        <w:rPr>
          <w:rFonts w:cs="Times New Roman"/>
          <w:color w:val="000000"/>
          <w:sz w:val="23"/>
          <w:szCs w:val="23"/>
        </w:rPr>
        <w:t>iz</w:t>
      </w:r>
      <w:r w:rsidRPr="00FB1768">
        <w:rPr>
          <w:rFonts w:cs="Times New Roman"/>
          <w:color w:val="000000"/>
          <w:sz w:val="23"/>
          <w:szCs w:val="23"/>
        </w:rPr>
        <w:t xml:space="preserve">redni seji, dne </w:t>
      </w:r>
      <w:r w:rsidR="0087289C">
        <w:rPr>
          <w:rFonts w:cs="Times New Roman"/>
          <w:color w:val="000000"/>
          <w:sz w:val="23"/>
          <w:szCs w:val="23"/>
        </w:rPr>
        <w:t>20.12.2018,</w:t>
      </w:r>
      <w:r w:rsidRPr="00FB1768">
        <w:rPr>
          <w:rFonts w:cs="Times New Roman"/>
          <w:color w:val="000000"/>
          <w:sz w:val="23"/>
          <w:szCs w:val="23"/>
        </w:rPr>
        <w:t xml:space="preserve"> sprejel </w:t>
      </w:r>
    </w:p>
    <w:p w:rsidR="00901A8D" w:rsidRPr="00FB1768" w:rsidRDefault="00901A8D" w:rsidP="00813809">
      <w:pPr>
        <w:autoSpaceDE w:val="0"/>
        <w:autoSpaceDN w:val="0"/>
        <w:adjustRightInd w:val="0"/>
        <w:spacing w:before="120" w:after="120" w:line="240" w:lineRule="auto"/>
        <w:jc w:val="center"/>
        <w:rPr>
          <w:rFonts w:cs="Times New Roman"/>
          <w:b/>
          <w:color w:val="000000"/>
          <w:sz w:val="26"/>
          <w:szCs w:val="26"/>
        </w:rPr>
      </w:pPr>
      <w:r w:rsidRPr="00FB1768">
        <w:rPr>
          <w:rFonts w:cs="Times New Roman"/>
          <w:b/>
          <w:color w:val="000000"/>
          <w:sz w:val="26"/>
          <w:szCs w:val="26"/>
        </w:rPr>
        <w:t>S K L E P</w:t>
      </w:r>
    </w:p>
    <w:p w:rsidR="00A775E7" w:rsidRPr="00FB1768" w:rsidRDefault="00A775E7" w:rsidP="001679EC">
      <w:pPr>
        <w:autoSpaceDE w:val="0"/>
        <w:autoSpaceDN w:val="0"/>
        <w:adjustRightInd w:val="0"/>
        <w:spacing w:after="0" w:line="240" w:lineRule="auto"/>
        <w:jc w:val="both"/>
        <w:rPr>
          <w:rFonts w:cs="Times New Roman"/>
          <w:b/>
          <w:color w:val="000000"/>
          <w:sz w:val="23"/>
          <w:szCs w:val="23"/>
        </w:rPr>
      </w:pPr>
      <w:r w:rsidRPr="00FB1768">
        <w:rPr>
          <w:rFonts w:cs="Times New Roman"/>
          <w:b/>
          <w:color w:val="000000"/>
          <w:sz w:val="23"/>
          <w:szCs w:val="23"/>
        </w:rPr>
        <w:t>O DOLOČITVI VIŠINE SUBVENCIONIRANJA CENE IZVAJANJA STORITEV OBVEZNE JAVNE SLUŽBE ODVAJANJA KOMUNALNE IN PADAVINSKE ODPADNE VODE TER PRIPADAJOČE OMREŽNINE ZA UPORABO JAVNIH INFRASTRUKTURNIH OBJEKTOV IN NAPRAV V OBČINI LOVRENC NA POHORJU ZA LETO 201</w:t>
      </w:r>
      <w:r w:rsidR="0015290F">
        <w:rPr>
          <w:rFonts w:cs="Times New Roman"/>
          <w:b/>
          <w:color w:val="000000"/>
          <w:sz w:val="23"/>
          <w:szCs w:val="23"/>
        </w:rPr>
        <w:t>9</w:t>
      </w:r>
    </w:p>
    <w:p w:rsidR="00901A8D" w:rsidRPr="00FB1768" w:rsidRDefault="00901A8D" w:rsidP="002F45EF">
      <w:pPr>
        <w:autoSpaceDE w:val="0"/>
        <w:autoSpaceDN w:val="0"/>
        <w:adjustRightInd w:val="0"/>
        <w:spacing w:before="120" w:after="0" w:line="240" w:lineRule="auto"/>
        <w:jc w:val="center"/>
        <w:rPr>
          <w:rFonts w:cs="Times New Roman"/>
          <w:color w:val="000000"/>
          <w:sz w:val="23"/>
          <w:szCs w:val="23"/>
        </w:rPr>
      </w:pPr>
      <w:r w:rsidRPr="00FB1768">
        <w:rPr>
          <w:rFonts w:cs="Times New Roman"/>
          <w:color w:val="000000"/>
          <w:sz w:val="23"/>
          <w:szCs w:val="23"/>
        </w:rPr>
        <w:t>I.</w:t>
      </w:r>
    </w:p>
    <w:p w:rsidR="00CC2E0E" w:rsidRPr="00FB1768" w:rsidRDefault="00901A8D" w:rsidP="00700C98">
      <w:pPr>
        <w:autoSpaceDE w:val="0"/>
        <w:autoSpaceDN w:val="0"/>
        <w:adjustRightInd w:val="0"/>
        <w:spacing w:after="0" w:line="240" w:lineRule="auto"/>
        <w:jc w:val="both"/>
        <w:rPr>
          <w:rFonts w:cs="Times New Roman"/>
          <w:color w:val="000000"/>
          <w:sz w:val="23"/>
          <w:szCs w:val="23"/>
        </w:rPr>
      </w:pPr>
      <w:r w:rsidRPr="00FB1768">
        <w:rPr>
          <w:rFonts w:cs="Times New Roman"/>
          <w:color w:val="000000"/>
          <w:sz w:val="23"/>
          <w:szCs w:val="23"/>
        </w:rPr>
        <w:t xml:space="preserve">Občina </w:t>
      </w:r>
      <w:r w:rsidR="001D4B51" w:rsidRPr="00FB1768">
        <w:rPr>
          <w:rFonts w:cs="Times New Roman"/>
          <w:color w:val="000000"/>
          <w:sz w:val="23"/>
          <w:szCs w:val="23"/>
        </w:rPr>
        <w:t>Lovrenc na Pohorju</w:t>
      </w:r>
      <w:r w:rsidRPr="00FB1768">
        <w:rPr>
          <w:rFonts w:cs="Times New Roman"/>
          <w:color w:val="000000"/>
          <w:sz w:val="23"/>
          <w:szCs w:val="23"/>
        </w:rPr>
        <w:t xml:space="preserve"> bo storitve </w:t>
      </w:r>
      <w:r w:rsidR="001426BC" w:rsidRPr="00FB1768">
        <w:rPr>
          <w:rFonts w:cs="Times New Roman"/>
          <w:color w:val="000000"/>
          <w:sz w:val="23"/>
          <w:szCs w:val="23"/>
        </w:rPr>
        <w:t>obvezne lokalne gospodarske javne službe</w:t>
      </w:r>
      <w:r w:rsidR="0017425E" w:rsidRPr="00FB1768">
        <w:rPr>
          <w:rFonts w:cs="Times New Roman"/>
          <w:color w:val="000000"/>
          <w:sz w:val="23"/>
          <w:szCs w:val="23"/>
        </w:rPr>
        <w:t xml:space="preserve"> </w:t>
      </w:r>
      <w:r w:rsidR="005B19B8" w:rsidRPr="00FB1768">
        <w:rPr>
          <w:rFonts w:cs="Times New Roman"/>
          <w:color w:val="000000"/>
          <w:sz w:val="23"/>
          <w:szCs w:val="23"/>
        </w:rPr>
        <w:t xml:space="preserve">ODVAJANJA komunalne in padavinske odpadne vode ter pripadajoče OMREŽNINE za uporabo javnih infrastrukturnih objektov in naprav v Občini Lovrenc na Pohorju </w:t>
      </w:r>
      <w:r w:rsidR="002F2136" w:rsidRPr="00FB1768">
        <w:rPr>
          <w:rFonts w:cs="Times New Roman"/>
          <w:color w:val="000000"/>
          <w:sz w:val="23"/>
          <w:szCs w:val="23"/>
        </w:rPr>
        <w:t>v letu 201</w:t>
      </w:r>
      <w:r w:rsidR="0015290F">
        <w:rPr>
          <w:rFonts w:cs="Times New Roman"/>
          <w:color w:val="000000"/>
          <w:sz w:val="23"/>
          <w:szCs w:val="23"/>
        </w:rPr>
        <w:t>9</w:t>
      </w:r>
      <w:r w:rsidR="002F2136" w:rsidRPr="00FB1768">
        <w:rPr>
          <w:rFonts w:cs="Times New Roman"/>
          <w:color w:val="000000"/>
          <w:sz w:val="23"/>
          <w:szCs w:val="23"/>
        </w:rPr>
        <w:t xml:space="preserve">, </w:t>
      </w:r>
      <w:r w:rsidRPr="00FB1768">
        <w:rPr>
          <w:rFonts w:cs="Times New Roman"/>
          <w:color w:val="000000"/>
          <w:sz w:val="23"/>
          <w:szCs w:val="23"/>
        </w:rPr>
        <w:t xml:space="preserve">subvencionirala </w:t>
      </w:r>
      <w:r w:rsidR="00CC2E0E" w:rsidRPr="00FB1768">
        <w:rPr>
          <w:rFonts w:cs="Times New Roman"/>
          <w:color w:val="000000"/>
          <w:sz w:val="23"/>
          <w:szCs w:val="23"/>
        </w:rPr>
        <w:t>v nasledn</w:t>
      </w:r>
      <w:r w:rsidR="00D6017E" w:rsidRPr="00FB1768">
        <w:rPr>
          <w:rFonts w:cs="Times New Roman"/>
          <w:color w:val="000000"/>
          <w:sz w:val="23"/>
          <w:szCs w:val="23"/>
        </w:rPr>
        <w:t>j</w:t>
      </w:r>
      <w:r w:rsidR="00CC2E0E" w:rsidRPr="00FB1768">
        <w:rPr>
          <w:rFonts w:cs="Times New Roman"/>
          <w:color w:val="000000"/>
          <w:sz w:val="23"/>
          <w:szCs w:val="23"/>
        </w:rPr>
        <w:t>i višini:</w:t>
      </w:r>
    </w:p>
    <w:p w:rsidR="006A3BC2" w:rsidRPr="00FB1768" w:rsidRDefault="006A3BC2" w:rsidP="006A3BC2">
      <w:pPr>
        <w:autoSpaceDE w:val="0"/>
        <w:autoSpaceDN w:val="0"/>
        <w:adjustRightInd w:val="0"/>
        <w:spacing w:before="120" w:after="0" w:line="240" w:lineRule="auto"/>
        <w:jc w:val="both"/>
        <w:rPr>
          <w:rFonts w:eastAsia="Times New Roman" w:cs="Calibri"/>
          <w:b/>
          <w:color w:val="000000" w:themeColor="text1"/>
          <w:sz w:val="22"/>
          <w:szCs w:val="22"/>
        </w:rPr>
      </w:pPr>
      <w:r w:rsidRPr="00FB1768">
        <w:rPr>
          <w:rFonts w:cs="Times New Roman"/>
          <w:b/>
          <w:color w:val="000000" w:themeColor="text1"/>
          <w:sz w:val="23"/>
          <w:szCs w:val="23"/>
        </w:rPr>
        <w:t xml:space="preserve">a) </w:t>
      </w:r>
      <w:r w:rsidR="00C64803" w:rsidRPr="00FB1768">
        <w:rPr>
          <w:rFonts w:cs="Times New Roman"/>
          <w:b/>
          <w:color w:val="000000" w:themeColor="text1"/>
          <w:sz w:val="23"/>
          <w:szCs w:val="23"/>
        </w:rPr>
        <w:t>Subvencioniranje c</w:t>
      </w:r>
      <w:r w:rsidRPr="00FB1768">
        <w:rPr>
          <w:rFonts w:cs="Times New Roman"/>
          <w:b/>
          <w:color w:val="000000" w:themeColor="text1"/>
          <w:sz w:val="23"/>
          <w:szCs w:val="23"/>
        </w:rPr>
        <w:t>en</w:t>
      </w:r>
      <w:r w:rsidR="00C64803" w:rsidRPr="00FB1768">
        <w:rPr>
          <w:rFonts w:cs="Times New Roman"/>
          <w:b/>
          <w:color w:val="000000" w:themeColor="text1"/>
          <w:sz w:val="23"/>
          <w:szCs w:val="23"/>
        </w:rPr>
        <w:t>e</w:t>
      </w:r>
      <w:r w:rsidRPr="00FB1768">
        <w:rPr>
          <w:rFonts w:cs="Times New Roman"/>
          <w:b/>
          <w:color w:val="000000" w:themeColor="text1"/>
          <w:sz w:val="23"/>
          <w:szCs w:val="23"/>
        </w:rPr>
        <w:t xml:space="preserve"> izvajanja storitev - o</w:t>
      </w:r>
      <w:r w:rsidRPr="00FB1768">
        <w:rPr>
          <w:rFonts w:eastAsia="Times New Roman" w:cs="Calibri"/>
          <w:b/>
          <w:color w:val="000000" w:themeColor="text1"/>
          <w:sz w:val="22"/>
          <w:szCs w:val="22"/>
        </w:rPr>
        <w:t>dvajanje komunalne in padavinske odpadne vode</w:t>
      </w:r>
    </w:p>
    <w:tbl>
      <w:tblPr>
        <w:tblW w:w="9790" w:type="dxa"/>
        <w:tblInd w:w="55" w:type="dxa"/>
        <w:tblCellMar>
          <w:left w:w="70" w:type="dxa"/>
          <w:right w:w="70" w:type="dxa"/>
        </w:tblCellMar>
        <w:tblLook w:val="04A0" w:firstRow="1" w:lastRow="0" w:firstColumn="1" w:lastColumn="0" w:noHBand="0" w:noVBand="1"/>
      </w:tblPr>
      <w:tblGrid>
        <w:gridCol w:w="2351"/>
        <w:gridCol w:w="1301"/>
        <w:gridCol w:w="1998"/>
        <w:gridCol w:w="1766"/>
        <w:gridCol w:w="1217"/>
        <w:gridCol w:w="1157"/>
      </w:tblGrid>
      <w:tr w:rsidR="0015343D" w:rsidRPr="00FB1768" w:rsidTr="00187386">
        <w:trPr>
          <w:trHeight w:val="945"/>
        </w:trPr>
        <w:tc>
          <w:tcPr>
            <w:tcW w:w="2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DF" w:rsidRPr="00FB1768" w:rsidRDefault="00DE5ADF" w:rsidP="00CF1F93">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Subvencija cene                                            izvajanje storitev                                odvajanje komunalne in padavinske odpadne vode</w:t>
            </w:r>
          </w:p>
        </w:tc>
        <w:tc>
          <w:tcPr>
            <w:tcW w:w="1301" w:type="dxa"/>
            <w:tcBorders>
              <w:top w:val="single" w:sz="4" w:space="0" w:color="auto"/>
              <w:left w:val="nil"/>
              <w:bottom w:val="single" w:sz="18" w:space="0" w:color="auto"/>
              <w:right w:val="single" w:sz="4" w:space="0" w:color="auto"/>
            </w:tcBorders>
            <w:shd w:val="clear" w:color="auto" w:fill="auto"/>
            <w:vAlign w:val="center"/>
            <w:hideMark/>
          </w:tcPr>
          <w:p w:rsidR="00DE5ADF" w:rsidRPr="00FB1768" w:rsidRDefault="00DE5ADF" w:rsidP="00CF1F93">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w:t>
            </w:r>
          </w:p>
        </w:tc>
        <w:tc>
          <w:tcPr>
            <w:tcW w:w="1998" w:type="dxa"/>
            <w:tcBorders>
              <w:top w:val="single" w:sz="4" w:space="0" w:color="auto"/>
              <w:left w:val="nil"/>
              <w:bottom w:val="single" w:sz="18" w:space="0" w:color="auto"/>
              <w:right w:val="single" w:sz="4" w:space="0" w:color="auto"/>
            </w:tcBorders>
            <w:shd w:val="clear" w:color="auto" w:fill="auto"/>
            <w:vAlign w:val="center"/>
            <w:hideMark/>
          </w:tcPr>
          <w:p w:rsidR="00DE5ADF" w:rsidRPr="00FB1768" w:rsidRDefault="00DE5ADF" w:rsidP="00CF1F93">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Znesek subvencije v EUR brez DDV/m3</w:t>
            </w:r>
          </w:p>
        </w:tc>
        <w:tc>
          <w:tcPr>
            <w:tcW w:w="1766" w:type="dxa"/>
            <w:tcBorders>
              <w:top w:val="single" w:sz="4" w:space="0" w:color="auto"/>
              <w:left w:val="nil"/>
              <w:bottom w:val="single" w:sz="18" w:space="0" w:color="auto"/>
              <w:right w:val="single" w:sz="4" w:space="0" w:color="auto"/>
            </w:tcBorders>
            <w:shd w:val="clear" w:color="auto" w:fill="auto"/>
            <w:vAlign w:val="center"/>
            <w:hideMark/>
          </w:tcPr>
          <w:p w:rsidR="00DE5ADF" w:rsidRPr="00FB1768" w:rsidRDefault="00DE5ADF" w:rsidP="00CF1F93">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Znesek subvencije v EUR z DDV/m3</w:t>
            </w:r>
          </w:p>
        </w:tc>
        <w:tc>
          <w:tcPr>
            <w:tcW w:w="1217" w:type="dxa"/>
            <w:tcBorders>
              <w:top w:val="single" w:sz="4" w:space="0" w:color="auto"/>
              <w:left w:val="nil"/>
              <w:bottom w:val="single" w:sz="18" w:space="0" w:color="auto"/>
              <w:right w:val="single" w:sz="4" w:space="0" w:color="auto"/>
            </w:tcBorders>
          </w:tcPr>
          <w:p w:rsidR="00DE5ADF" w:rsidRPr="00FB1768" w:rsidRDefault="00DE5ADF" w:rsidP="00CF1F93">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Predvidena količina storitve v m3</w:t>
            </w:r>
          </w:p>
        </w:tc>
        <w:tc>
          <w:tcPr>
            <w:tcW w:w="1157" w:type="dxa"/>
            <w:tcBorders>
              <w:top w:val="single" w:sz="4" w:space="0" w:color="auto"/>
              <w:left w:val="nil"/>
              <w:bottom w:val="single" w:sz="18" w:space="0" w:color="auto"/>
              <w:right w:val="single" w:sz="4" w:space="0" w:color="auto"/>
            </w:tcBorders>
          </w:tcPr>
          <w:p w:rsidR="00DE5ADF" w:rsidRPr="00FB1768" w:rsidRDefault="00DE5ADF" w:rsidP="00CF1F93">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Subvencija cene storitve v EUR</w:t>
            </w:r>
          </w:p>
        </w:tc>
      </w:tr>
      <w:tr w:rsidR="0015343D" w:rsidRPr="00FB1768" w:rsidTr="00187386">
        <w:trPr>
          <w:trHeight w:val="300"/>
        </w:trPr>
        <w:tc>
          <w:tcPr>
            <w:tcW w:w="2351"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DE5ADF" w:rsidRPr="00FB1768" w:rsidRDefault="00DE5ADF" w:rsidP="00CF1F93">
            <w:pPr>
              <w:spacing w:after="0" w:line="240" w:lineRule="auto"/>
              <w:rPr>
                <w:rFonts w:eastAsia="Times New Roman" w:cs="Calibri"/>
                <w:color w:val="000000" w:themeColor="text1"/>
                <w:sz w:val="22"/>
                <w:szCs w:val="22"/>
              </w:rPr>
            </w:pPr>
            <w:r w:rsidRPr="00FB1768">
              <w:rPr>
                <w:rFonts w:eastAsia="Times New Roman" w:cs="Calibri"/>
                <w:color w:val="000000" w:themeColor="text1"/>
                <w:sz w:val="22"/>
                <w:szCs w:val="22"/>
              </w:rPr>
              <w:t> </w:t>
            </w:r>
          </w:p>
        </w:tc>
        <w:tc>
          <w:tcPr>
            <w:tcW w:w="130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E5ADF" w:rsidRPr="00FB1768" w:rsidRDefault="00625DD9" w:rsidP="00DE5AD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0</w:t>
            </w:r>
            <w:r w:rsidR="006F07A9" w:rsidRPr="00FB1768">
              <w:rPr>
                <w:rFonts w:eastAsia="Times New Roman" w:cs="Calibri"/>
                <w:b/>
                <w:color w:val="000000" w:themeColor="text1"/>
                <w:sz w:val="22"/>
                <w:szCs w:val="22"/>
              </w:rPr>
              <w:t>,00</w:t>
            </w:r>
          </w:p>
        </w:tc>
        <w:tc>
          <w:tcPr>
            <w:tcW w:w="1998"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E5ADF" w:rsidRPr="00FB1768" w:rsidRDefault="006F07A9" w:rsidP="00DE5AD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0,00</w:t>
            </w:r>
          </w:p>
        </w:tc>
        <w:tc>
          <w:tcPr>
            <w:tcW w:w="17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DE5ADF" w:rsidRPr="00FB1768" w:rsidRDefault="006F07A9" w:rsidP="00DE5AD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0,00</w:t>
            </w:r>
          </w:p>
        </w:tc>
        <w:tc>
          <w:tcPr>
            <w:tcW w:w="1217" w:type="dxa"/>
            <w:tcBorders>
              <w:top w:val="single" w:sz="18" w:space="0" w:color="auto"/>
              <w:left w:val="single" w:sz="18" w:space="0" w:color="auto"/>
              <w:bottom w:val="single" w:sz="18" w:space="0" w:color="auto"/>
              <w:right w:val="single" w:sz="18" w:space="0" w:color="auto"/>
            </w:tcBorders>
          </w:tcPr>
          <w:p w:rsidR="00DE5ADF" w:rsidRPr="00FB1768" w:rsidRDefault="006F07A9" w:rsidP="00DE5ADF">
            <w:pPr>
              <w:spacing w:after="0" w:line="240" w:lineRule="auto"/>
              <w:jc w:val="right"/>
              <w:rPr>
                <w:rFonts w:eastAsia="Times New Roman" w:cs="Calibri"/>
                <w:b/>
                <w:color w:val="000000" w:themeColor="text1"/>
                <w:sz w:val="22"/>
                <w:szCs w:val="22"/>
              </w:rPr>
            </w:pPr>
            <w:r w:rsidRPr="00BF276B">
              <w:rPr>
                <w:rFonts w:eastAsia="Times New Roman" w:cs="Calibri"/>
                <w:b/>
                <w:color w:val="000000" w:themeColor="text1"/>
                <w:sz w:val="22"/>
                <w:szCs w:val="22"/>
              </w:rPr>
              <w:t>80.500</w:t>
            </w:r>
          </w:p>
        </w:tc>
        <w:tc>
          <w:tcPr>
            <w:tcW w:w="1157" w:type="dxa"/>
            <w:tcBorders>
              <w:top w:val="single" w:sz="18" w:space="0" w:color="auto"/>
              <w:left w:val="single" w:sz="18" w:space="0" w:color="auto"/>
              <w:bottom w:val="single" w:sz="18" w:space="0" w:color="auto"/>
              <w:right w:val="single" w:sz="18" w:space="0" w:color="auto"/>
            </w:tcBorders>
          </w:tcPr>
          <w:p w:rsidR="00DE5ADF" w:rsidRPr="00FB1768" w:rsidRDefault="006F07A9" w:rsidP="00DE5AD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0,00</w:t>
            </w:r>
          </w:p>
        </w:tc>
      </w:tr>
    </w:tbl>
    <w:p w:rsidR="00CF1F93" w:rsidRPr="00FB1768" w:rsidRDefault="00CF1F93" w:rsidP="006A3BC2">
      <w:pPr>
        <w:autoSpaceDE w:val="0"/>
        <w:autoSpaceDN w:val="0"/>
        <w:adjustRightInd w:val="0"/>
        <w:spacing w:before="120" w:after="0" w:line="240" w:lineRule="auto"/>
        <w:jc w:val="both"/>
        <w:rPr>
          <w:rFonts w:cs="Times New Roman"/>
          <w:b/>
          <w:color w:val="000000" w:themeColor="text1"/>
          <w:sz w:val="23"/>
          <w:szCs w:val="23"/>
        </w:rPr>
      </w:pPr>
    </w:p>
    <w:p w:rsidR="006A3BC2" w:rsidRDefault="006A3BC2" w:rsidP="006A3BC2">
      <w:pPr>
        <w:autoSpaceDE w:val="0"/>
        <w:autoSpaceDN w:val="0"/>
        <w:adjustRightInd w:val="0"/>
        <w:spacing w:before="120" w:after="0" w:line="240" w:lineRule="auto"/>
        <w:jc w:val="both"/>
        <w:rPr>
          <w:rFonts w:cs="Times New Roman"/>
          <w:b/>
          <w:color w:val="000000" w:themeColor="text1"/>
          <w:sz w:val="23"/>
          <w:szCs w:val="23"/>
        </w:rPr>
      </w:pPr>
      <w:r w:rsidRPr="00FB1768">
        <w:rPr>
          <w:rFonts w:cs="Times New Roman"/>
          <w:b/>
          <w:color w:val="000000" w:themeColor="text1"/>
          <w:sz w:val="23"/>
          <w:szCs w:val="23"/>
        </w:rPr>
        <w:t xml:space="preserve">b) </w:t>
      </w:r>
      <w:r w:rsidR="00C64803" w:rsidRPr="00FB1768">
        <w:rPr>
          <w:rFonts w:cs="Times New Roman"/>
          <w:b/>
          <w:color w:val="000000" w:themeColor="text1"/>
          <w:sz w:val="23"/>
          <w:szCs w:val="23"/>
        </w:rPr>
        <w:t>Subvencioniranje c</w:t>
      </w:r>
      <w:r w:rsidRPr="00FB1768">
        <w:rPr>
          <w:rFonts w:cs="Times New Roman"/>
          <w:b/>
          <w:color w:val="000000" w:themeColor="text1"/>
          <w:sz w:val="23"/>
          <w:szCs w:val="23"/>
        </w:rPr>
        <w:t>en</w:t>
      </w:r>
      <w:r w:rsidR="00C64803" w:rsidRPr="00FB1768">
        <w:rPr>
          <w:rFonts w:cs="Times New Roman"/>
          <w:b/>
          <w:color w:val="000000" w:themeColor="text1"/>
          <w:sz w:val="23"/>
          <w:szCs w:val="23"/>
        </w:rPr>
        <w:t>e</w:t>
      </w:r>
      <w:r w:rsidRPr="00FB1768">
        <w:rPr>
          <w:rFonts w:cs="Times New Roman"/>
          <w:b/>
          <w:color w:val="000000" w:themeColor="text1"/>
          <w:sz w:val="23"/>
          <w:szCs w:val="23"/>
        </w:rPr>
        <w:t xml:space="preserve"> omrežnine – komunalne in padavinske odpadne vode</w:t>
      </w:r>
    </w:p>
    <w:tbl>
      <w:tblPr>
        <w:tblStyle w:val="Tabelamrea"/>
        <w:tblW w:w="0" w:type="auto"/>
        <w:tblLook w:val="04A0" w:firstRow="1" w:lastRow="0" w:firstColumn="1" w:lastColumn="0" w:noHBand="0" w:noVBand="1"/>
      </w:tblPr>
      <w:tblGrid>
        <w:gridCol w:w="1424"/>
        <w:gridCol w:w="1153"/>
        <w:gridCol w:w="1202"/>
        <w:gridCol w:w="1845"/>
        <w:gridCol w:w="1664"/>
        <w:gridCol w:w="901"/>
        <w:gridCol w:w="1664"/>
      </w:tblGrid>
      <w:tr w:rsidR="007C453B" w:rsidRPr="004867BE" w:rsidTr="007C453B">
        <w:trPr>
          <w:trHeight w:val="300"/>
        </w:trPr>
        <w:tc>
          <w:tcPr>
            <w:tcW w:w="2620" w:type="dxa"/>
            <w:noWrap/>
            <w:hideMark/>
          </w:tcPr>
          <w:p w:rsidR="007C453B" w:rsidRPr="004867BE" w:rsidRDefault="007C453B" w:rsidP="007C453B">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DIMENZIJA  PRIKLJUČKA</w:t>
            </w:r>
          </w:p>
        </w:tc>
        <w:tc>
          <w:tcPr>
            <w:tcW w:w="2080" w:type="dxa"/>
            <w:noWrap/>
            <w:hideMark/>
          </w:tcPr>
          <w:p w:rsidR="007C453B" w:rsidRPr="004867BE" w:rsidRDefault="007C453B" w:rsidP="007C453B">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FAKTOR OMREŽNINE</w:t>
            </w:r>
          </w:p>
        </w:tc>
        <w:tc>
          <w:tcPr>
            <w:tcW w:w="2180" w:type="dxa"/>
            <w:noWrap/>
            <w:hideMark/>
          </w:tcPr>
          <w:p w:rsidR="007C453B" w:rsidRPr="004867BE" w:rsidRDefault="007C453B" w:rsidP="007C453B">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 SUBVENCIJE</w:t>
            </w:r>
          </w:p>
        </w:tc>
        <w:tc>
          <w:tcPr>
            <w:tcW w:w="3460" w:type="dxa"/>
            <w:noWrap/>
            <w:hideMark/>
          </w:tcPr>
          <w:p w:rsidR="007C453B" w:rsidRPr="004867BE" w:rsidRDefault="007C453B" w:rsidP="007C453B">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ZNESEK SUBVENCIJE BREZ DDV/MES</w:t>
            </w:r>
          </w:p>
        </w:tc>
        <w:tc>
          <w:tcPr>
            <w:tcW w:w="3100" w:type="dxa"/>
            <w:noWrap/>
            <w:hideMark/>
          </w:tcPr>
          <w:p w:rsidR="007C453B" w:rsidRPr="004867BE" w:rsidRDefault="007C453B" w:rsidP="007C453B">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ZNESEK SUBVENCIJE Z DDV/MES</w:t>
            </w:r>
          </w:p>
        </w:tc>
        <w:tc>
          <w:tcPr>
            <w:tcW w:w="1580" w:type="dxa"/>
            <w:noWrap/>
            <w:hideMark/>
          </w:tcPr>
          <w:p w:rsidR="007C453B" w:rsidRPr="004867BE" w:rsidRDefault="007C453B" w:rsidP="007C453B">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ŠTEV.PRIKLJ.</w:t>
            </w:r>
          </w:p>
        </w:tc>
        <w:tc>
          <w:tcPr>
            <w:tcW w:w="3100" w:type="dxa"/>
            <w:noWrap/>
            <w:hideMark/>
          </w:tcPr>
          <w:p w:rsidR="007C453B" w:rsidRPr="004867BE" w:rsidRDefault="007C453B" w:rsidP="007C453B">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SUBVENCIJA/LETO 2019 z DDV</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Priključek DN ≤ 20</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1,00</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59,57</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4,4620</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4,8859</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546</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32.012,15</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Priključek &lt;20  DN &lt; 40</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3,00</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59,57</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13,3859</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14,6576</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41</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7.211,53</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Priključek 40 ≤ DN &lt; 50</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10,00</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59,57</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44,6197</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48,8586</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7</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4.104,12</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Priključek 50 ≤ DN &lt; 65</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15,00</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59,57</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66,9296</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73,2879</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2</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1.758,91</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Priključek 65 ≤ DN &lt; 80</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30,00</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59,57</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133,8592</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146,5758</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0</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0,00</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 xml:space="preserve">Priključek </w:t>
            </w:r>
            <w:r w:rsidRPr="007C453B">
              <w:rPr>
                <w:rFonts w:cs="Times New Roman"/>
                <w:b/>
                <w:color w:val="000000" w:themeColor="text1"/>
                <w:sz w:val="23"/>
                <w:szCs w:val="23"/>
              </w:rPr>
              <w:lastRenderedPageBreak/>
              <w:t>80 ≤ DN &lt; 100</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lastRenderedPageBreak/>
              <w:t>50,00</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59,57</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223,0986</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244,2930</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0</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0,00</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Priključek 100 ≤ DN &lt; 150</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100,00</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59,57</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446,1972</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488,5859</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0</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0,00</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Priključek DN ≤ 150</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200,00</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59,57</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892,3943</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977,1718</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0</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0,00</w:t>
            </w:r>
          </w:p>
        </w:tc>
      </w:tr>
      <w:tr w:rsidR="007C453B" w:rsidRPr="007C453B" w:rsidTr="007C453B">
        <w:trPr>
          <w:trHeight w:val="300"/>
        </w:trPr>
        <w:tc>
          <w:tcPr>
            <w:tcW w:w="262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SKUPAJ</w:t>
            </w:r>
          </w:p>
        </w:tc>
        <w:tc>
          <w:tcPr>
            <w:tcW w:w="20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 </w:t>
            </w:r>
          </w:p>
        </w:tc>
        <w:tc>
          <w:tcPr>
            <w:tcW w:w="21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 </w:t>
            </w:r>
          </w:p>
        </w:tc>
        <w:tc>
          <w:tcPr>
            <w:tcW w:w="346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 </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 </w:t>
            </w:r>
          </w:p>
        </w:tc>
        <w:tc>
          <w:tcPr>
            <w:tcW w:w="158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596</w:t>
            </w:r>
          </w:p>
        </w:tc>
        <w:tc>
          <w:tcPr>
            <w:tcW w:w="3100" w:type="dxa"/>
            <w:noWrap/>
            <w:hideMark/>
          </w:tcPr>
          <w:p w:rsidR="007C453B" w:rsidRPr="007C453B" w:rsidRDefault="007C453B" w:rsidP="007C453B">
            <w:pPr>
              <w:autoSpaceDE w:val="0"/>
              <w:autoSpaceDN w:val="0"/>
              <w:adjustRightInd w:val="0"/>
              <w:spacing w:before="120"/>
              <w:jc w:val="both"/>
              <w:rPr>
                <w:rFonts w:cs="Times New Roman"/>
                <w:b/>
                <w:color w:val="000000" w:themeColor="text1"/>
                <w:sz w:val="23"/>
                <w:szCs w:val="23"/>
              </w:rPr>
            </w:pPr>
            <w:r w:rsidRPr="007C453B">
              <w:rPr>
                <w:rFonts w:cs="Times New Roman"/>
                <w:b/>
                <w:color w:val="000000" w:themeColor="text1"/>
                <w:sz w:val="23"/>
                <w:szCs w:val="23"/>
              </w:rPr>
              <w:t>45.086,71</w:t>
            </w:r>
          </w:p>
        </w:tc>
      </w:tr>
    </w:tbl>
    <w:p w:rsidR="007C453B" w:rsidRPr="00FB1768" w:rsidRDefault="007C453B" w:rsidP="006A3BC2">
      <w:pPr>
        <w:autoSpaceDE w:val="0"/>
        <w:autoSpaceDN w:val="0"/>
        <w:adjustRightInd w:val="0"/>
        <w:spacing w:before="120" w:after="0" w:line="240" w:lineRule="auto"/>
        <w:jc w:val="both"/>
        <w:rPr>
          <w:rFonts w:cs="Times New Roman"/>
          <w:b/>
          <w:color w:val="000000" w:themeColor="text1"/>
          <w:sz w:val="23"/>
          <w:szCs w:val="23"/>
        </w:rPr>
      </w:pPr>
    </w:p>
    <w:p w:rsidR="00517D9B" w:rsidRPr="00FB1768" w:rsidRDefault="00517D9B" w:rsidP="00517D9B">
      <w:pPr>
        <w:autoSpaceDE w:val="0"/>
        <w:autoSpaceDN w:val="0"/>
        <w:adjustRightInd w:val="0"/>
        <w:spacing w:before="120" w:after="0" w:line="240" w:lineRule="auto"/>
        <w:jc w:val="center"/>
        <w:rPr>
          <w:rFonts w:cs="Times New Roman"/>
          <w:color w:val="000000"/>
          <w:sz w:val="23"/>
          <w:szCs w:val="23"/>
        </w:rPr>
      </w:pPr>
      <w:r w:rsidRPr="00FB1768">
        <w:rPr>
          <w:rFonts w:cs="Times New Roman"/>
          <w:color w:val="000000"/>
          <w:sz w:val="23"/>
          <w:szCs w:val="23"/>
        </w:rPr>
        <w:t>II.</w:t>
      </w:r>
    </w:p>
    <w:p w:rsidR="00517D9B" w:rsidRPr="00FB1768" w:rsidRDefault="00517D9B" w:rsidP="00517D9B">
      <w:pPr>
        <w:autoSpaceDE w:val="0"/>
        <w:autoSpaceDN w:val="0"/>
        <w:adjustRightInd w:val="0"/>
        <w:spacing w:after="0" w:line="240" w:lineRule="auto"/>
        <w:rPr>
          <w:rFonts w:cs="Times New Roman"/>
          <w:color w:val="000000" w:themeColor="text1"/>
          <w:sz w:val="23"/>
          <w:szCs w:val="23"/>
        </w:rPr>
      </w:pPr>
      <w:r w:rsidRPr="00FB1768">
        <w:rPr>
          <w:rFonts w:cs="Times New Roman"/>
          <w:color w:val="000000" w:themeColor="text1"/>
          <w:sz w:val="23"/>
          <w:szCs w:val="23"/>
        </w:rPr>
        <w:t xml:space="preserve">Čas veljavnosti tega sklepa je od </w:t>
      </w:r>
      <w:r w:rsidRPr="00FB1768">
        <w:rPr>
          <w:rFonts w:cs="Times New Roman"/>
          <w:b/>
          <w:color w:val="000000" w:themeColor="text1"/>
          <w:sz w:val="23"/>
          <w:szCs w:val="23"/>
        </w:rPr>
        <w:t>01.0</w:t>
      </w:r>
      <w:r w:rsidR="00907177" w:rsidRPr="00FB1768">
        <w:rPr>
          <w:rFonts w:cs="Times New Roman"/>
          <w:b/>
          <w:color w:val="000000" w:themeColor="text1"/>
          <w:sz w:val="23"/>
          <w:szCs w:val="23"/>
        </w:rPr>
        <w:t>1</w:t>
      </w:r>
      <w:r w:rsidRPr="00FB1768">
        <w:rPr>
          <w:rFonts w:cs="Times New Roman"/>
          <w:b/>
          <w:color w:val="000000" w:themeColor="text1"/>
          <w:sz w:val="23"/>
          <w:szCs w:val="23"/>
        </w:rPr>
        <w:t>.201</w:t>
      </w:r>
      <w:r w:rsidR="007C453B">
        <w:rPr>
          <w:rFonts w:cs="Times New Roman"/>
          <w:b/>
          <w:color w:val="000000" w:themeColor="text1"/>
          <w:sz w:val="23"/>
          <w:szCs w:val="23"/>
        </w:rPr>
        <w:t>9</w:t>
      </w:r>
      <w:r w:rsidRPr="00FB1768">
        <w:rPr>
          <w:rFonts w:cs="Times New Roman"/>
          <w:b/>
          <w:color w:val="000000" w:themeColor="text1"/>
          <w:sz w:val="23"/>
          <w:szCs w:val="23"/>
        </w:rPr>
        <w:t xml:space="preserve"> do 31.12.201</w:t>
      </w:r>
      <w:r w:rsidR="007C453B">
        <w:rPr>
          <w:rFonts w:cs="Times New Roman"/>
          <w:b/>
          <w:color w:val="000000" w:themeColor="text1"/>
          <w:sz w:val="23"/>
          <w:szCs w:val="23"/>
        </w:rPr>
        <w:t>9</w:t>
      </w:r>
      <w:r w:rsidRPr="00FB1768">
        <w:rPr>
          <w:rFonts w:cs="Times New Roman"/>
          <w:color w:val="000000" w:themeColor="text1"/>
          <w:sz w:val="23"/>
          <w:szCs w:val="23"/>
        </w:rPr>
        <w:t>.</w:t>
      </w:r>
    </w:p>
    <w:p w:rsidR="00901A8D" w:rsidRPr="00FB1768" w:rsidRDefault="00901A8D" w:rsidP="002F45EF">
      <w:pPr>
        <w:autoSpaceDE w:val="0"/>
        <w:autoSpaceDN w:val="0"/>
        <w:adjustRightInd w:val="0"/>
        <w:spacing w:before="120" w:after="0" w:line="240" w:lineRule="auto"/>
        <w:jc w:val="center"/>
        <w:rPr>
          <w:rFonts w:cs="Times New Roman"/>
          <w:color w:val="000000"/>
          <w:sz w:val="23"/>
          <w:szCs w:val="23"/>
        </w:rPr>
      </w:pPr>
      <w:r w:rsidRPr="00FB1768">
        <w:rPr>
          <w:rFonts w:cs="Times New Roman"/>
          <w:color w:val="000000"/>
          <w:sz w:val="23"/>
          <w:szCs w:val="23"/>
        </w:rPr>
        <w:t>I</w:t>
      </w:r>
      <w:r w:rsidR="00C11CFB" w:rsidRPr="00FB1768">
        <w:rPr>
          <w:rFonts w:cs="Times New Roman"/>
          <w:color w:val="000000"/>
          <w:sz w:val="23"/>
          <w:szCs w:val="23"/>
        </w:rPr>
        <w:t>I</w:t>
      </w:r>
      <w:r w:rsidRPr="00FB1768">
        <w:rPr>
          <w:rFonts w:cs="Times New Roman"/>
          <w:color w:val="000000"/>
          <w:sz w:val="23"/>
          <w:szCs w:val="23"/>
        </w:rPr>
        <w:t>I.</w:t>
      </w:r>
    </w:p>
    <w:p w:rsidR="00563A64" w:rsidRPr="00FB1768" w:rsidRDefault="00563A64" w:rsidP="00563A64">
      <w:pPr>
        <w:autoSpaceDE w:val="0"/>
        <w:autoSpaceDN w:val="0"/>
        <w:adjustRightInd w:val="0"/>
        <w:spacing w:after="0" w:line="240" w:lineRule="auto"/>
        <w:jc w:val="both"/>
        <w:rPr>
          <w:rFonts w:cs="Times New Roman"/>
          <w:color w:val="000000"/>
          <w:sz w:val="23"/>
          <w:szCs w:val="23"/>
        </w:rPr>
      </w:pPr>
      <w:r w:rsidRPr="00FB1768">
        <w:rPr>
          <w:rFonts w:cs="Times New Roman"/>
          <w:color w:val="000000"/>
          <w:sz w:val="23"/>
          <w:szCs w:val="23"/>
        </w:rPr>
        <w:t>Občina Lovrenc na Pohorju bo storitve obvezne lokalne gospodarske javne službe ODVAJANJA komunalne in padavinske odpadne vode ter pripadajoče OMREŽNINE za uporabo javnih infrastrukturnih objektov in naprav v Občini Lovrenc na Pohorju v letu 201</w:t>
      </w:r>
      <w:r w:rsidR="00235E9E">
        <w:rPr>
          <w:rFonts w:cs="Times New Roman"/>
          <w:color w:val="000000"/>
          <w:sz w:val="23"/>
          <w:szCs w:val="23"/>
        </w:rPr>
        <w:t>9</w:t>
      </w:r>
      <w:r w:rsidRPr="00FB1768">
        <w:rPr>
          <w:rFonts w:cs="Times New Roman"/>
          <w:color w:val="000000"/>
          <w:sz w:val="23"/>
          <w:szCs w:val="23"/>
        </w:rPr>
        <w:t xml:space="preserve"> subvencionirala le za gospodinjstva oziroma druge povzročitelje </w:t>
      </w:r>
      <w:r w:rsidR="007153B6" w:rsidRPr="00FB1768">
        <w:rPr>
          <w:rFonts w:cs="Times New Roman"/>
          <w:color w:val="000000"/>
          <w:sz w:val="23"/>
          <w:szCs w:val="23"/>
        </w:rPr>
        <w:t>komunalne odpadne vode,</w:t>
      </w:r>
      <w:r w:rsidRPr="00FB1768">
        <w:rPr>
          <w:rFonts w:cs="Times New Roman"/>
          <w:color w:val="000000"/>
          <w:sz w:val="23"/>
          <w:szCs w:val="23"/>
        </w:rPr>
        <w:t xml:space="preserve"> ki ne opravljajo pridobitne dejavnosti.</w:t>
      </w:r>
    </w:p>
    <w:p w:rsidR="00563A64" w:rsidRPr="00FB1768" w:rsidRDefault="00563A64" w:rsidP="00563A64">
      <w:pPr>
        <w:autoSpaceDE w:val="0"/>
        <w:autoSpaceDN w:val="0"/>
        <w:adjustRightInd w:val="0"/>
        <w:spacing w:before="120" w:after="0" w:line="240" w:lineRule="auto"/>
        <w:jc w:val="center"/>
        <w:rPr>
          <w:rFonts w:cs="Times New Roman"/>
          <w:color w:val="000000" w:themeColor="text1"/>
          <w:sz w:val="23"/>
          <w:szCs w:val="23"/>
        </w:rPr>
      </w:pPr>
      <w:r w:rsidRPr="00FB1768">
        <w:rPr>
          <w:rFonts w:cs="Times New Roman"/>
          <w:color w:val="000000" w:themeColor="text1"/>
          <w:sz w:val="23"/>
          <w:szCs w:val="23"/>
        </w:rPr>
        <w:t>IV.</w:t>
      </w:r>
    </w:p>
    <w:p w:rsidR="00563A64" w:rsidRPr="00FB1768" w:rsidRDefault="00563A64" w:rsidP="00563A64">
      <w:pPr>
        <w:autoSpaceDE w:val="0"/>
        <w:autoSpaceDN w:val="0"/>
        <w:adjustRightInd w:val="0"/>
        <w:spacing w:after="0" w:line="240" w:lineRule="auto"/>
        <w:jc w:val="both"/>
        <w:rPr>
          <w:rFonts w:cs="Times New Roman"/>
          <w:color w:val="000000" w:themeColor="text1"/>
          <w:sz w:val="23"/>
          <w:szCs w:val="23"/>
        </w:rPr>
      </w:pPr>
      <w:r w:rsidRPr="00FB1768">
        <w:rPr>
          <w:rFonts w:cs="Times New Roman"/>
          <w:color w:val="000000" w:themeColor="text1"/>
          <w:sz w:val="23"/>
          <w:szCs w:val="23"/>
        </w:rPr>
        <w:t>Sredstva subvencije se zagotovijo v proračunu Občine Lovrenc na Pohorju.</w:t>
      </w:r>
    </w:p>
    <w:p w:rsidR="00563A64" w:rsidRPr="00FB1768" w:rsidRDefault="00563A64" w:rsidP="00563A64">
      <w:pPr>
        <w:autoSpaceDE w:val="0"/>
        <w:autoSpaceDN w:val="0"/>
        <w:adjustRightInd w:val="0"/>
        <w:spacing w:before="120" w:after="0" w:line="240" w:lineRule="auto"/>
        <w:jc w:val="center"/>
        <w:rPr>
          <w:rFonts w:cs="Times New Roman"/>
          <w:color w:val="000000" w:themeColor="text1"/>
          <w:sz w:val="23"/>
          <w:szCs w:val="23"/>
        </w:rPr>
      </w:pPr>
      <w:r w:rsidRPr="00FB1768">
        <w:rPr>
          <w:rFonts w:cs="Times New Roman"/>
          <w:color w:val="000000" w:themeColor="text1"/>
          <w:sz w:val="23"/>
          <w:szCs w:val="23"/>
        </w:rPr>
        <w:t>V.</w:t>
      </w:r>
    </w:p>
    <w:p w:rsidR="00563A64" w:rsidRPr="00FB1768" w:rsidRDefault="00563A64" w:rsidP="00563A64">
      <w:pPr>
        <w:autoSpaceDE w:val="0"/>
        <w:autoSpaceDN w:val="0"/>
        <w:adjustRightInd w:val="0"/>
        <w:spacing w:after="0" w:line="240" w:lineRule="auto"/>
        <w:jc w:val="both"/>
        <w:rPr>
          <w:rFonts w:cs="Times New Roman"/>
          <w:color w:val="000000" w:themeColor="text1"/>
          <w:sz w:val="23"/>
          <w:szCs w:val="23"/>
        </w:rPr>
      </w:pPr>
      <w:r w:rsidRPr="00FB1768">
        <w:rPr>
          <w:rFonts w:cs="Times New Roman"/>
          <w:color w:val="000000" w:themeColor="text1"/>
          <w:sz w:val="23"/>
          <w:szCs w:val="23"/>
        </w:rPr>
        <w:t xml:space="preserve">Sredstva subvencije se mesečno nakazujejo iz proračuna Občine Lovrenc na Pohorju, Režijskemu obratu Občine Lovrenc na Pohorju, Spodnji trg 8, 2344 Lovrenc na Pohorju, kot izvajalcu obvezne lokalne gospodarske javne službe </w:t>
      </w:r>
      <w:r w:rsidRPr="00FB1768">
        <w:rPr>
          <w:rFonts w:cs="Times New Roman"/>
          <w:color w:val="000000"/>
          <w:sz w:val="23"/>
          <w:szCs w:val="23"/>
        </w:rPr>
        <w:t xml:space="preserve">odvajanja komunalne in padavinske odpadne vode </w:t>
      </w:r>
      <w:r w:rsidRPr="00FB1768">
        <w:rPr>
          <w:rFonts w:cs="Times New Roman"/>
          <w:color w:val="000000" w:themeColor="text1"/>
          <w:sz w:val="23"/>
          <w:szCs w:val="23"/>
        </w:rPr>
        <w:t>na območju Občine Lovrenc na Pohorju, na podlagi mesečnega zahtevka Režijskega obrata Občine Lovrenc na Pohorju za znesek subvencije in odredbe župana.</w:t>
      </w:r>
    </w:p>
    <w:p w:rsidR="00563A64" w:rsidRPr="00FB1768" w:rsidRDefault="00563A64" w:rsidP="00563A64">
      <w:pPr>
        <w:autoSpaceDE w:val="0"/>
        <w:autoSpaceDN w:val="0"/>
        <w:adjustRightInd w:val="0"/>
        <w:spacing w:before="120" w:after="0" w:line="240" w:lineRule="auto"/>
        <w:jc w:val="center"/>
        <w:rPr>
          <w:rFonts w:cs="Times New Roman"/>
          <w:color w:val="000000" w:themeColor="text1"/>
          <w:sz w:val="23"/>
          <w:szCs w:val="23"/>
        </w:rPr>
      </w:pPr>
      <w:r w:rsidRPr="00FB1768">
        <w:rPr>
          <w:rFonts w:cs="Times New Roman"/>
          <w:color w:val="000000" w:themeColor="text1"/>
          <w:sz w:val="23"/>
          <w:szCs w:val="23"/>
        </w:rPr>
        <w:t>VI.</w:t>
      </w:r>
    </w:p>
    <w:p w:rsidR="00563A64" w:rsidRPr="00FB1768" w:rsidRDefault="00563A64" w:rsidP="00563A64">
      <w:pPr>
        <w:autoSpaceDE w:val="0"/>
        <w:autoSpaceDN w:val="0"/>
        <w:adjustRightInd w:val="0"/>
        <w:spacing w:after="0" w:line="240" w:lineRule="auto"/>
        <w:rPr>
          <w:rFonts w:cs="Times New Roman"/>
          <w:color w:val="000000" w:themeColor="text1"/>
          <w:sz w:val="23"/>
          <w:szCs w:val="23"/>
        </w:rPr>
      </w:pPr>
      <w:r w:rsidRPr="00FB1768">
        <w:rPr>
          <w:rFonts w:cs="Times New Roman"/>
          <w:color w:val="000000" w:themeColor="text1"/>
          <w:sz w:val="23"/>
          <w:szCs w:val="23"/>
        </w:rPr>
        <w:t xml:space="preserve">Ta sklep prične veljati naslednji dan po objavi v Uradnem glasilu slovenskih občin, uporablja pa se od </w:t>
      </w:r>
      <w:r w:rsidRPr="00FB1768">
        <w:rPr>
          <w:rFonts w:cs="Times New Roman"/>
          <w:b/>
          <w:color w:val="000000" w:themeColor="text1"/>
          <w:sz w:val="23"/>
          <w:szCs w:val="23"/>
        </w:rPr>
        <w:t>01. 0</w:t>
      </w:r>
      <w:r w:rsidR="00907177" w:rsidRPr="00FB1768">
        <w:rPr>
          <w:rFonts w:cs="Times New Roman"/>
          <w:b/>
          <w:color w:val="000000" w:themeColor="text1"/>
          <w:sz w:val="23"/>
          <w:szCs w:val="23"/>
        </w:rPr>
        <w:t>1</w:t>
      </w:r>
      <w:r w:rsidRPr="00FB1768">
        <w:rPr>
          <w:rFonts w:cs="Times New Roman"/>
          <w:b/>
          <w:color w:val="000000" w:themeColor="text1"/>
          <w:sz w:val="23"/>
          <w:szCs w:val="23"/>
        </w:rPr>
        <w:t>. 201</w:t>
      </w:r>
      <w:r w:rsidR="00293FF9">
        <w:rPr>
          <w:rFonts w:cs="Times New Roman"/>
          <w:b/>
          <w:color w:val="000000" w:themeColor="text1"/>
          <w:sz w:val="23"/>
          <w:szCs w:val="23"/>
        </w:rPr>
        <w:t>9</w:t>
      </w:r>
      <w:r w:rsidRPr="00FB1768">
        <w:rPr>
          <w:rFonts w:cs="Times New Roman"/>
          <w:color w:val="000000" w:themeColor="text1"/>
          <w:sz w:val="23"/>
          <w:szCs w:val="23"/>
        </w:rPr>
        <w:t xml:space="preserve"> naprej. </w:t>
      </w:r>
    </w:p>
    <w:p w:rsidR="00563A64" w:rsidRPr="00FB1768" w:rsidRDefault="00563A64" w:rsidP="00700C98">
      <w:pPr>
        <w:autoSpaceDE w:val="0"/>
        <w:autoSpaceDN w:val="0"/>
        <w:adjustRightInd w:val="0"/>
        <w:spacing w:after="0" w:line="240" w:lineRule="auto"/>
        <w:jc w:val="both"/>
        <w:rPr>
          <w:rFonts w:cs="Times New Roman"/>
          <w:color w:val="000000"/>
          <w:sz w:val="23"/>
          <w:szCs w:val="23"/>
        </w:rPr>
      </w:pPr>
    </w:p>
    <w:p w:rsidR="00020DB4" w:rsidRPr="00FB1768" w:rsidRDefault="00020DB4" w:rsidP="00020DB4">
      <w:pPr>
        <w:autoSpaceDE w:val="0"/>
        <w:autoSpaceDN w:val="0"/>
        <w:adjustRightInd w:val="0"/>
        <w:spacing w:before="120" w:after="0" w:line="240" w:lineRule="auto"/>
        <w:rPr>
          <w:rFonts w:cs="Times New Roman"/>
          <w:color w:val="000000" w:themeColor="text1"/>
          <w:sz w:val="23"/>
          <w:szCs w:val="23"/>
        </w:rPr>
      </w:pPr>
      <w:r w:rsidRPr="00FB1768">
        <w:rPr>
          <w:rFonts w:cs="Times New Roman"/>
          <w:color w:val="000000" w:themeColor="text1"/>
          <w:sz w:val="23"/>
          <w:szCs w:val="23"/>
        </w:rPr>
        <w:t xml:space="preserve">Številka: </w:t>
      </w:r>
    </w:p>
    <w:p w:rsidR="00020DB4" w:rsidRPr="00FB1768" w:rsidRDefault="00020DB4" w:rsidP="00020DB4">
      <w:pPr>
        <w:autoSpaceDE w:val="0"/>
        <w:autoSpaceDN w:val="0"/>
        <w:adjustRightInd w:val="0"/>
        <w:spacing w:before="60" w:after="60" w:line="240" w:lineRule="auto"/>
        <w:rPr>
          <w:rFonts w:cs="Times New Roman"/>
          <w:color w:val="000000" w:themeColor="text1"/>
          <w:sz w:val="23"/>
          <w:szCs w:val="23"/>
        </w:rPr>
      </w:pPr>
      <w:r w:rsidRPr="00FB1768">
        <w:rPr>
          <w:rFonts w:cs="Times New Roman"/>
          <w:color w:val="000000" w:themeColor="text1"/>
          <w:sz w:val="23"/>
          <w:szCs w:val="23"/>
        </w:rPr>
        <w:t>V Lovrenc na Pohorju, dne:</w:t>
      </w:r>
      <w:r w:rsidR="00C71A7E" w:rsidRPr="00FB1768">
        <w:rPr>
          <w:rFonts w:cs="Times New Roman"/>
          <w:color w:val="000000" w:themeColor="text1"/>
          <w:sz w:val="23"/>
          <w:szCs w:val="23"/>
        </w:rPr>
        <w:t xml:space="preserve"> </w:t>
      </w:r>
      <w:r w:rsidR="00293FF9" w:rsidRPr="00293FF9">
        <w:rPr>
          <w:rFonts w:cs="Times New Roman"/>
          <w:color w:val="000000" w:themeColor="text1"/>
          <w:sz w:val="23"/>
          <w:szCs w:val="23"/>
        </w:rPr>
        <w:t>18.12.2018</w:t>
      </w:r>
    </w:p>
    <w:p w:rsidR="00020DB4" w:rsidRPr="00FB1768" w:rsidRDefault="00020DB4" w:rsidP="00020DB4">
      <w:pPr>
        <w:autoSpaceDE w:val="0"/>
        <w:autoSpaceDN w:val="0"/>
        <w:adjustRightInd w:val="0"/>
        <w:spacing w:before="60" w:after="60" w:line="240" w:lineRule="auto"/>
        <w:rPr>
          <w:rFonts w:cs="Times New Roman"/>
          <w:color w:val="000000" w:themeColor="text1"/>
          <w:sz w:val="23"/>
          <w:szCs w:val="23"/>
        </w:rPr>
      </w:pPr>
    </w:p>
    <w:p w:rsidR="00020DB4" w:rsidRPr="00FB1768" w:rsidRDefault="00020DB4" w:rsidP="00020DB4">
      <w:pPr>
        <w:autoSpaceDE w:val="0"/>
        <w:autoSpaceDN w:val="0"/>
        <w:adjustRightInd w:val="0"/>
        <w:spacing w:after="0" w:line="240" w:lineRule="auto"/>
        <w:jc w:val="center"/>
        <w:rPr>
          <w:rFonts w:cs="Times New Roman"/>
          <w:b/>
          <w:color w:val="000000" w:themeColor="text1"/>
          <w:sz w:val="23"/>
          <w:szCs w:val="23"/>
        </w:rPr>
      </w:pPr>
    </w:p>
    <w:p w:rsidR="00020DB4" w:rsidRPr="00FB1768" w:rsidRDefault="00020DB4" w:rsidP="00020DB4">
      <w:pPr>
        <w:autoSpaceDE w:val="0"/>
        <w:autoSpaceDN w:val="0"/>
        <w:adjustRightInd w:val="0"/>
        <w:spacing w:after="0" w:line="240" w:lineRule="auto"/>
        <w:jc w:val="center"/>
        <w:rPr>
          <w:rFonts w:cs="Times New Roman"/>
          <w:b/>
          <w:color w:val="000000" w:themeColor="text1"/>
          <w:sz w:val="23"/>
          <w:szCs w:val="23"/>
        </w:rPr>
      </w:pPr>
      <w:r w:rsidRPr="00FB1768">
        <w:rPr>
          <w:rFonts w:cs="Times New Roman"/>
          <w:b/>
          <w:color w:val="000000" w:themeColor="text1"/>
          <w:sz w:val="23"/>
          <w:szCs w:val="23"/>
        </w:rPr>
        <w:t>Občina Lovrenc na Pohorju</w:t>
      </w:r>
    </w:p>
    <w:p w:rsidR="00020DB4" w:rsidRPr="00FB1768" w:rsidRDefault="00020DB4" w:rsidP="00020DB4">
      <w:pPr>
        <w:autoSpaceDE w:val="0"/>
        <w:autoSpaceDN w:val="0"/>
        <w:adjustRightInd w:val="0"/>
        <w:spacing w:after="0" w:line="240" w:lineRule="auto"/>
        <w:jc w:val="center"/>
        <w:rPr>
          <w:rFonts w:cs="Times New Roman"/>
          <w:b/>
          <w:color w:val="000000" w:themeColor="text1"/>
          <w:sz w:val="23"/>
          <w:szCs w:val="23"/>
        </w:rPr>
      </w:pPr>
      <w:r w:rsidRPr="00FB1768">
        <w:rPr>
          <w:rFonts w:cs="Times New Roman"/>
          <w:b/>
          <w:color w:val="000000" w:themeColor="text1"/>
          <w:sz w:val="23"/>
          <w:szCs w:val="23"/>
        </w:rPr>
        <w:t>Župan</w:t>
      </w:r>
    </w:p>
    <w:p w:rsidR="00020DB4" w:rsidRPr="00FB1768" w:rsidRDefault="00AD1E04" w:rsidP="00020DB4">
      <w:pPr>
        <w:autoSpaceDE w:val="0"/>
        <w:autoSpaceDN w:val="0"/>
        <w:adjustRightInd w:val="0"/>
        <w:spacing w:after="0" w:line="240" w:lineRule="auto"/>
        <w:jc w:val="center"/>
        <w:rPr>
          <w:rFonts w:cs="Times New Roman"/>
          <w:b/>
          <w:color w:val="000000" w:themeColor="text1"/>
          <w:sz w:val="23"/>
          <w:szCs w:val="23"/>
        </w:rPr>
      </w:pPr>
      <w:r>
        <w:rPr>
          <w:rFonts w:cs="Times New Roman"/>
          <w:b/>
          <w:color w:val="000000" w:themeColor="text1"/>
          <w:sz w:val="23"/>
          <w:szCs w:val="23"/>
        </w:rPr>
        <w:t>Marko RAKOVNIK, prof.</w:t>
      </w:r>
    </w:p>
    <w:p w:rsidR="00020DB4" w:rsidRPr="00FB1768" w:rsidRDefault="00020DB4" w:rsidP="00020DB4">
      <w:pPr>
        <w:rPr>
          <w:color w:val="000000" w:themeColor="text1"/>
        </w:rPr>
      </w:pPr>
    </w:p>
    <w:p w:rsidR="00020DB4" w:rsidRPr="00FB1768" w:rsidRDefault="00020DB4" w:rsidP="00BB18C5">
      <w:pPr>
        <w:autoSpaceDE w:val="0"/>
        <w:autoSpaceDN w:val="0"/>
        <w:adjustRightInd w:val="0"/>
        <w:spacing w:before="120" w:after="0" w:line="240" w:lineRule="auto"/>
        <w:rPr>
          <w:rFonts w:cs="Times New Roman"/>
          <w:color w:val="000000"/>
          <w:sz w:val="23"/>
          <w:szCs w:val="23"/>
        </w:rPr>
      </w:pPr>
    </w:p>
    <w:p w:rsidR="00020DB4" w:rsidRPr="00FB1768" w:rsidRDefault="00020DB4" w:rsidP="00BB18C5">
      <w:pPr>
        <w:autoSpaceDE w:val="0"/>
        <w:autoSpaceDN w:val="0"/>
        <w:adjustRightInd w:val="0"/>
        <w:spacing w:before="120" w:after="0" w:line="240" w:lineRule="auto"/>
        <w:rPr>
          <w:rFonts w:cs="Times New Roman"/>
          <w:color w:val="000000"/>
          <w:sz w:val="23"/>
          <w:szCs w:val="23"/>
        </w:rPr>
      </w:pPr>
    </w:p>
    <w:p w:rsidR="00901A8D" w:rsidRDefault="00901A8D" w:rsidP="00875057">
      <w:pPr>
        <w:pStyle w:val="Default"/>
        <w:spacing w:after="240"/>
        <w:jc w:val="center"/>
        <w:rPr>
          <w:rFonts w:asciiTheme="majorHAnsi" w:hAnsiTheme="majorHAnsi"/>
          <w:b/>
          <w:bCs/>
          <w:sz w:val="23"/>
          <w:szCs w:val="23"/>
        </w:rPr>
      </w:pPr>
      <w:r w:rsidRPr="00FB1768">
        <w:rPr>
          <w:rFonts w:asciiTheme="majorHAnsi" w:hAnsiTheme="majorHAnsi"/>
          <w:b/>
          <w:bCs/>
          <w:sz w:val="23"/>
          <w:szCs w:val="23"/>
        </w:rPr>
        <w:t>O</w:t>
      </w:r>
      <w:r w:rsidR="004A4A6A" w:rsidRPr="00FB1768">
        <w:rPr>
          <w:rFonts w:asciiTheme="majorHAnsi" w:hAnsiTheme="majorHAnsi"/>
          <w:b/>
          <w:bCs/>
          <w:sz w:val="23"/>
          <w:szCs w:val="23"/>
        </w:rPr>
        <w:t xml:space="preserve"> </w:t>
      </w:r>
      <w:r w:rsidRPr="00FB1768">
        <w:rPr>
          <w:rFonts w:asciiTheme="majorHAnsi" w:hAnsiTheme="majorHAnsi"/>
          <w:b/>
          <w:bCs/>
          <w:sz w:val="23"/>
          <w:szCs w:val="23"/>
        </w:rPr>
        <w:t>b</w:t>
      </w:r>
      <w:r w:rsidR="004A4A6A" w:rsidRPr="00FB1768">
        <w:rPr>
          <w:rFonts w:asciiTheme="majorHAnsi" w:hAnsiTheme="majorHAnsi"/>
          <w:b/>
          <w:bCs/>
          <w:sz w:val="23"/>
          <w:szCs w:val="23"/>
        </w:rPr>
        <w:t xml:space="preserve"> </w:t>
      </w:r>
      <w:r w:rsidRPr="00FB1768">
        <w:rPr>
          <w:rFonts w:asciiTheme="majorHAnsi" w:hAnsiTheme="majorHAnsi"/>
          <w:b/>
          <w:bCs/>
          <w:sz w:val="23"/>
          <w:szCs w:val="23"/>
        </w:rPr>
        <w:t>r</w:t>
      </w:r>
      <w:r w:rsidR="004A4A6A" w:rsidRPr="00FB1768">
        <w:rPr>
          <w:rFonts w:asciiTheme="majorHAnsi" w:hAnsiTheme="majorHAnsi"/>
          <w:b/>
          <w:bCs/>
          <w:sz w:val="23"/>
          <w:szCs w:val="23"/>
        </w:rPr>
        <w:t xml:space="preserve"> </w:t>
      </w:r>
      <w:r w:rsidRPr="00FB1768">
        <w:rPr>
          <w:rFonts w:asciiTheme="majorHAnsi" w:hAnsiTheme="majorHAnsi"/>
          <w:b/>
          <w:bCs/>
          <w:sz w:val="23"/>
          <w:szCs w:val="23"/>
        </w:rPr>
        <w:t>a</w:t>
      </w:r>
      <w:r w:rsidR="004A4A6A" w:rsidRPr="00FB1768">
        <w:rPr>
          <w:rFonts w:asciiTheme="majorHAnsi" w:hAnsiTheme="majorHAnsi"/>
          <w:b/>
          <w:bCs/>
          <w:sz w:val="23"/>
          <w:szCs w:val="23"/>
        </w:rPr>
        <w:t xml:space="preserve"> </w:t>
      </w:r>
      <w:r w:rsidRPr="00FB1768">
        <w:rPr>
          <w:rFonts w:asciiTheme="majorHAnsi" w:hAnsiTheme="majorHAnsi"/>
          <w:b/>
          <w:bCs/>
          <w:sz w:val="23"/>
          <w:szCs w:val="23"/>
        </w:rPr>
        <w:t>z</w:t>
      </w:r>
      <w:r w:rsidR="004A4A6A" w:rsidRPr="00FB1768">
        <w:rPr>
          <w:rFonts w:asciiTheme="majorHAnsi" w:hAnsiTheme="majorHAnsi"/>
          <w:b/>
          <w:bCs/>
          <w:sz w:val="23"/>
          <w:szCs w:val="23"/>
        </w:rPr>
        <w:t xml:space="preserve"> </w:t>
      </w:r>
      <w:r w:rsidRPr="00FB1768">
        <w:rPr>
          <w:rFonts w:asciiTheme="majorHAnsi" w:hAnsiTheme="majorHAnsi"/>
          <w:b/>
          <w:bCs/>
          <w:sz w:val="23"/>
          <w:szCs w:val="23"/>
        </w:rPr>
        <w:t>l</w:t>
      </w:r>
      <w:r w:rsidR="004A4A6A" w:rsidRPr="00FB1768">
        <w:rPr>
          <w:rFonts w:asciiTheme="majorHAnsi" w:hAnsiTheme="majorHAnsi"/>
          <w:b/>
          <w:bCs/>
          <w:sz w:val="23"/>
          <w:szCs w:val="23"/>
        </w:rPr>
        <w:t xml:space="preserve"> </w:t>
      </w:r>
      <w:r w:rsidRPr="00FB1768">
        <w:rPr>
          <w:rFonts w:asciiTheme="majorHAnsi" w:hAnsiTheme="majorHAnsi"/>
          <w:b/>
          <w:bCs/>
          <w:sz w:val="23"/>
          <w:szCs w:val="23"/>
        </w:rPr>
        <w:t>o</w:t>
      </w:r>
      <w:r w:rsidR="004A4A6A" w:rsidRPr="00FB1768">
        <w:rPr>
          <w:rFonts w:asciiTheme="majorHAnsi" w:hAnsiTheme="majorHAnsi"/>
          <w:b/>
          <w:bCs/>
          <w:sz w:val="23"/>
          <w:szCs w:val="23"/>
        </w:rPr>
        <w:t xml:space="preserve"> </w:t>
      </w:r>
      <w:r w:rsidRPr="00FB1768">
        <w:rPr>
          <w:rFonts w:asciiTheme="majorHAnsi" w:hAnsiTheme="majorHAnsi"/>
          <w:b/>
          <w:bCs/>
          <w:sz w:val="23"/>
          <w:szCs w:val="23"/>
        </w:rPr>
        <w:t>ž</w:t>
      </w:r>
      <w:r w:rsidR="004A4A6A" w:rsidRPr="00FB1768">
        <w:rPr>
          <w:rFonts w:asciiTheme="majorHAnsi" w:hAnsiTheme="majorHAnsi"/>
          <w:b/>
          <w:bCs/>
          <w:sz w:val="23"/>
          <w:szCs w:val="23"/>
        </w:rPr>
        <w:t xml:space="preserve"> </w:t>
      </w:r>
      <w:r w:rsidRPr="00FB1768">
        <w:rPr>
          <w:rFonts w:asciiTheme="majorHAnsi" w:hAnsiTheme="majorHAnsi"/>
          <w:b/>
          <w:bCs/>
          <w:sz w:val="23"/>
          <w:szCs w:val="23"/>
        </w:rPr>
        <w:t>i</w:t>
      </w:r>
      <w:r w:rsidR="004A4A6A" w:rsidRPr="00FB1768">
        <w:rPr>
          <w:rFonts w:asciiTheme="majorHAnsi" w:hAnsiTheme="majorHAnsi"/>
          <w:b/>
          <w:bCs/>
          <w:sz w:val="23"/>
          <w:szCs w:val="23"/>
        </w:rPr>
        <w:t xml:space="preserve"> </w:t>
      </w:r>
      <w:r w:rsidRPr="00FB1768">
        <w:rPr>
          <w:rFonts w:asciiTheme="majorHAnsi" w:hAnsiTheme="majorHAnsi"/>
          <w:b/>
          <w:bCs/>
          <w:sz w:val="23"/>
          <w:szCs w:val="23"/>
        </w:rPr>
        <w:t>t</w:t>
      </w:r>
      <w:r w:rsidR="004A4A6A" w:rsidRPr="00FB1768">
        <w:rPr>
          <w:rFonts w:asciiTheme="majorHAnsi" w:hAnsiTheme="majorHAnsi"/>
          <w:b/>
          <w:bCs/>
          <w:sz w:val="23"/>
          <w:szCs w:val="23"/>
        </w:rPr>
        <w:t xml:space="preserve"> </w:t>
      </w:r>
      <w:r w:rsidRPr="00FB1768">
        <w:rPr>
          <w:rFonts w:asciiTheme="majorHAnsi" w:hAnsiTheme="majorHAnsi"/>
          <w:b/>
          <w:bCs/>
          <w:sz w:val="23"/>
          <w:szCs w:val="23"/>
        </w:rPr>
        <w:t>e</w:t>
      </w:r>
      <w:r w:rsidR="004A4A6A" w:rsidRPr="00FB1768">
        <w:rPr>
          <w:rFonts w:asciiTheme="majorHAnsi" w:hAnsiTheme="majorHAnsi"/>
          <w:b/>
          <w:bCs/>
          <w:sz w:val="23"/>
          <w:szCs w:val="23"/>
        </w:rPr>
        <w:t xml:space="preserve"> </w:t>
      </w:r>
      <w:r w:rsidRPr="00FB1768">
        <w:rPr>
          <w:rFonts w:asciiTheme="majorHAnsi" w:hAnsiTheme="majorHAnsi"/>
          <w:b/>
          <w:bCs/>
          <w:sz w:val="23"/>
          <w:szCs w:val="23"/>
        </w:rPr>
        <w:t>v:</w:t>
      </w:r>
    </w:p>
    <w:p w:rsidR="00776D53" w:rsidRPr="0087289C" w:rsidRDefault="00776D53" w:rsidP="00776D53">
      <w:pPr>
        <w:spacing w:line="240" w:lineRule="auto"/>
        <w:jc w:val="both"/>
        <w:rPr>
          <w:rFonts w:ascii="Calibri" w:hAnsi="Calibri" w:cs="Calibri"/>
        </w:rPr>
      </w:pPr>
      <w:r w:rsidRPr="0087289C">
        <w:rPr>
          <w:rFonts w:ascii="Calibri" w:hAnsi="Calibri" w:cs="Calibri"/>
        </w:rPr>
        <w:t>Gospodarski javni službi čiščenja komunalne odpadne vode ter odvajanja komunalne in padavinske odpadne vode se na območju občine Lovrenc na Pohorju izvajata kot ločeni obvezni lokalni gospodarski javni službi (5. člen Odloka o lokalnih gospodarskih javnih službah v občini Lovrenc na Pohorju, UGSO, št. 13/02, 3/15,20/18).</w:t>
      </w:r>
    </w:p>
    <w:p w:rsidR="00776D53" w:rsidRPr="0087289C" w:rsidRDefault="00776D53" w:rsidP="00776D53">
      <w:pPr>
        <w:spacing w:line="240" w:lineRule="auto"/>
        <w:jc w:val="both"/>
        <w:rPr>
          <w:rFonts w:ascii="Calibri" w:hAnsi="Calibri" w:cs="Calibri"/>
        </w:rPr>
      </w:pPr>
      <w:r w:rsidRPr="0087289C">
        <w:rPr>
          <w:rFonts w:ascii="Calibri" w:hAnsi="Calibri" w:cs="Calibri"/>
        </w:rPr>
        <w:lastRenderedPageBreak/>
        <w:t>Javno službo čiščenja komunalne odpadne vode na podlagi koncesijske pogodbe z dne 18.5.2001 izvaja Nigrad d.d. Maribor, javno službo odvajanja komunalne in padavinske odpadne vode izvaja Občina Lovrenc na Pohorju v svojem režijskem obratu (Odlok o organizaciji in delovnem področju občinske uprave občine Lovrenc na Pohorju, MUV, št. 26/2003).</w:t>
      </w:r>
    </w:p>
    <w:p w:rsidR="00776D53" w:rsidRPr="0087289C" w:rsidRDefault="00776D53" w:rsidP="00776D53">
      <w:pPr>
        <w:spacing w:line="240" w:lineRule="auto"/>
        <w:jc w:val="both"/>
        <w:rPr>
          <w:rFonts w:ascii="Calibri" w:hAnsi="Calibri" w:cs="Calibri"/>
        </w:rPr>
      </w:pPr>
      <w:r w:rsidRPr="0087289C">
        <w:rPr>
          <w:rFonts w:ascii="Calibri" w:hAnsi="Calibri" w:cs="Calibri"/>
        </w:rPr>
        <w:t xml:space="preserve">Zaradi ločenosti izvajanja javnih služb je ločeno določena tudi cena teh. </w:t>
      </w:r>
    </w:p>
    <w:p w:rsidR="004A6C89" w:rsidRPr="0087289C" w:rsidRDefault="004A6C89" w:rsidP="00776D53">
      <w:pPr>
        <w:spacing w:line="240" w:lineRule="auto"/>
        <w:jc w:val="both"/>
        <w:rPr>
          <w:rFonts w:ascii="Calibri" w:hAnsi="Calibri" w:cs="Calibri"/>
        </w:rPr>
      </w:pPr>
      <w:r w:rsidRPr="0087289C">
        <w:rPr>
          <w:rFonts w:ascii="Calibri" w:hAnsi="Calibri" w:cs="Calibri"/>
        </w:rPr>
        <w:t xml:space="preserve">Ceno javne službe je pristojni občinski organ Občine Lovrenc na Pohorju (občinski svet) prvič potrdil v juniju 2013. Strukturo te skupne cene je določala Uredba o metodologiji za oblikovanje cen storitev obveznih gospodarskih javnih služb varstva okolja (Ur.l. RS, št. 87/2012) in sicer tako, da del skupne cene predstavlja ceno </w:t>
      </w:r>
      <w:r w:rsidRPr="0087289C">
        <w:rPr>
          <w:rFonts w:ascii="Calibri" w:hAnsi="Calibri" w:cs="Calibri"/>
          <w:i/>
        </w:rPr>
        <w:t>storitve</w:t>
      </w:r>
      <w:r w:rsidRPr="0087289C">
        <w:rPr>
          <w:rFonts w:ascii="Calibri" w:hAnsi="Calibri" w:cs="Calibri"/>
        </w:rPr>
        <w:t xml:space="preserve"> kot variabilnega stroška, del cene pa omrežnino kot </w:t>
      </w:r>
      <w:r w:rsidRPr="0087289C">
        <w:rPr>
          <w:rFonts w:ascii="Calibri" w:hAnsi="Calibri" w:cs="Calibri"/>
          <w:i/>
        </w:rPr>
        <w:t>fiksnega</w:t>
      </w:r>
      <w:r w:rsidRPr="0087289C">
        <w:rPr>
          <w:rFonts w:ascii="Calibri" w:hAnsi="Calibri" w:cs="Calibri"/>
        </w:rPr>
        <w:t xml:space="preserve"> dela stroška.</w:t>
      </w:r>
    </w:p>
    <w:p w:rsidR="007E14F5" w:rsidRPr="0087289C" w:rsidRDefault="004A6C89" w:rsidP="00776D53">
      <w:pPr>
        <w:spacing w:line="240" w:lineRule="auto"/>
        <w:jc w:val="both"/>
        <w:rPr>
          <w:rFonts w:ascii="Calibri" w:hAnsi="Calibri" w:cs="Calibri"/>
        </w:rPr>
      </w:pPr>
      <w:r w:rsidRPr="0087289C">
        <w:rPr>
          <w:rFonts w:ascii="Calibri" w:hAnsi="Calibri" w:cs="Calibri"/>
        </w:rPr>
        <w:t>Občina Lovrenc na Pohorju je ceno  storitve in omrežnine</w:t>
      </w:r>
      <w:r w:rsidR="005A4343" w:rsidRPr="0087289C">
        <w:rPr>
          <w:rFonts w:ascii="Calibri" w:hAnsi="Calibri" w:cs="Calibri"/>
        </w:rPr>
        <w:t xml:space="preserve"> v prvih letih 100% subvencionirala (za občane in neprofitni sektor). To pomeni, da je za to morala v proračunu zagotavljati ustrezno višino namenskih sredstev.</w:t>
      </w:r>
      <w:r w:rsidRPr="0087289C">
        <w:rPr>
          <w:rFonts w:ascii="Calibri" w:hAnsi="Calibri" w:cs="Calibri"/>
        </w:rPr>
        <w:t xml:space="preserve"> </w:t>
      </w:r>
    </w:p>
    <w:p w:rsidR="007E14F5" w:rsidRPr="0087289C" w:rsidRDefault="007E14F5" w:rsidP="00776D53">
      <w:pPr>
        <w:spacing w:line="240" w:lineRule="auto"/>
        <w:jc w:val="both"/>
        <w:rPr>
          <w:rFonts w:ascii="Calibri" w:hAnsi="Calibri" w:cs="Calibri"/>
        </w:rPr>
      </w:pPr>
      <w:r w:rsidRPr="0087289C">
        <w:rPr>
          <w:rFonts w:ascii="Calibri" w:hAnsi="Calibri" w:cs="Calibri"/>
        </w:rPr>
        <w:t xml:space="preserve">V letu 2016 je Občina Lovrenc na Pohorju na podlagi Uredbe o metodologiji za oblikovanje cen storitev obveznih gospodarskih javnih služb varstva okolja (Ur.l. RS, št. 87/2012) </w:t>
      </w:r>
      <w:r w:rsidR="008531AE" w:rsidRPr="0087289C">
        <w:rPr>
          <w:rFonts w:ascii="Calibri" w:hAnsi="Calibri" w:cs="Calibri"/>
        </w:rPr>
        <w:t>potrdila prvi Elaborat o oblikovanju cene izvajanja storitev obvezne gospodarske javne službe odvajanja komunalne in padavinske odpadne vode ter pripadajoče omrežnine za uporabo javnih infrastrukturnih objektov in naprav v Občini Lovrenc na Pohorju v letu 2016.</w:t>
      </w:r>
    </w:p>
    <w:p w:rsidR="005A4343" w:rsidRPr="0087289C" w:rsidRDefault="00323C19" w:rsidP="00776D53">
      <w:pPr>
        <w:spacing w:line="240" w:lineRule="auto"/>
        <w:jc w:val="both"/>
        <w:rPr>
          <w:rFonts w:ascii="Calibri" w:hAnsi="Calibri" w:cs="Calibri"/>
        </w:rPr>
      </w:pPr>
      <w:r w:rsidRPr="0087289C">
        <w:rPr>
          <w:rFonts w:ascii="Calibri" w:hAnsi="Calibri" w:cs="Calibri"/>
        </w:rPr>
        <w:t>Od začetne 100% subvencije</w:t>
      </w:r>
      <w:r w:rsidR="002C0C69" w:rsidRPr="0087289C">
        <w:rPr>
          <w:rFonts w:ascii="Calibri" w:hAnsi="Calibri" w:cs="Calibri"/>
        </w:rPr>
        <w:t>,</w:t>
      </w:r>
      <w:r w:rsidRPr="0087289C">
        <w:rPr>
          <w:rFonts w:ascii="Calibri" w:hAnsi="Calibri" w:cs="Calibri"/>
        </w:rPr>
        <w:t xml:space="preserve"> tako cene storitve kot cene omrežnine</w:t>
      </w:r>
      <w:r w:rsidR="002C0C69" w:rsidRPr="0087289C">
        <w:rPr>
          <w:rFonts w:ascii="Calibri" w:hAnsi="Calibri" w:cs="Calibri"/>
        </w:rPr>
        <w:t>,</w:t>
      </w:r>
      <w:r w:rsidRPr="0087289C">
        <w:rPr>
          <w:rFonts w:ascii="Calibri" w:hAnsi="Calibri" w:cs="Calibri"/>
        </w:rPr>
        <w:t xml:space="preserve"> </w:t>
      </w:r>
      <w:r w:rsidR="007E14F5" w:rsidRPr="0087289C">
        <w:rPr>
          <w:rFonts w:ascii="Calibri" w:hAnsi="Calibri" w:cs="Calibri"/>
        </w:rPr>
        <w:t xml:space="preserve">je zaradi padca cene čiščenja odpadne komunalne vode na 0,88 €/m3 subvencijo zmanjševala </w:t>
      </w:r>
      <w:r w:rsidRPr="0087289C">
        <w:rPr>
          <w:rFonts w:ascii="Calibri" w:hAnsi="Calibri" w:cs="Calibri"/>
        </w:rPr>
        <w:t xml:space="preserve">tako, da v letu 2018 </w:t>
      </w:r>
      <w:r w:rsidR="001D3B50" w:rsidRPr="0087289C">
        <w:rPr>
          <w:rFonts w:ascii="Calibri" w:hAnsi="Calibri" w:cs="Calibri"/>
        </w:rPr>
        <w:t xml:space="preserve">(po potrditvi elaborata) </w:t>
      </w:r>
      <w:r w:rsidRPr="0087289C">
        <w:rPr>
          <w:rFonts w:ascii="Calibri" w:hAnsi="Calibri" w:cs="Calibri"/>
        </w:rPr>
        <w:t xml:space="preserve">cena storitve (ta znaša 0,2981 €/m3) </w:t>
      </w:r>
      <w:r w:rsidR="001D3B50" w:rsidRPr="0087289C">
        <w:rPr>
          <w:rFonts w:ascii="Calibri" w:hAnsi="Calibri" w:cs="Calibri"/>
        </w:rPr>
        <w:t>ni bila več subvencionirana, cena omrežnine pa je bila subvencionirana v višini 59,57% (višina omrežnine je odvisna od dimenzije vodovodnega priključka)</w:t>
      </w:r>
      <w:r w:rsidR="007C4313" w:rsidRPr="0087289C">
        <w:rPr>
          <w:rFonts w:ascii="Calibri" w:hAnsi="Calibri" w:cs="Calibri"/>
        </w:rPr>
        <w:t>.</w:t>
      </w:r>
    </w:p>
    <w:p w:rsidR="007C4313" w:rsidRPr="0087289C" w:rsidRDefault="007C4313" w:rsidP="00776D53">
      <w:pPr>
        <w:spacing w:line="240" w:lineRule="auto"/>
        <w:jc w:val="both"/>
        <w:rPr>
          <w:rFonts w:ascii="Calibri" w:hAnsi="Calibri" w:cs="Calibri"/>
        </w:rPr>
      </w:pPr>
      <w:r w:rsidRPr="0087289C">
        <w:rPr>
          <w:rFonts w:ascii="Calibri" w:hAnsi="Calibri" w:cs="Calibri"/>
        </w:rPr>
        <w:t>S predlaganim sklepom o višini subvencioniranja (storitve ter omrežnine) do sprejetja novega elaborata ohranjamo isto višino subvencije, ob potrjevanju elaborata pa bo občinski svet o tem ponovno odločal.</w:t>
      </w:r>
    </w:p>
    <w:p w:rsidR="005A4343" w:rsidRPr="0087289C" w:rsidRDefault="005A4343" w:rsidP="00776D53">
      <w:pPr>
        <w:spacing w:line="240" w:lineRule="auto"/>
        <w:jc w:val="both"/>
        <w:rPr>
          <w:rFonts w:ascii="Calibri" w:hAnsi="Calibri" w:cs="Calibri"/>
        </w:rPr>
      </w:pPr>
    </w:p>
    <w:p w:rsidR="00015F76" w:rsidRPr="0087289C" w:rsidRDefault="005E798A" w:rsidP="00875057">
      <w:pPr>
        <w:pStyle w:val="Default"/>
        <w:jc w:val="both"/>
        <w:rPr>
          <w:rFonts w:ascii="Calibri" w:hAnsi="Calibri" w:cs="Calibri"/>
          <w:sz w:val="23"/>
          <w:szCs w:val="23"/>
        </w:rPr>
      </w:pPr>
      <w:r w:rsidRPr="0087289C">
        <w:rPr>
          <w:rFonts w:ascii="Calibri" w:hAnsi="Calibri" w:cs="Calibri"/>
          <w:sz w:val="23"/>
          <w:szCs w:val="23"/>
        </w:rPr>
        <w:t>Uredba o metodologiji za oblikovanje cen storitev obveznih občinskih gospodarskih javnih služb varstva okolja (Uradni list RS, št. 87/2012, 109/2012</w:t>
      </w:r>
      <w:r w:rsidR="00776D53" w:rsidRPr="0087289C">
        <w:rPr>
          <w:rFonts w:ascii="Calibri" w:hAnsi="Calibri" w:cs="Calibri"/>
          <w:sz w:val="23"/>
          <w:szCs w:val="23"/>
        </w:rPr>
        <w:t xml:space="preserve"> in 76/2017 </w:t>
      </w:r>
      <w:r w:rsidRPr="0087289C">
        <w:rPr>
          <w:rFonts w:ascii="Calibri" w:hAnsi="Calibri" w:cs="Calibri"/>
          <w:sz w:val="23"/>
          <w:szCs w:val="23"/>
        </w:rPr>
        <w:t xml:space="preserve">) omogoča lokalnim skupnostim, da subvencionirajo ceno storitve javne službe za gospodinjstva oziroma za tiste uporabnike, ki ne opravljajo pridobitne dejavnosti, ne more pa se subvencionirati cena storitve, s katero se pokrivajo stroški izvajalca in javnih dajatev. </w:t>
      </w:r>
    </w:p>
    <w:p w:rsidR="00015F76" w:rsidRPr="0087289C" w:rsidRDefault="00015F76" w:rsidP="00875057">
      <w:pPr>
        <w:pStyle w:val="Default"/>
        <w:jc w:val="both"/>
        <w:rPr>
          <w:rFonts w:ascii="Calibri" w:hAnsi="Calibri" w:cs="Calibri"/>
          <w:sz w:val="23"/>
          <w:szCs w:val="23"/>
        </w:rPr>
      </w:pPr>
    </w:p>
    <w:p w:rsidR="000E24B7" w:rsidRPr="0087289C" w:rsidRDefault="00015F76" w:rsidP="00875057">
      <w:pPr>
        <w:pStyle w:val="Default"/>
        <w:jc w:val="both"/>
        <w:rPr>
          <w:rFonts w:ascii="Calibri" w:hAnsi="Calibri" w:cs="Calibri"/>
          <w:sz w:val="23"/>
          <w:szCs w:val="23"/>
        </w:rPr>
      </w:pPr>
      <w:r w:rsidRPr="0087289C">
        <w:rPr>
          <w:rFonts w:ascii="Calibri" w:hAnsi="Calibri" w:cs="Calibri"/>
          <w:sz w:val="23"/>
          <w:szCs w:val="23"/>
        </w:rPr>
        <w:t xml:space="preserve">3. člen Uredbe glede obračuna najemnine za javno infrastrukturo določa, da občina za opravljanje javne službe izvajalcem obračunava najemnino za vso javno infrastrukturo, ki je potrebna za opravljanje posamezne javne službe in jo ima občina v lasti ali finančnem najemu, najmanj v višini obračunane amortizacije za vso javno infrastrukturo, ki je potrebna za opravljanje posamezne javne službe in jo ima občina v lasti ali finančnem najemu, v skladu s to uredbo. Če se ob potrditvi cene pristojni občinski organ odloči, da potrjena cena storitve javne službe ne pokriva celotne najemnine iz prejšnjega odstavka, mora za razliko občina oblikovati subvencijo iz proračuna občine. Občina lahko prizna subvencijo iz prejšnjega odstavka v izračunu cen storitev javnih služb za uporabnike, ki so gospodinjstva ali izvajalci nepridobitnih dejavnosti. </w:t>
      </w:r>
      <w:r w:rsidR="005E798A" w:rsidRPr="0087289C">
        <w:rPr>
          <w:rFonts w:ascii="Calibri" w:hAnsi="Calibri" w:cs="Calibri"/>
          <w:sz w:val="23"/>
          <w:szCs w:val="23"/>
        </w:rPr>
        <w:t>5</w:t>
      </w:r>
      <w:r w:rsidR="00901A8D" w:rsidRPr="0087289C">
        <w:rPr>
          <w:rFonts w:ascii="Calibri" w:hAnsi="Calibri" w:cs="Calibri"/>
          <w:sz w:val="23"/>
          <w:szCs w:val="23"/>
        </w:rPr>
        <w:t xml:space="preserve">. člen Uredbe </w:t>
      </w:r>
      <w:r w:rsidR="005E798A" w:rsidRPr="0087289C">
        <w:rPr>
          <w:rFonts w:ascii="Calibri" w:hAnsi="Calibri" w:cs="Calibri"/>
          <w:sz w:val="23"/>
          <w:szCs w:val="23"/>
        </w:rPr>
        <w:t xml:space="preserve">nadalje določa, da občina določi potrjeno ceno posamezne javne službe in morebitno subvencijo, izvajalec pa oblikuje in na svojih </w:t>
      </w:r>
      <w:r w:rsidR="005E798A" w:rsidRPr="0087289C">
        <w:rPr>
          <w:rFonts w:ascii="Calibri" w:hAnsi="Calibri" w:cs="Calibri"/>
          <w:sz w:val="23"/>
          <w:szCs w:val="23"/>
        </w:rPr>
        <w:lastRenderedPageBreak/>
        <w:t xml:space="preserve">spletnih straneh ter na krajevno običajen način objavi cenik s potrjeno ceno, znižano za morebitno subvencijo. </w:t>
      </w:r>
      <w:r w:rsidR="00901A8D" w:rsidRPr="0087289C">
        <w:rPr>
          <w:rFonts w:ascii="Calibri" w:hAnsi="Calibri" w:cs="Calibri"/>
          <w:sz w:val="23"/>
          <w:szCs w:val="23"/>
        </w:rPr>
        <w:t>Dele</w:t>
      </w:r>
      <w:r w:rsidR="001D4B51" w:rsidRPr="0087289C">
        <w:rPr>
          <w:rFonts w:ascii="Calibri" w:hAnsi="Calibri" w:cs="Calibri"/>
          <w:sz w:val="23"/>
          <w:szCs w:val="23"/>
        </w:rPr>
        <w:t>ž</w:t>
      </w:r>
      <w:r w:rsidR="00901A8D" w:rsidRPr="0087289C">
        <w:rPr>
          <w:rFonts w:ascii="Calibri" w:hAnsi="Calibri" w:cs="Calibri"/>
          <w:sz w:val="23"/>
          <w:szCs w:val="23"/>
        </w:rPr>
        <w:t xml:space="preserve"> subvencioniranja v letu 201</w:t>
      </w:r>
      <w:r w:rsidR="009D4429" w:rsidRPr="0087289C">
        <w:rPr>
          <w:rFonts w:ascii="Calibri" w:hAnsi="Calibri" w:cs="Calibri"/>
          <w:sz w:val="23"/>
          <w:szCs w:val="23"/>
        </w:rPr>
        <w:t>9</w:t>
      </w:r>
      <w:r w:rsidR="00901A8D" w:rsidRPr="0087289C">
        <w:rPr>
          <w:rFonts w:ascii="Calibri" w:hAnsi="Calibri" w:cs="Calibri"/>
          <w:sz w:val="23"/>
          <w:szCs w:val="23"/>
        </w:rPr>
        <w:t xml:space="preserve"> ta</w:t>
      </w:r>
      <w:r w:rsidR="000E24B7" w:rsidRPr="0087289C">
        <w:rPr>
          <w:rFonts w:ascii="Calibri" w:hAnsi="Calibri" w:cs="Calibri"/>
          <w:sz w:val="23"/>
          <w:szCs w:val="23"/>
        </w:rPr>
        <w:t>ko znaša:</w:t>
      </w:r>
    </w:p>
    <w:p w:rsidR="0015343D" w:rsidRPr="00FB1768" w:rsidRDefault="0015343D" w:rsidP="00875057">
      <w:pPr>
        <w:pStyle w:val="Default"/>
        <w:jc w:val="both"/>
        <w:rPr>
          <w:rFonts w:asciiTheme="majorHAnsi" w:hAnsiTheme="majorHAnsi"/>
          <w:sz w:val="23"/>
          <w:szCs w:val="23"/>
        </w:rPr>
      </w:pPr>
    </w:p>
    <w:p w:rsidR="003E436E" w:rsidRPr="00FB1768" w:rsidRDefault="003E436E" w:rsidP="002C749B">
      <w:pPr>
        <w:pStyle w:val="Odstavekseznama"/>
        <w:numPr>
          <w:ilvl w:val="0"/>
          <w:numId w:val="1"/>
        </w:numPr>
        <w:autoSpaceDE w:val="0"/>
        <w:autoSpaceDN w:val="0"/>
        <w:adjustRightInd w:val="0"/>
        <w:spacing w:before="120" w:after="0" w:line="240" w:lineRule="auto"/>
        <w:jc w:val="both"/>
        <w:rPr>
          <w:rFonts w:eastAsia="Times New Roman" w:cs="Calibri"/>
          <w:b/>
          <w:color w:val="000000" w:themeColor="text1"/>
          <w:sz w:val="22"/>
          <w:szCs w:val="22"/>
        </w:rPr>
      </w:pPr>
      <w:r w:rsidRPr="00FB1768">
        <w:rPr>
          <w:rFonts w:cs="Times New Roman"/>
          <w:b/>
          <w:color w:val="000000" w:themeColor="text1"/>
          <w:sz w:val="23"/>
          <w:szCs w:val="23"/>
        </w:rPr>
        <w:t>Cena izvajanja storitev - o</w:t>
      </w:r>
      <w:r w:rsidRPr="00FB1768">
        <w:rPr>
          <w:rFonts w:eastAsia="Times New Roman" w:cs="Calibri"/>
          <w:b/>
          <w:color w:val="000000" w:themeColor="text1"/>
          <w:sz w:val="22"/>
          <w:szCs w:val="22"/>
        </w:rPr>
        <w:t>dvajanje komunalne in padavinske odpadne vode</w:t>
      </w:r>
    </w:p>
    <w:p w:rsidR="002C749B" w:rsidRPr="00FB1768" w:rsidRDefault="002C749B" w:rsidP="002C749B">
      <w:pPr>
        <w:pStyle w:val="Odstavekseznama"/>
        <w:autoSpaceDE w:val="0"/>
        <w:autoSpaceDN w:val="0"/>
        <w:adjustRightInd w:val="0"/>
        <w:spacing w:before="120" w:after="0" w:line="240" w:lineRule="auto"/>
        <w:jc w:val="both"/>
        <w:rPr>
          <w:rFonts w:eastAsia="Times New Roman" w:cs="Calibri"/>
          <w:b/>
          <w:color w:val="000000" w:themeColor="text1"/>
          <w:sz w:val="22"/>
          <w:szCs w:val="22"/>
        </w:rPr>
      </w:pPr>
    </w:p>
    <w:tbl>
      <w:tblPr>
        <w:tblW w:w="9790" w:type="dxa"/>
        <w:tblInd w:w="55" w:type="dxa"/>
        <w:tblCellMar>
          <w:left w:w="70" w:type="dxa"/>
          <w:right w:w="70" w:type="dxa"/>
        </w:tblCellMar>
        <w:tblLook w:val="04A0" w:firstRow="1" w:lastRow="0" w:firstColumn="1" w:lastColumn="0" w:noHBand="0" w:noVBand="1"/>
      </w:tblPr>
      <w:tblGrid>
        <w:gridCol w:w="2351"/>
        <w:gridCol w:w="1301"/>
        <w:gridCol w:w="1998"/>
        <w:gridCol w:w="1766"/>
        <w:gridCol w:w="1217"/>
        <w:gridCol w:w="1157"/>
      </w:tblGrid>
      <w:tr w:rsidR="00187386" w:rsidRPr="00FB1768" w:rsidTr="00187386">
        <w:trPr>
          <w:trHeight w:val="945"/>
        </w:trPr>
        <w:tc>
          <w:tcPr>
            <w:tcW w:w="2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386" w:rsidRPr="00FB1768" w:rsidRDefault="00187386" w:rsidP="00E506EF">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Subvencija cene                                            izvajanje storitev                                odvajanje komunalne in padavinske odpadne vode</w:t>
            </w:r>
          </w:p>
        </w:tc>
        <w:tc>
          <w:tcPr>
            <w:tcW w:w="1301" w:type="dxa"/>
            <w:tcBorders>
              <w:top w:val="single" w:sz="4" w:space="0" w:color="auto"/>
              <w:left w:val="nil"/>
              <w:bottom w:val="single" w:sz="18" w:space="0" w:color="auto"/>
              <w:right w:val="single" w:sz="4" w:space="0" w:color="auto"/>
            </w:tcBorders>
            <w:shd w:val="clear" w:color="auto" w:fill="auto"/>
            <w:vAlign w:val="center"/>
            <w:hideMark/>
          </w:tcPr>
          <w:p w:rsidR="00187386" w:rsidRPr="00FB1768" w:rsidRDefault="00187386" w:rsidP="00E506EF">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w:t>
            </w:r>
          </w:p>
        </w:tc>
        <w:tc>
          <w:tcPr>
            <w:tcW w:w="1998" w:type="dxa"/>
            <w:tcBorders>
              <w:top w:val="single" w:sz="4" w:space="0" w:color="auto"/>
              <w:left w:val="nil"/>
              <w:bottom w:val="single" w:sz="18" w:space="0" w:color="auto"/>
              <w:right w:val="single" w:sz="4" w:space="0" w:color="auto"/>
            </w:tcBorders>
            <w:shd w:val="clear" w:color="auto" w:fill="auto"/>
            <w:vAlign w:val="center"/>
            <w:hideMark/>
          </w:tcPr>
          <w:p w:rsidR="00187386" w:rsidRPr="00FB1768" w:rsidRDefault="00187386" w:rsidP="00E506EF">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Znesek subvencije v EUR brez DDV/m3</w:t>
            </w:r>
          </w:p>
        </w:tc>
        <w:tc>
          <w:tcPr>
            <w:tcW w:w="1766" w:type="dxa"/>
            <w:tcBorders>
              <w:top w:val="single" w:sz="4" w:space="0" w:color="auto"/>
              <w:left w:val="nil"/>
              <w:bottom w:val="single" w:sz="18" w:space="0" w:color="auto"/>
              <w:right w:val="single" w:sz="4" w:space="0" w:color="auto"/>
            </w:tcBorders>
            <w:shd w:val="clear" w:color="auto" w:fill="auto"/>
            <w:vAlign w:val="center"/>
            <w:hideMark/>
          </w:tcPr>
          <w:p w:rsidR="00187386" w:rsidRPr="00FB1768" w:rsidRDefault="00187386" w:rsidP="00E506EF">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Znesek subvencije v EUR z DDV/m3</w:t>
            </w:r>
          </w:p>
        </w:tc>
        <w:tc>
          <w:tcPr>
            <w:tcW w:w="1217" w:type="dxa"/>
            <w:tcBorders>
              <w:top w:val="single" w:sz="4" w:space="0" w:color="auto"/>
              <w:left w:val="nil"/>
              <w:bottom w:val="single" w:sz="18" w:space="0" w:color="auto"/>
              <w:right w:val="single" w:sz="4" w:space="0" w:color="auto"/>
            </w:tcBorders>
          </w:tcPr>
          <w:p w:rsidR="00187386" w:rsidRPr="00FB1768" w:rsidRDefault="00187386" w:rsidP="00E506EF">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Predvidena količina storitve v m3</w:t>
            </w:r>
          </w:p>
        </w:tc>
        <w:tc>
          <w:tcPr>
            <w:tcW w:w="1157" w:type="dxa"/>
            <w:tcBorders>
              <w:top w:val="single" w:sz="4" w:space="0" w:color="auto"/>
              <w:left w:val="nil"/>
              <w:bottom w:val="single" w:sz="18" w:space="0" w:color="auto"/>
              <w:right w:val="single" w:sz="4" w:space="0" w:color="auto"/>
            </w:tcBorders>
          </w:tcPr>
          <w:p w:rsidR="00187386" w:rsidRPr="00FB1768" w:rsidRDefault="00187386" w:rsidP="00E506EF">
            <w:pPr>
              <w:spacing w:after="0" w:line="240" w:lineRule="auto"/>
              <w:jc w:val="center"/>
              <w:rPr>
                <w:rFonts w:eastAsia="Times New Roman" w:cs="Calibri"/>
                <w:bCs/>
                <w:color w:val="000000" w:themeColor="text1"/>
                <w:sz w:val="22"/>
                <w:szCs w:val="22"/>
              </w:rPr>
            </w:pPr>
            <w:r w:rsidRPr="00FB1768">
              <w:rPr>
                <w:rFonts w:eastAsia="Times New Roman" w:cs="Calibri"/>
                <w:bCs/>
                <w:color w:val="000000" w:themeColor="text1"/>
                <w:sz w:val="22"/>
                <w:szCs w:val="22"/>
              </w:rPr>
              <w:t>Subvencija cene storitve v EUR</w:t>
            </w:r>
          </w:p>
        </w:tc>
      </w:tr>
      <w:tr w:rsidR="00187386" w:rsidRPr="00FB1768" w:rsidTr="00187386">
        <w:trPr>
          <w:trHeight w:val="300"/>
        </w:trPr>
        <w:tc>
          <w:tcPr>
            <w:tcW w:w="2351"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187386" w:rsidRPr="00FB1768" w:rsidRDefault="00187386" w:rsidP="00E506EF">
            <w:pPr>
              <w:spacing w:after="0" w:line="240" w:lineRule="auto"/>
              <w:rPr>
                <w:rFonts w:eastAsia="Times New Roman" w:cs="Calibri"/>
                <w:color w:val="000000" w:themeColor="text1"/>
                <w:sz w:val="22"/>
                <w:szCs w:val="22"/>
              </w:rPr>
            </w:pPr>
            <w:r w:rsidRPr="00FB1768">
              <w:rPr>
                <w:rFonts w:eastAsia="Times New Roman" w:cs="Calibri"/>
                <w:color w:val="000000" w:themeColor="text1"/>
                <w:sz w:val="22"/>
                <w:szCs w:val="22"/>
              </w:rPr>
              <w:t> </w:t>
            </w:r>
          </w:p>
        </w:tc>
        <w:tc>
          <w:tcPr>
            <w:tcW w:w="1301"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7386" w:rsidRPr="00FB1768" w:rsidRDefault="00187386" w:rsidP="00E506E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0,00</w:t>
            </w:r>
          </w:p>
        </w:tc>
        <w:tc>
          <w:tcPr>
            <w:tcW w:w="1998"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7386" w:rsidRPr="00FB1768" w:rsidRDefault="00187386" w:rsidP="00E506E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0,00</w:t>
            </w:r>
          </w:p>
        </w:tc>
        <w:tc>
          <w:tcPr>
            <w:tcW w:w="176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187386" w:rsidRPr="00FB1768" w:rsidRDefault="00187386" w:rsidP="00E506E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0,00</w:t>
            </w:r>
          </w:p>
        </w:tc>
        <w:tc>
          <w:tcPr>
            <w:tcW w:w="1217" w:type="dxa"/>
            <w:tcBorders>
              <w:top w:val="single" w:sz="18" w:space="0" w:color="auto"/>
              <w:left w:val="single" w:sz="18" w:space="0" w:color="auto"/>
              <w:bottom w:val="single" w:sz="18" w:space="0" w:color="auto"/>
              <w:right w:val="single" w:sz="18" w:space="0" w:color="auto"/>
            </w:tcBorders>
          </w:tcPr>
          <w:p w:rsidR="00187386" w:rsidRPr="00FB1768" w:rsidRDefault="00187386" w:rsidP="00E506E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80.500</w:t>
            </w:r>
          </w:p>
        </w:tc>
        <w:tc>
          <w:tcPr>
            <w:tcW w:w="1157" w:type="dxa"/>
            <w:tcBorders>
              <w:top w:val="single" w:sz="18" w:space="0" w:color="auto"/>
              <w:left w:val="single" w:sz="18" w:space="0" w:color="auto"/>
              <w:bottom w:val="single" w:sz="18" w:space="0" w:color="auto"/>
              <w:right w:val="single" w:sz="18" w:space="0" w:color="auto"/>
            </w:tcBorders>
          </w:tcPr>
          <w:p w:rsidR="00187386" w:rsidRPr="00FB1768" w:rsidRDefault="00187386" w:rsidP="00E506EF">
            <w:pPr>
              <w:spacing w:after="0" w:line="240" w:lineRule="auto"/>
              <w:jc w:val="right"/>
              <w:rPr>
                <w:rFonts w:eastAsia="Times New Roman" w:cs="Calibri"/>
                <w:b/>
                <w:color w:val="000000" w:themeColor="text1"/>
                <w:sz w:val="22"/>
                <w:szCs w:val="22"/>
              </w:rPr>
            </w:pPr>
            <w:r w:rsidRPr="00FB1768">
              <w:rPr>
                <w:rFonts w:eastAsia="Times New Roman" w:cs="Calibri"/>
                <w:b/>
                <w:color w:val="000000" w:themeColor="text1"/>
                <w:sz w:val="22"/>
                <w:szCs w:val="22"/>
              </w:rPr>
              <w:t>0,00</w:t>
            </w:r>
          </w:p>
        </w:tc>
      </w:tr>
    </w:tbl>
    <w:p w:rsidR="002C749B" w:rsidRPr="00FB1768" w:rsidRDefault="002C749B" w:rsidP="003E436E">
      <w:pPr>
        <w:autoSpaceDE w:val="0"/>
        <w:autoSpaceDN w:val="0"/>
        <w:adjustRightInd w:val="0"/>
        <w:spacing w:before="240" w:after="0" w:line="240" w:lineRule="auto"/>
        <w:jc w:val="both"/>
        <w:rPr>
          <w:rFonts w:cs="Times New Roman"/>
          <w:b/>
          <w:color w:val="000000" w:themeColor="text1"/>
          <w:sz w:val="23"/>
          <w:szCs w:val="23"/>
        </w:rPr>
      </w:pPr>
    </w:p>
    <w:p w:rsidR="003E436E" w:rsidRPr="00FB1768" w:rsidRDefault="003E436E" w:rsidP="003E436E">
      <w:pPr>
        <w:autoSpaceDE w:val="0"/>
        <w:autoSpaceDN w:val="0"/>
        <w:adjustRightInd w:val="0"/>
        <w:spacing w:before="240" w:after="0" w:line="240" w:lineRule="auto"/>
        <w:jc w:val="both"/>
        <w:rPr>
          <w:rFonts w:cs="Times New Roman"/>
          <w:b/>
          <w:color w:val="000000" w:themeColor="text1"/>
          <w:sz w:val="23"/>
          <w:szCs w:val="23"/>
        </w:rPr>
      </w:pPr>
      <w:r w:rsidRPr="00FB1768">
        <w:rPr>
          <w:rFonts w:cs="Times New Roman"/>
          <w:b/>
          <w:color w:val="000000" w:themeColor="text1"/>
          <w:sz w:val="23"/>
          <w:szCs w:val="23"/>
        </w:rPr>
        <w:t xml:space="preserve">b) </w:t>
      </w:r>
      <w:r w:rsidR="00D43BBA" w:rsidRPr="00FB1768">
        <w:rPr>
          <w:rFonts w:cs="Times New Roman"/>
          <w:b/>
          <w:color w:val="000000" w:themeColor="text1"/>
          <w:sz w:val="23"/>
          <w:szCs w:val="23"/>
        </w:rPr>
        <w:t xml:space="preserve">Subvencioniranje </w:t>
      </w:r>
      <w:r w:rsidR="002E481E" w:rsidRPr="00FB1768">
        <w:rPr>
          <w:rFonts w:cs="Times New Roman"/>
          <w:b/>
          <w:color w:val="000000" w:themeColor="text1"/>
          <w:sz w:val="23"/>
          <w:szCs w:val="23"/>
        </w:rPr>
        <w:t>c</w:t>
      </w:r>
      <w:r w:rsidRPr="00FB1768">
        <w:rPr>
          <w:rFonts w:cs="Times New Roman"/>
          <w:b/>
          <w:color w:val="000000" w:themeColor="text1"/>
          <w:sz w:val="23"/>
          <w:szCs w:val="23"/>
        </w:rPr>
        <w:t>en</w:t>
      </w:r>
      <w:r w:rsidR="00D43BBA" w:rsidRPr="00FB1768">
        <w:rPr>
          <w:rFonts w:cs="Times New Roman"/>
          <w:b/>
          <w:color w:val="000000" w:themeColor="text1"/>
          <w:sz w:val="23"/>
          <w:szCs w:val="23"/>
        </w:rPr>
        <w:t>e</w:t>
      </w:r>
      <w:r w:rsidRPr="00FB1768">
        <w:rPr>
          <w:rFonts w:cs="Times New Roman"/>
          <w:b/>
          <w:color w:val="000000" w:themeColor="text1"/>
          <w:sz w:val="23"/>
          <w:szCs w:val="23"/>
        </w:rPr>
        <w:t xml:space="preserve"> omrežnine – komunalne in padavinske odpadne vode</w:t>
      </w:r>
    </w:p>
    <w:tbl>
      <w:tblPr>
        <w:tblStyle w:val="Tabelamrea"/>
        <w:tblW w:w="0" w:type="auto"/>
        <w:tblLook w:val="04A0" w:firstRow="1" w:lastRow="0" w:firstColumn="1" w:lastColumn="0" w:noHBand="0" w:noVBand="1"/>
      </w:tblPr>
      <w:tblGrid>
        <w:gridCol w:w="1424"/>
        <w:gridCol w:w="1153"/>
        <w:gridCol w:w="1202"/>
        <w:gridCol w:w="1845"/>
        <w:gridCol w:w="1664"/>
        <w:gridCol w:w="901"/>
        <w:gridCol w:w="1664"/>
      </w:tblGrid>
      <w:tr w:rsidR="00D5356F" w:rsidRPr="004867BE" w:rsidTr="00D5356F">
        <w:trPr>
          <w:trHeight w:val="300"/>
        </w:trPr>
        <w:tc>
          <w:tcPr>
            <w:tcW w:w="2620" w:type="dxa"/>
            <w:noWrap/>
            <w:hideMark/>
          </w:tcPr>
          <w:p w:rsidR="00D5356F" w:rsidRPr="004867BE" w:rsidRDefault="00D5356F" w:rsidP="00D5356F">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DIMENZIJA  PRIKLJUČKA</w:t>
            </w:r>
          </w:p>
        </w:tc>
        <w:tc>
          <w:tcPr>
            <w:tcW w:w="2080" w:type="dxa"/>
            <w:noWrap/>
            <w:hideMark/>
          </w:tcPr>
          <w:p w:rsidR="00D5356F" w:rsidRPr="004867BE" w:rsidRDefault="00D5356F" w:rsidP="00D5356F">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FAKTOR OMREŽNINE</w:t>
            </w:r>
          </w:p>
        </w:tc>
        <w:tc>
          <w:tcPr>
            <w:tcW w:w="2180" w:type="dxa"/>
            <w:noWrap/>
            <w:hideMark/>
          </w:tcPr>
          <w:p w:rsidR="00D5356F" w:rsidRPr="004867BE" w:rsidRDefault="00D5356F" w:rsidP="00D5356F">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 SUBVENCIJE</w:t>
            </w:r>
          </w:p>
        </w:tc>
        <w:tc>
          <w:tcPr>
            <w:tcW w:w="3460" w:type="dxa"/>
            <w:noWrap/>
            <w:hideMark/>
          </w:tcPr>
          <w:p w:rsidR="00D5356F" w:rsidRPr="004867BE" w:rsidRDefault="00D5356F" w:rsidP="00D5356F">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ZNESEK SUBVENCIJE BREZ DDV/MES</w:t>
            </w:r>
          </w:p>
        </w:tc>
        <w:tc>
          <w:tcPr>
            <w:tcW w:w="3100" w:type="dxa"/>
            <w:noWrap/>
            <w:hideMark/>
          </w:tcPr>
          <w:p w:rsidR="00D5356F" w:rsidRPr="004867BE" w:rsidRDefault="00D5356F" w:rsidP="00D5356F">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ZNESEK SUBVENCIJE Z DDV/MES</w:t>
            </w:r>
          </w:p>
        </w:tc>
        <w:tc>
          <w:tcPr>
            <w:tcW w:w="1580" w:type="dxa"/>
            <w:noWrap/>
            <w:hideMark/>
          </w:tcPr>
          <w:p w:rsidR="00D5356F" w:rsidRPr="004867BE" w:rsidRDefault="00D5356F" w:rsidP="00D5356F">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ŠTEV.PRIKLJ.</w:t>
            </w:r>
          </w:p>
        </w:tc>
        <w:tc>
          <w:tcPr>
            <w:tcW w:w="3100" w:type="dxa"/>
            <w:noWrap/>
            <w:hideMark/>
          </w:tcPr>
          <w:p w:rsidR="00D5356F" w:rsidRPr="004867BE" w:rsidRDefault="00D5356F" w:rsidP="00D5356F">
            <w:pPr>
              <w:autoSpaceDE w:val="0"/>
              <w:autoSpaceDN w:val="0"/>
              <w:adjustRightInd w:val="0"/>
              <w:spacing w:before="120"/>
              <w:jc w:val="both"/>
              <w:rPr>
                <w:rFonts w:cs="Times New Roman"/>
                <w:b/>
                <w:color w:val="000000" w:themeColor="text1"/>
                <w:sz w:val="16"/>
                <w:szCs w:val="16"/>
              </w:rPr>
            </w:pPr>
            <w:r w:rsidRPr="004867BE">
              <w:rPr>
                <w:rFonts w:cs="Times New Roman"/>
                <w:b/>
                <w:color w:val="000000" w:themeColor="text1"/>
                <w:sz w:val="16"/>
                <w:szCs w:val="16"/>
              </w:rPr>
              <w:t>SUBVENCIJA/LETO 2019 z DDV</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Priključek DN ≤ 20</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1,00</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59,57</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4,4620</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4,8859</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546</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32.012,15</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Priključek &lt;20  DN &lt; 40</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3,00</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59,57</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13,3859</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14,6576</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41</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7.211,53</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Priključek 40 ≤ DN &lt; 50</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10,00</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59,57</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44,6197</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48,8586</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7</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4.104,12</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Priključek 50 ≤ DN &lt; 65</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15,00</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59,57</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66,9296</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73,2879</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2</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1.758,91</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Priključek 65 ≤ DN &lt; 80</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30,00</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59,57</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133,8592</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146,5758</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0</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0,00</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Priključek 80 ≤ DN &lt; 100</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50,00</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59,57</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223,0986</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244,2930</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0</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0,00</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Priključek 100 ≤ DN &lt; 150</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100,00</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59,57</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446,1972</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488,5859</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0</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0,00</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Priključek DN ≤ 150</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200,00</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59,57</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892,3943</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977,1718</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0</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0,00</w:t>
            </w:r>
          </w:p>
        </w:tc>
      </w:tr>
      <w:tr w:rsidR="00D5356F" w:rsidRPr="00D5356F" w:rsidTr="00D5356F">
        <w:trPr>
          <w:trHeight w:val="300"/>
        </w:trPr>
        <w:tc>
          <w:tcPr>
            <w:tcW w:w="262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SKUPAJ</w:t>
            </w:r>
          </w:p>
        </w:tc>
        <w:tc>
          <w:tcPr>
            <w:tcW w:w="20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 </w:t>
            </w:r>
          </w:p>
        </w:tc>
        <w:tc>
          <w:tcPr>
            <w:tcW w:w="21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 </w:t>
            </w:r>
          </w:p>
        </w:tc>
        <w:tc>
          <w:tcPr>
            <w:tcW w:w="346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 </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 </w:t>
            </w:r>
          </w:p>
        </w:tc>
        <w:tc>
          <w:tcPr>
            <w:tcW w:w="158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596</w:t>
            </w:r>
          </w:p>
        </w:tc>
        <w:tc>
          <w:tcPr>
            <w:tcW w:w="3100" w:type="dxa"/>
            <w:noWrap/>
            <w:hideMark/>
          </w:tcPr>
          <w:p w:rsidR="00D5356F" w:rsidRPr="00D5356F" w:rsidRDefault="00D5356F" w:rsidP="00D5356F">
            <w:pPr>
              <w:autoSpaceDE w:val="0"/>
              <w:autoSpaceDN w:val="0"/>
              <w:adjustRightInd w:val="0"/>
              <w:spacing w:before="120"/>
              <w:jc w:val="both"/>
              <w:rPr>
                <w:rFonts w:cs="Times New Roman"/>
                <w:b/>
                <w:color w:val="000000" w:themeColor="text1"/>
                <w:sz w:val="23"/>
                <w:szCs w:val="23"/>
              </w:rPr>
            </w:pPr>
            <w:r w:rsidRPr="00D5356F">
              <w:rPr>
                <w:rFonts w:cs="Times New Roman"/>
                <w:b/>
                <w:color w:val="000000" w:themeColor="text1"/>
                <w:sz w:val="23"/>
                <w:szCs w:val="23"/>
              </w:rPr>
              <w:t>45.086,71</w:t>
            </w:r>
          </w:p>
        </w:tc>
      </w:tr>
    </w:tbl>
    <w:p w:rsidR="002C749B" w:rsidRPr="00FB1768" w:rsidRDefault="002C749B" w:rsidP="002C749B">
      <w:pPr>
        <w:autoSpaceDE w:val="0"/>
        <w:autoSpaceDN w:val="0"/>
        <w:adjustRightInd w:val="0"/>
        <w:spacing w:before="120" w:after="0" w:line="240" w:lineRule="auto"/>
        <w:jc w:val="both"/>
        <w:rPr>
          <w:rFonts w:cs="Times New Roman"/>
          <w:b/>
          <w:color w:val="000000" w:themeColor="text1"/>
          <w:sz w:val="23"/>
          <w:szCs w:val="23"/>
        </w:rPr>
      </w:pPr>
    </w:p>
    <w:p w:rsidR="0079318B" w:rsidRPr="00FB1768" w:rsidRDefault="0079318B" w:rsidP="00A65A62">
      <w:pPr>
        <w:pStyle w:val="Default"/>
        <w:spacing w:before="240"/>
        <w:jc w:val="both"/>
        <w:rPr>
          <w:rFonts w:asciiTheme="majorHAnsi" w:hAnsiTheme="majorHAnsi"/>
          <w:sz w:val="23"/>
          <w:szCs w:val="23"/>
        </w:rPr>
      </w:pPr>
      <w:r w:rsidRPr="00FB1768">
        <w:rPr>
          <w:rFonts w:asciiTheme="majorHAnsi" w:hAnsiTheme="majorHAnsi"/>
          <w:sz w:val="23"/>
          <w:szCs w:val="23"/>
        </w:rPr>
        <w:t xml:space="preserve">Na podlagi 6. člena Uredbe mora izvajalec za preteklo obračunsko obdobje ugotoviti razliko med potrjeno ceno in obračunsko ceno opravljenih storitev. Ugotovljena razlika med potrjeno ceno in obračunsko ceno glede na dejansko količino opravljenih storitev v preteklem obračunskem obdobju se v elaboratu upošteva pri izračunu predračunske cene za naslednje obdobje. Izvajalec </w:t>
      </w:r>
      <w:r w:rsidRPr="00FB1768">
        <w:rPr>
          <w:rFonts w:asciiTheme="majorHAnsi" w:hAnsiTheme="majorHAnsi"/>
          <w:sz w:val="23"/>
          <w:szCs w:val="23"/>
        </w:rPr>
        <w:lastRenderedPageBreak/>
        <w:t>enkrat letno pripravi elaborat. Če razlika presega deset odstotkov od potrjene cene, mora elaborat poslati pristojnemu občinskemu organu, ki mora začeti postopek potrjevanja cene.</w:t>
      </w:r>
    </w:p>
    <w:p w:rsidR="0079318B" w:rsidRPr="006877AC" w:rsidRDefault="007471A7" w:rsidP="006877AC">
      <w:pPr>
        <w:pStyle w:val="Default"/>
        <w:spacing w:before="240"/>
        <w:jc w:val="both"/>
        <w:rPr>
          <w:rFonts w:asciiTheme="majorHAnsi" w:hAnsiTheme="majorHAnsi"/>
          <w:color w:val="000000" w:themeColor="text1"/>
          <w:sz w:val="23"/>
          <w:szCs w:val="23"/>
        </w:rPr>
      </w:pPr>
      <w:r w:rsidRPr="00FB1768">
        <w:rPr>
          <w:rFonts w:asciiTheme="majorHAnsi" w:hAnsiTheme="majorHAnsi"/>
          <w:color w:val="000000" w:themeColor="text1"/>
          <w:sz w:val="23"/>
          <w:szCs w:val="23"/>
        </w:rPr>
        <w:t>Ministrstvo za finance je v dopisu št.: 4491-31/2014 z dne 10.02.2014 od občine zahtevalo, da v ustrezno pravno podlago vključi Uredbo komisije (EU) št. 360/2012 z dne 25. aprila 2012 o uporabi členov 107 in 108 Pogodbe o delo</w:t>
      </w:r>
      <w:bookmarkStart w:id="0" w:name="_GoBack"/>
      <w:bookmarkEnd w:id="0"/>
      <w:r w:rsidRPr="00FB1768">
        <w:rPr>
          <w:rFonts w:asciiTheme="majorHAnsi" w:hAnsiTheme="majorHAnsi"/>
          <w:color w:val="000000" w:themeColor="text1"/>
          <w:sz w:val="23"/>
          <w:szCs w:val="23"/>
        </w:rPr>
        <w:t xml:space="preserve">vanju Evropske unije pri pomoči de </w:t>
      </w:r>
      <w:proofErr w:type="spellStart"/>
      <w:r w:rsidRPr="00FB1768">
        <w:rPr>
          <w:rFonts w:asciiTheme="majorHAnsi" w:hAnsiTheme="majorHAnsi"/>
          <w:color w:val="000000" w:themeColor="text1"/>
          <w:sz w:val="23"/>
          <w:szCs w:val="23"/>
        </w:rPr>
        <w:t>minimis</w:t>
      </w:r>
      <w:proofErr w:type="spellEnd"/>
      <w:r w:rsidRPr="00FB1768">
        <w:rPr>
          <w:rFonts w:asciiTheme="majorHAnsi" w:hAnsiTheme="majorHAnsi"/>
          <w:color w:val="000000" w:themeColor="text1"/>
          <w:sz w:val="23"/>
          <w:szCs w:val="23"/>
        </w:rPr>
        <w:t xml:space="preserve"> za podjetja, ki opravljajo storitve splošnega gospodarskega pomena (Ur. l. EU L 114). Zahtevi se zadosti v kolikor se sklep vključi v vsakokratni akt o dodelitvi državne pomoči.</w:t>
      </w:r>
    </w:p>
    <w:sectPr w:rsidR="0079318B" w:rsidRPr="006877AC" w:rsidSect="00344FD6">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250" w:rsidRDefault="00A67250" w:rsidP="00031282">
      <w:pPr>
        <w:spacing w:after="0" w:line="240" w:lineRule="auto"/>
      </w:pPr>
      <w:r>
        <w:separator/>
      </w:r>
    </w:p>
  </w:endnote>
  <w:endnote w:type="continuationSeparator" w:id="0">
    <w:p w:rsidR="00A67250" w:rsidRDefault="00A67250" w:rsidP="0003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616972"/>
      <w:docPartObj>
        <w:docPartGallery w:val="Page Numbers (Bottom of Page)"/>
        <w:docPartUnique/>
      </w:docPartObj>
    </w:sdtPr>
    <w:sdtEndPr/>
    <w:sdtContent>
      <w:p w:rsidR="00031282" w:rsidRDefault="00031282">
        <w:pPr>
          <w:pStyle w:val="Noga"/>
          <w:jc w:val="right"/>
        </w:pPr>
        <w:r>
          <w:fldChar w:fldCharType="begin"/>
        </w:r>
        <w:r>
          <w:instrText>PAGE   \* MERGEFORMAT</w:instrText>
        </w:r>
        <w:r>
          <w:fldChar w:fldCharType="separate"/>
        </w:r>
        <w:r>
          <w:rPr>
            <w:noProof/>
          </w:rPr>
          <w:t>5</w:t>
        </w:r>
        <w:r>
          <w:fldChar w:fldCharType="end"/>
        </w:r>
      </w:p>
    </w:sdtContent>
  </w:sdt>
  <w:p w:rsidR="00031282" w:rsidRDefault="000312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250" w:rsidRDefault="00A67250" w:rsidP="00031282">
      <w:pPr>
        <w:spacing w:after="0" w:line="240" w:lineRule="auto"/>
      </w:pPr>
      <w:r>
        <w:separator/>
      </w:r>
    </w:p>
  </w:footnote>
  <w:footnote w:type="continuationSeparator" w:id="0">
    <w:p w:rsidR="00A67250" w:rsidRDefault="00A67250" w:rsidP="00031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4CA2"/>
    <w:multiLevelType w:val="hybridMultilevel"/>
    <w:tmpl w:val="72A22A0C"/>
    <w:lvl w:ilvl="0" w:tplc="F97EEB46">
      <w:start w:val="1"/>
      <w:numFmt w:val="lowerLetter"/>
      <w:lvlText w:val="%1)"/>
      <w:lvlJc w:val="left"/>
      <w:pPr>
        <w:ind w:left="720" w:hanging="360"/>
      </w:pPr>
      <w:rPr>
        <w:rFonts w:eastAsiaTheme="minorHAnsi" w:cs="Times New Roman" w:hint="default"/>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A8D"/>
    <w:rsid w:val="00015F76"/>
    <w:rsid w:val="00020DB4"/>
    <w:rsid w:val="00021A30"/>
    <w:rsid w:val="00030EC1"/>
    <w:rsid w:val="00031282"/>
    <w:rsid w:val="00072D7C"/>
    <w:rsid w:val="00075BAC"/>
    <w:rsid w:val="000B1A60"/>
    <w:rsid w:val="000C6C99"/>
    <w:rsid w:val="000E24B7"/>
    <w:rsid w:val="000F2C04"/>
    <w:rsid w:val="000F3E2B"/>
    <w:rsid w:val="00115D56"/>
    <w:rsid w:val="00121B9C"/>
    <w:rsid w:val="001426BC"/>
    <w:rsid w:val="0015290F"/>
    <w:rsid w:val="0015343D"/>
    <w:rsid w:val="00153D9E"/>
    <w:rsid w:val="001679EC"/>
    <w:rsid w:val="001713CE"/>
    <w:rsid w:val="0017425E"/>
    <w:rsid w:val="00187386"/>
    <w:rsid w:val="001D3B50"/>
    <w:rsid w:val="001D4B51"/>
    <w:rsid w:val="001F405F"/>
    <w:rsid w:val="001F50AB"/>
    <w:rsid w:val="00203B99"/>
    <w:rsid w:val="00235E9E"/>
    <w:rsid w:val="002535B2"/>
    <w:rsid w:val="00284CB7"/>
    <w:rsid w:val="00293FF9"/>
    <w:rsid w:val="002A65C8"/>
    <w:rsid w:val="002C0C69"/>
    <w:rsid w:val="002C2440"/>
    <w:rsid w:val="002C749B"/>
    <w:rsid w:val="002E481E"/>
    <w:rsid w:val="002E4D1D"/>
    <w:rsid w:val="002F2136"/>
    <w:rsid w:val="002F45EF"/>
    <w:rsid w:val="002F4E7E"/>
    <w:rsid w:val="00320A50"/>
    <w:rsid w:val="00323C19"/>
    <w:rsid w:val="00344FD6"/>
    <w:rsid w:val="00345B52"/>
    <w:rsid w:val="0037196B"/>
    <w:rsid w:val="00376762"/>
    <w:rsid w:val="00376C60"/>
    <w:rsid w:val="003E436E"/>
    <w:rsid w:val="004338B8"/>
    <w:rsid w:val="00436D0E"/>
    <w:rsid w:val="004542E9"/>
    <w:rsid w:val="004650FF"/>
    <w:rsid w:val="004741B8"/>
    <w:rsid w:val="004867BE"/>
    <w:rsid w:val="004959C3"/>
    <w:rsid w:val="004A4A6A"/>
    <w:rsid w:val="004A6C89"/>
    <w:rsid w:val="00517D9B"/>
    <w:rsid w:val="00524120"/>
    <w:rsid w:val="00563A64"/>
    <w:rsid w:val="005A4343"/>
    <w:rsid w:val="005B19B8"/>
    <w:rsid w:val="005D30A0"/>
    <w:rsid w:val="005E798A"/>
    <w:rsid w:val="00604BE1"/>
    <w:rsid w:val="00625DD9"/>
    <w:rsid w:val="00664E27"/>
    <w:rsid w:val="006877AC"/>
    <w:rsid w:val="00695A6A"/>
    <w:rsid w:val="006A3BC2"/>
    <w:rsid w:val="006B7D91"/>
    <w:rsid w:val="006C6200"/>
    <w:rsid w:val="006D44D4"/>
    <w:rsid w:val="006F07A9"/>
    <w:rsid w:val="006F4877"/>
    <w:rsid w:val="006F78AE"/>
    <w:rsid w:val="00700C98"/>
    <w:rsid w:val="007057D6"/>
    <w:rsid w:val="0071017A"/>
    <w:rsid w:val="00711B0A"/>
    <w:rsid w:val="00715056"/>
    <w:rsid w:val="007153B6"/>
    <w:rsid w:val="007366CD"/>
    <w:rsid w:val="007471A7"/>
    <w:rsid w:val="00776D53"/>
    <w:rsid w:val="00793056"/>
    <w:rsid w:val="0079318B"/>
    <w:rsid w:val="00793ACC"/>
    <w:rsid w:val="007B11EF"/>
    <w:rsid w:val="007B292D"/>
    <w:rsid w:val="007B701B"/>
    <w:rsid w:val="007C4313"/>
    <w:rsid w:val="007C453B"/>
    <w:rsid w:val="007E1100"/>
    <w:rsid w:val="007E14F5"/>
    <w:rsid w:val="00801326"/>
    <w:rsid w:val="00803DC0"/>
    <w:rsid w:val="0080542A"/>
    <w:rsid w:val="00811417"/>
    <w:rsid w:val="00813809"/>
    <w:rsid w:val="008245D7"/>
    <w:rsid w:val="008531AE"/>
    <w:rsid w:val="008674AB"/>
    <w:rsid w:val="00867ADA"/>
    <w:rsid w:val="0087289C"/>
    <w:rsid w:val="00875057"/>
    <w:rsid w:val="008C2A07"/>
    <w:rsid w:val="008E61C2"/>
    <w:rsid w:val="00901A8D"/>
    <w:rsid w:val="00903E0A"/>
    <w:rsid w:val="00906C2B"/>
    <w:rsid w:val="00907177"/>
    <w:rsid w:val="00926D9C"/>
    <w:rsid w:val="0093393C"/>
    <w:rsid w:val="00943C42"/>
    <w:rsid w:val="00943F6B"/>
    <w:rsid w:val="009957A9"/>
    <w:rsid w:val="0099616D"/>
    <w:rsid w:val="00997511"/>
    <w:rsid w:val="009C4BA6"/>
    <w:rsid w:val="009D4429"/>
    <w:rsid w:val="00A21D28"/>
    <w:rsid w:val="00A65A62"/>
    <w:rsid w:val="00A67250"/>
    <w:rsid w:val="00A74557"/>
    <w:rsid w:val="00A7730A"/>
    <w:rsid w:val="00A775E7"/>
    <w:rsid w:val="00A91D55"/>
    <w:rsid w:val="00A93B09"/>
    <w:rsid w:val="00AC1210"/>
    <w:rsid w:val="00AD1E04"/>
    <w:rsid w:val="00AE18BA"/>
    <w:rsid w:val="00AF5F73"/>
    <w:rsid w:val="00B45CAC"/>
    <w:rsid w:val="00B52ADF"/>
    <w:rsid w:val="00BB16F5"/>
    <w:rsid w:val="00BB18C5"/>
    <w:rsid w:val="00BE179A"/>
    <w:rsid w:val="00BF276B"/>
    <w:rsid w:val="00C11CFB"/>
    <w:rsid w:val="00C24D13"/>
    <w:rsid w:val="00C348A4"/>
    <w:rsid w:val="00C34EA8"/>
    <w:rsid w:val="00C64803"/>
    <w:rsid w:val="00C71A7E"/>
    <w:rsid w:val="00CC2E0E"/>
    <w:rsid w:val="00CF1F93"/>
    <w:rsid w:val="00D25B64"/>
    <w:rsid w:val="00D273C2"/>
    <w:rsid w:val="00D362FA"/>
    <w:rsid w:val="00D43BBA"/>
    <w:rsid w:val="00D5356F"/>
    <w:rsid w:val="00D6017E"/>
    <w:rsid w:val="00D9420F"/>
    <w:rsid w:val="00DA5E35"/>
    <w:rsid w:val="00DB4EB8"/>
    <w:rsid w:val="00DE5ADF"/>
    <w:rsid w:val="00DF00C6"/>
    <w:rsid w:val="00E020DC"/>
    <w:rsid w:val="00E1217B"/>
    <w:rsid w:val="00E65EC0"/>
    <w:rsid w:val="00E83A12"/>
    <w:rsid w:val="00F52723"/>
    <w:rsid w:val="00F66BF2"/>
    <w:rsid w:val="00F728EF"/>
    <w:rsid w:val="00F80C13"/>
    <w:rsid w:val="00F9773A"/>
    <w:rsid w:val="00FA2154"/>
    <w:rsid w:val="00FB1768"/>
    <w:rsid w:val="00FB6AD5"/>
    <w:rsid w:val="00FD07A3"/>
    <w:rsid w:val="00FD4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1F44"/>
  <w15:docId w15:val="{07C5AD67-443D-4FE2-810A-DD8536D8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719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901A8D"/>
    <w:pPr>
      <w:autoSpaceDE w:val="0"/>
      <w:autoSpaceDN w:val="0"/>
      <w:adjustRightInd w:val="0"/>
      <w:spacing w:after="0" w:line="240" w:lineRule="auto"/>
    </w:pPr>
    <w:rPr>
      <w:rFonts w:ascii="Times New Roman" w:hAnsi="Times New Roman" w:cs="Times New Roman"/>
      <w:color w:val="000000"/>
    </w:rPr>
  </w:style>
  <w:style w:type="table" w:styleId="Tabelamrea">
    <w:name w:val="Table Grid"/>
    <w:basedOn w:val="Navadnatabela"/>
    <w:uiPriority w:val="59"/>
    <w:rsid w:val="00FB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91D55"/>
    <w:pPr>
      <w:ind w:left="720"/>
      <w:contextualSpacing/>
    </w:pPr>
  </w:style>
  <w:style w:type="character" w:styleId="Pripombasklic">
    <w:name w:val="annotation reference"/>
    <w:basedOn w:val="Privzetapisavaodstavka"/>
    <w:uiPriority w:val="99"/>
    <w:semiHidden/>
    <w:unhideWhenUsed/>
    <w:rsid w:val="00FD07A3"/>
    <w:rPr>
      <w:sz w:val="16"/>
      <w:szCs w:val="16"/>
    </w:rPr>
  </w:style>
  <w:style w:type="paragraph" w:styleId="Pripombabesedilo">
    <w:name w:val="annotation text"/>
    <w:basedOn w:val="Navaden"/>
    <w:link w:val="PripombabesediloZnak"/>
    <w:uiPriority w:val="99"/>
    <w:semiHidden/>
    <w:unhideWhenUsed/>
    <w:rsid w:val="00FD07A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D07A3"/>
    <w:rPr>
      <w:sz w:val="20"/>
      <w:szCs w:val="20"/>
    </w:rPr>
  </w:style>
  <w:style w:type="paragraph" w:styleId="Zadevapripombe">
    <w:name w:val="annotation subject"/>
    <w:basedOn w:val="Pripombabesedilo"/>
    <w:next w:val="Pripombabesedilo"/>
    <w:link w:val="ZadevapripombeZnak"/>
    <w:uiPriority w:val="99"/>
    <w:semiHidden/>
    <w:unhideWhenUsed/>
    <w:rsid w:val="00FD07A3"/>
    <w:rPr>
      <w:b/>
      <w:bCs/>
    </w:rPr>
  </w:style>
  <w:style w:type="character" w:customStyle="1" w:styleId="ZadevapripombeZnak">
    <w:name w:val="Zadeva pripombe Znak"/>
    <w:basedOn w:val="PripombabesediloZnak"/>
    <w:link w:val="Zadevapripombe"/>
    <w:uiPriority w:val="99"/>
    <w:semiHidden/>
    <w:rsid w:val="00FD07A3"/>
    <w:rPr>
      <w:b/>
      <w:bCs/>
      <w:sz w:val="20"/>
      <w:szCs w:val="20"/>
    </w:rPr>
  </w:style>
  <w:style w:type="paragraph" w:styleId="Besedilooblaka">
    <w:name w:val="Balloon Text"/>
    <w:basedOn w:val="Navaden"/>
    <w:link w:val="BesedilooblakaZnak"/>
    <w:uiPriority w:val="99"/>
    <w:semiHidden/>
    <w:unhideWhenUsed/>
    <w:rsid w:val="00FD07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07A3"/>
    <w:rPr>
      <w:rFonts w:ascii="Tahoma" w:hAnsi="Tahoma" w:cs="Tahoma"/>
      <w:sz w:val="16"/>
      <w:szCs w:val="16"/>
    </w:rPr>
  </w:style>
  <w:style w:type="character" w:styleId="Hiperpovezava">
    <w:name w:val="Hyperlink"/>
    <w:basedOn w:val="Privzetapisavaodstavka"/>
    <w:uiPriority w:val="99"/>
    <w:semiHidden/>
    <w:unhideWhenUsed/>
    <w:rsid w:val="00776D53"/>
    <w:rPr>
      <w:color w:val="0000FF"/>
      <w:u w:val="single"/>
    </w:rPr>
  </w:style>
  <w:style w:type="paragraph" w:styleId="Glava">
    <w:name w:val="header"/>
    <w:basedOn w:val="Navaden"/>
    <w:link w:val="GlavaZnak"/>
    <w:uiPriority w:val="99"/>
    <w:unhideWhenUsed/>
    <w:rsid w:val="00031282"/>
    <w:pPr>
      <w:tabs>
        <w:tab w:val="center" w:pos="4536"/>
        <w:tab w:val="right" w:pos="9072"/>
      </w:tabs>
      <w:spacing w:after="0" w:line="240" w:lineRule="auto"/>
    </w:pPr>
  </w:style>
  <w:style w:type="character" w:customStyle="1" w:styleId="GlavaZnak">
    <w:name w:val="Glava Znak"/>
    <w:basedOn w:val="Privzetapisavaodstavka"/>
    <w:link w:val="Glava"/>
    <w:uiPriority w:val="99"/>
    <w:rsid w:val="00031282"/>
  </w:style>
  <w:style w:type="paragraph" w:styleId="Noga">
    <w:name w:val="footer"/>
    <w:basedOn w:val="Navaden"/>
    <w:link w:val="NogaZnak"/>
    <w:uiPriority w:val="99"/>
    <w:unhideWhenUsed/>
    <w:rsid w:val="00031282"/>
    <w:pPr>
      <w:tabs>
        <w:tab w:val="center" w:pos="4536"/>
        <w:tab w:val="right" w:pos="9072"/>
      </w:tabs>
      <w:spacing w:after="0" w:line="240" w:lineRule="auto"/>
    </w:pPr>
  </w:style>
  <w:style w:type="character" w:customStyle="1" w:styleId="NogaZnak">
    <w:name w:val="Noga Znak"/>
    <w:basedOn w:val="Privzetapisavaodstavka"/>
    <w:link w:val="Noga"/>
    <w:uiPriority w:val="99"/>
    <w:rsid w:val="0003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632">
      <w:bodyDiv w:val="1"/>
      <w:marLeft w:val="0"/>
      <w:marRight w:val="0"/>
      <w:marTop w:val="0"/>
      <w:marBottom w:val="0"/>
      <w:divBdr>
        <w:top w:val="none" w:sz="0" w:space="0" w:color="auto"/>
        <w:left w:val="none" w:sz="0" w:space="0" w:color="auto"/>
        <w:bottom w:val="none" w:sz="0" w:space="0" w:color="auto"/>
        <w:right w:val="none" w:sz="0" w:space="0" w:color="auto"/>
      </w:divBdr>
    </w:div>
    <w:div w:id="163740597">
      <w:bodyDiv w:val="1"/>
      <w:marLeft w:val="0"/>
      <w:marRight w:val="0"/>
      <w:marTop w:val="0"/>
      <w:marBottom w:val="0"/>
      <w:divBdr>
        <w:top w:val="none" w:sz="0" w:space="0" w:color="auto"/>
        <w:left w:val="none" w:sz="0" w:space="0" w:color="auto"/>
        <w:bottom w:val="none" w:sz="0" w:space="0" w:color="auto"/>
        <w:right w:val="none" w:sz="0" w:space="0" w:color="auto"/>
      </w:divBdr>
    </w:div>
    <w:div w:id="350958346">
      <w:bodyDiv w:val="1"/>
      <w:marLeft w:val="0"/>
      <w:marRight w:val="0"/>
      <w:marTop w:val="0"/>
      <w:marBottom w:val="0"/>
      <w:divBdr>
        <w:top w:val="none" w:sz="0" w:space="0" w:color="auto"/>
        <w:left w:val="none" w:sz="0" w:space="0" w:color="auto"/>
        <w:bottom w:val="none" w:sz="0" w:space="0" w:color="auto"/>
        <w:right w:val="none" w:sz="0" w:space="0" w:color="auto"/>
      </w:divBdr>
    </w:div>
    <w:div w:id="360741604">
      <w:bodyDiv w:val="1"/>
      <w:marLeft w:val="0"/>
      <w:marRight w:val="0"/>
      <w:marTop w:val="0"/>
      <w:marBottom w:val="0"/>
      <w:divBdr>
        <w:top w:val="none" w:sz="0" w:space="0" w:color="auto"/>
        <w:left w:val="none" w:sz="0" w:space="0" w:color="auto"/>
        <w:bottom w:val="none" w:sz="0" w:space="0" w:color="auto"/>
        <w:right w:val="none" w:sz="0" w:space="0" w:color="auto"/>
      </w:divBdr>
    </w:div>
    <w:div w:id="567153634">
      <w:bodyDiv w:val="1"/>
      <w:marLeft w:val="0"/>
      <w:marRight w:val="0"/>
      <w:marTop w:val="0"/>
      <w:marBottom w:val="0"/>
      <w:divBdr>
        <w:top w:val="none" w:sz="0" w:space="0" w:color="auto"/>
        <w:left w:val="none" w:sz="0" w:space="0" w:color="auto"/>
        <w:bottom w:val="none" w:sz="0" w:space="0" w:color="auto"/>
        <w:right w:val="none" w:sz="0" w:space="0" w:color="auto"/>
      </w:divBdr>
    </w:div>
    <w:div w:id="750741587">
      <w:bodyDiv w:val="1"/>
      <w:marLeft w:val="0"/>
      <w:marRight w:val="0"/>
      <w:marTop w:val="0"/>
      <w:marBottom w:val="0"/>
      <w:divBdr>
        <w:top w:val="none" w:sz="0" w:space="0" w:color="auto"/>
        <w:left w:val="none" w:sz="0" w:space="0" w:color="auto"/>
        <w:bottom w:val="none" w:sz="0" w:space="0" w:color="auto"/>
        <w:right w:val="none" w:sz="0" w:space="0" w:color="auto"/>
      </w:divBdr>
    </w:div>
    <w:div w:id="773017123">
      <w:bodyDiv w:val="1"/>
      <w:marLeft w:val="0"/>
      <w:marRight w:val="0"/>
      <w:marTop w:val="0"/>
      <w:marBottom w:val="0"/>
      <w:divBdr>
        <w:top w:val="none" w:sz="0" w:space="0" w:color="auto"/>
        <w:left w:val="none" w:sz="0" w:space="0" w:color="auto"/>
        <w:bottom w:val="none" w:sz="0" w:space="0" w:color="auto"/>
        <w:right w:val="none" w:sz="0" w:space="0" w:color="auto"/>
      </w:divBdr>
    </w:div>
    <w:div w:id="930431351">
      <w:bodyDiv w:val="1"/>
      <w:marLeft w:val="0"/>
      <w:marRight w:val="0"/>
      <w:marTop w:val="0"/>
      <w:marBottom w:val="0"/>
      <w:divBdr>
        <w:top w:val="none" w:sz="0" w:space="0" w:color="auto"/>
        <w:left w:val="none" w:sz="0" w:space="0" w:color="auto"/>
        <w:bottom w:val="none" w:sz="0" w:space="0" w:color="auto"/>
        <w:right w:val="none" w:sz="0" w:space="0" w:color="auto"/>
      </w:divBdr>
    </w:div>
    <w:div w:id="1151558568">
      <w:bodyDiv w:val="1"/>
      <w:marLeft w:val="0"/>
      <w:marRight w:val="0"/>
      <w:marTop w:val="0"/>
      <w:marBottom w:val="0"/>
      <w:divBdr>
        <w:top w:val="none" w:sz="0" w:space="0" w:color="auto"/>
        <w:left w:val="none" w:sz="0" w:space="0" w:color="auto"/>
        <w:bottom w:val="none" w:sz="0" w:space="0" w:color="auto"/>
        <w:right w:val="none" w:sz="0" w:space="0" w:color="auto"/>
      </w:divBdr>
    </w:div>
    <w:div w:id="1352099017">
      <w:bodyDiv w:val="1"/>
      <w:marLeft w:val="0"/>
      <w:marRight w:val="0"/>
      <w:marTop w:val="0"/>
      <w:marBottom w:val="0"/>
      <w:divBdr>
        <w:top w:val="none" w:sz="0" w:space="0" w:color="auto"/>
        <w:left w:val="none" w:sz="0" w:space="0" w:color="auto"/>
        <w:bottom w:val="none" w:sz="0" w:space="0" w:color="auto"/>
        <w:right w:val="none" w:sz="0" w:space="0" w:color="auto"/>
      </w:divBdr>
    </w:div>
    <w:div w:id="19567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48A5-AD6C-431C-B586-6D036FC9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8476</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DragoM</dc:creator>
  <cp:lastModifiedBy>Dušan Jakop</cp:lastModifiedBy>
  <cp:revision>2</cp:revision>
  <cp:lastPrinted>2016-11-22T10:22:00Z</cp:lastPrinted>
  <dcterms:created xsi:type="dcterms:W3CDTF">2018-12-18T12:28:00Z</dcterms:created>
  <dcterms:modified xsi:type="dcterms:W3CDTF">2018-12-18T12:28:00Z</dcterms:modified>
</cp:coreProperties>
</file>