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EF11FE">
        <w:t>007-4/2016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Pr="00EF11FE" w:rsidRDefault="00EF11FE" w:rsidP="000B5C53">
      <w:pPr>
        <w:pStyle w:val="Brezrazmikov"/>
        <w:jc w:val="both"/>
        <w:rPr>
          <w:rFonts w:cstheme="minorHAnsi"/>
          <w:sz w:val="24"/>
        </w:rPr>
      </w:pPr>
      <w:r w:rsidRPr="00EF11FE">
        <w:rPr>
          <w:rFonts w:eastAsia="Calibri" w:cstheme="minorHAnsi"/>
          <w:szCs w:val="20"/>
        </w:rPr>
        <w:t xml:space="preserve">Na podlagi 3. člena </w:t>
      </w:r>
      <w:r w:rsidRPr="00EF11FE">
        <w:rPr>
          <w:rFonts w:eastAsia="Calibri" w:cstheme="minorHAnsi"/>
          <w:bCs/>
          <w:szCs w:val="20"/>
        </w:rPr>
        <w:t xml:space="preserve">Zakona o zavodih (Uradni list RS, št. 12/91, </w:t>
      </w:r>
      <w:hyperlink r:id="rId5" w:tgtFrame="_blank" w:tooltip="Zakon o spremembi zakona o zavodih" w:history="1">
        <w:r w:rsidRPr="00EF11FE">
          <w:rPr>
            <w:rFonts w:eastAsia="Calibri" w:cstheme="minorHAnsi"/>
            <w:bCs/>
            <w:szCs w:val="20"/>
          </w:rPr>
          <w:t>8/96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6" w:tgtFrame="_blank" w:tooltip="Zakon o preprečevanju dela in zaposlovanja na črno" w:history="1">
        <w:r w:rsidRPr="00EF11FE">
          <w:rPr>
            <w:rFonts w:eastAsia="Calibri" w:cstheme="minorHAnsi"/>
            <w:bCs/>
            <w:szCs w:val="20"/>
          </w:rPr>
          <w:t>36/00</w:t>
        </w:r>
      </w:hyperlink>
      <w:r w:rsidRPr="00EF11FE">
        <w:rPr>
          <w:rFonts w:eastAsia="Calibri" w:cstheme="minorHAnsi"/>
          <w:bCs/>
          <w:szCs w:val="20"/>
        </w:rPr>
        <w:t xml:space="preserve"> – ZPDZC in </w:t>
      </w:r>
      <w:hyperlink r:id="rId7" w:tgtFrame="_blank" w:tooltip="Zakon o javno-zasebnem partnerstvu" w:history="1">
        <w:r w:rsidRPr="00EF11FE">
          <w:rPr>
            <w:rFonts w:eastAsia="Calibri" w:cstheme="minorHAnsi"/>
            <w:bCs/>
            <w:szCs w:val="20"/>
          </w:rPr>
          <w:t>127/06</w:t>
        </w:r>
      </w:hyperlink>
      <w:r w:rsidRPr="00EF11FE">
        <w:rPr>
          <w:rFonts w:eastAsia="Calibri" w:cstheme="minorHAnsi"/>
          <w:bCs/>
          <w:szCs w:val="20"/>
        </w:rPr>
        <w:t xml:space="preserve"> – ZJZP)</w:t>
      </w:r>
      <w:r w:rsidRPr="00EF11FE">
        <w:rPr>
          <w:rFonts w:eastAsia="Calibri" w:cstheme="minorHAnsi"/>
          <w:szCs w:val="20"/>
        </w:rPr>
        <w:t xml:space="preserve">, 40. in 41. člena </w:t>
      </w:r>
      <w:r w:rsidRPr="00EF11FE">
        <w:rPr>
          <w:rFonts w:eastAsia="Calibri" w:cstheme="minorHAnsi"/>
          <w:bCs/>
          <w:szCs w:val="20"/>
        </w:rPr>
        <w:t xml:space="preserve">Zakona o organizaciji in financiranju vzgoje in izobraževanja (Uradni list RS, št. </w:t>
      </w:r>
      <w:hyperlink r:id="rId8" w:tgtFrame="_blank" w:tooltip="Zakon o organizaciji in financiranju vzgoje in izobraževanja (uradno prečiščeno besedilo)" w:history="1">
        <w:r w:rsidRPr="00EF11FE">
          <w:rPr>
            <w:rFonts w:eastAsia="Calibri" w:cstheme="minorHAnsi"/>
            <w:bCs/>
            <w:szCs w:val="20"/>
          </w:rPr>
          <w:t>16/07</w:t>
        </w:r>
      </w:hyperlink>
      <w:r w:rsidRPr="00EF11FE">
        <w:rPr>
          <w:rFonts w:eastAsia="Calibri" w:cstheme="minorHAnsi"/>
          <w:bCs/>
          <w:szCs w:val="20"/>
        </w:rPr>
        <w:t xml:space="preserve"> – uradno prečiščeno besedilo, </w:t>
      </w:r>
      <w:hyperlink r:id="rId9" w:tgtFrame="_blank" w:tooltip="Zakon o spremembah in dopolnitvah Zakona o organizaciji in financiranju vzgoje in izobraževanja" w:history="1">
        <w:r w:rsidRPr="00EF11FE">
          <w:rPr>
            <w:rFonts w:eastAsia="Calibri" w:cstheme="minorHAnsi"/>
            <w:bCs/>
            <w:szCs w:val="20"/>
          </w:rPr>
          <w:t>36/08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0" w:tgtFrame="_blank" w:tooltip="Zakon o spremembah in dopolnitvah Zakona o organizaciji in financiranju vzgoje in izobraževanja" w:history="1">
        <w:r w:rsidRPr="00EF11FE">
          <w:rPr>
            <w:rFonts w:eastAsia="Calibri" w:cstheme="minorHAnsi"/>
            <w:bCs/>
            <w:szCs w:val="20"/>
          </w:rPr>
          <w:t>58/09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EF11FE">
          <w:rPr>
            <w:rFonts w:eastAsia="Calibri" w:cstheme="minorHAnsi"/>
            <w:bCs/>
            <w:szCs w:val="20"/>
          </w:rPr>
          <w:t xml:space="preserve">64/09 – </w:t>
        </w:r>
        <w:proofErr w:type="spellStart"/>
        <w:r w:rsidRPr="00EF11FE">
          <w:rPr>
            <w:rFonts w:eastAsia="Calibri" w:cstheme="minorHAnsi"/>
            <w:bCs/>
            <w:szCs w:val="20"/>
          </w:rPr>
          <w:t>popr</w:t>
        </w:r>
        <w:proofErr w:type="spellEnd"/>
        <w:r w:rsidRPr="00EF11FE">
          <w:rPr>
            <w:rFonts w:eastAsia="Calibri" w:cstheme="minorHAnsi"/>
            <w:bCs/>
            <w:szCs w:val="20"/>
          </w:rPr>
          <w:t>.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2" w:tgtFrame="_blank" w:tooltip="Popravek Zakona o spremembah in dopolnitvah Zakona o organizaciji in financiranju vzgoje in izobraževanja (ZOFVI-H)" w:history="1">
        <w:r w:rsidRPr="00EF11FE">
          <w:rPr>
            <w:rFonts w:eastAsia="Calibri" w:cstheme="minorHAnsi"/>
            <w:bCs/>
            <w:szCs w:val="20"/>
          </w:rPr>
          <w:t xml:space="preserve">65/09 – </w:t>
        </w:r>
        <w:proofErr w:type="spellStart"/>
        <w:r w:rsidRPr="00EF11FE">
          <w:rPr>
            <w:rFonts w:eastAsia="Calibri" w:cstheme="minorHAnsi"/>
            <w:bCs/>
            <w:szCs w:val="20"/>
          </w:rPr>
          <w:t>popr</w:t>
        </w:r>
        <w:proofErr w:type="spellEnd"/>
        <w:r w:rsidRPr="00EF11FE">
          <w:rPr>
            <w:rFonts w:eastAsia="Calibri" w:cstheme="minorHAnsi"/>
            <w:bCs/>
            <w:szCs w:val="20"/>
          </w:rPr>
          <w:t>.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3" w:tgtFrame="_blank" w:tooltip="Zakon o spremembah in dopolnitvah Zakona o organizaciji in financiranju vzgoje in izobraževanja" w:history="1">
        <w:r w:rsidRPr="00EF11FE">
          <w:rPr>
            <w:rFonts w:eastAsia="Calibri" w:cstheme="minorHAnsi"/>
            <w:bCs/>
            <w:szCs w:val="20"/>
          </w:rPr>
          <w:t>20/11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4" w:tgtFrame="_blank" w:tooltip="Zakon za uravnoteženje javnih financ" w:history="1">
        <w:r w:rsidRPr="00EF11FE">
          <w:rPr>
            <w:rFonts w:eastAsia="Calibri" w:cstheme="minorHAnsi"/>
            <w:bCs/>
            <w:szCs w:val="20"/>
          </w:rPr>
          <w:t>40/12</w:t>
        </w:r>
      </w:hyperlink>
      <w:r w:rsidRPr="00EF11FE">
        <w:rPr>
          <w:rFonts w:eastAsia="Calibri" w:cstheme="minorHAnsi"/>
          <w:bCs/>
          <w:szCs w:val="20"/>
        </w:rPr>
        <w:t xml:space="preserve"> – ZUJF, </w:t>
      </w:r>
      <w:hyperlink r:id="rId15" w:tgtFrame="_blank" w:tooltip="Zakon o spremembah in dopolnitvah Zakona o prevozih v cestnem prometu" w:history="1">
        <w:r w:rsidRPr="00EF11FE">
          <w:rPr>
            <w:rFonts w:eastAsia="Calibri" w:cstheme="minorHAnsi"/>
            <w:bCs/>
            <w:szCs w:val="20"/>
          </w:rPr>
          <w:t>57/12</w:t>
        </w:r>
      </w:hyperlink>
      <w:r w:rsidRPr="00EF11FE">
        <w:rPr>
          <w:rFonts w:eastAsia="Calibri" w:cstheme="minorHAnsi"/>
          <w:bCs/>
          <w:szCs w:val="20"/>
        </w:rPr>
        <w:t xml:space="preserve"> – ZPCP-2D, </w:t>
      </w:r>
      <w:hyperlink r:id="rId16" w:tgtFrame="_blank" w:tooltip="Zakon o spremembi Zakona o spremembah in dopolnitvah Zakona o organizaciji in financiranju vzgoje in izobraževanja" w:history="1">
        <w:r w:rsidRPr="00EF11FE">
          <w:rPr>
            <w:rFonts w:eastAsia="Calibri" w:cstheme="minorHAnsi"/>
            <w:bCs/>
            <w:szCs w:val="20"/>
          </w:rPr>
          <w:t>47/15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7" w:tgtFrame="_blank" w:tooltip="Zakon o spremembah in dopolnitvah Zakona o organizaciji in financiranju vzgoje in izobraževanja" w:history="1">
        <w:r w:rsidRPr="00EF11FE">
          <w:rPr>
            <w:rFonts w:eastAsia="Calibri" w:cstheme="minorHAnsi"/>
            <w:bCs/>
            <w:szCs w:val="20"/>
          </w:rPr>
          <w:t>46/16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18" w:tgtFrame="_blank" w:tooltip="Popravek Zakona o spremembah in dopolnitvah Zakona o organizaciji in financiranju vzgoje in izobraževanja (ZOFVI-L)" w:history="1">
        <w:r w:rsidRPr="00EF11FE">
          <w:rPr>
            <w:rFonts w:eastAsia="Calibri" w:cstheme="minorHAnsi"/>
            <w:bCs/>
            <w:szCs w:val="20"/>
          </w:rPr>
          <w:t xml:space="preserve">49/16 – </w:t>
        </w:r>
        <w:proofErr w:type="spellStart"/>
        <w:r w:rsidRPr="00EF11FE">
          <w:rPr>
            <w:rFonts w:eastAsia="Calibri" w:cstheme="minorHAnsi"/>
            <w:bCs/>
            <w:szCs w:val="20"/>
          </w:rPr>
          <w:t>popr</w:t>
        </w:r>
        <w:proofErr w:type="spellEnd"/>
        <w:r w:rsidRPr="00EF11FE">
          <w:rPr>
            <w:rFonts w:eastAsia="Calibri" w:cstheme="minorHAnsi"/>
            <w:bCs/>
            <w:szCs w:val="20"/>
          </w:rPr>
          <w:t>.</w:t>
        </w:r>
      </w:hyperlink>
      <w:r w:rsidRPr="00EF11FE">
        <w:rPr>
          <w:rFonts w:eastAsia="Calibri" w:cstheme="minorHAnsi"/>
          <w:bCs/>
          <w:szCs w:val="20"/>
        </w:rPr>
        <w:t xml:space="preserve"> in </w:t>
      </w:r>
      <w:hyperlink r:id="rId19" w:tgtFrame="_blank" w:tooltip="Zakon o vajeništvu" w:history="1">
        <w:r w:rsidRPr="00EF11FE">
          <w:rPr>
            <w:rFonts w:eastAsia="Calibri" w:cstheme="minorHAnsi"/>
            <w:bCs/>
            <w:szCs w:val="20"/>
          </w:rPr>
          <w:t>25/17</w:t>
        </w:r>
      </w:hyperlink>
      <w:r w:rsidRPr="00EF11FE">
        <w:rPr>
          <w:rFonts w:eastAsia="Calibri" w:cstheme="minorHAnsi"/>
          <w:bCs/>
          <w:szCs w:val="20"/>
        </w:rPr>
        <w:t xml:space="preserve"> – </w:t>
      </w:r>
      <w:proofErr w:type="spellStart"/>
      <w:r w:rsidRPr="00EF11FE">
        <w:rPr>
          <w:rFonts w:eastAsia="Calibri" w:cstheme="minorHAnsi"/>
          <w:bCs/>
          <w:szCs w:val="20"/>
        </w:rPr>
        <w:t>ZVaj</w:t>
      </w:r>
      <w:proofErr w:type="spellEnd"/>
      <w:r w:rsidRPr="00EF11FE">
        <w:rPr>
          <w:rFonts w:eastAsia="Calibri" w:cstheme="minorHAnsi"/>
          <w:bCs/>
          <w:szCs w:val="20"/>
        </w:rPr>
        <w:t xml:space="preserve">) </w:t>
      </w:r>
      <w:r w:rsidRPr="00EF11FE">
        <w:rPr>
          <w:rFonts w:eastAsia="Calibri" w:cstheme="minorHAnsi"/>
          <w:szCs w:val="20"/>
        </w:rPr>
        <w:t xml:space="preserve">in </w:t>
      </w:r>
      <w:r w:rsidRPr="00EF11FE">
        <w:rPr>
          <w:rFonts w:eastAsia="Calibri" w:cstheme="minorHAnsi"/>
          <w:bCs/>
          <w:szCs w:val="20"/>
        </w:rPr>
        <w:t xml:space="preserve">Zakona o usmerjanju otrok s posebnimi potrebami (Uradni list RS, št. </w:t>
      </w:r>
      <w:hyperlink r:id="rId20" w:tgtFrame="_blank" w:tooltip="Zakon o usmerjanju otrok s posebnimi potrebami (ZUOPP-1)" w:history="1">
        <w:r w:rsidRPr="00EF11FE">
          <w:rPr>
            <w:rFonts w:eastAsia="Calibri" w:cstheme="minorHAnsi"/>
            <w:bCs/>
            <w:szCs w:val="20"/>
          </w:rPr>
          <w:t>58/11</w:t>
        </w:r>
      </w:hyperlink>
      <w:r w:rsidRPr="00EF11FE">
        <w:rPr>
          <w:rFonts w:eastAsia="Calibri" w:cstheme="minorHAnsi"/>
          <w:bCs/>
          <w:szCs w:val="20"/>
        </w:rPr>
        <w:t xml:space="preserve">, </w:t>
      </w:r>
      <w:hyperlink r:id="rId21" w:tgtFrame="_blank" w:tooltip="Zakon za uravnoteženje javnih financ" w:history="1">
        <w:r w:rsidRPr="00EF11FE">
          <w:rPr>
            <w:rFonts w:eastAsia="Calibri" w:cstheme="minorHAnsi"/>
            <w:bCs/>
            <w:szCs w:val="20"/>
          </w:rPr>
          <w:t>40/12</w:t>
        </w:r>
      </w:hyperlink>
      <w:r w:rsidRPr="00EF11FE">
        <w:rPr>
          <w:rFonts w:eastAsia="Calibri" w:cstheme="minorHAnsi"/>
          <w:bCs/>
          <w:szCs w:val="20"/>
        </w:rPr>
        <w:t xml:space="preserve"> – ZUJF, </w:t>
      </w:r>
      <w:hyperlink r:id="rId22" w:tgtFrame="_blank" w:tooltip="Zakon o spremembi Zakona o usmerjanju otrok s posebnimi potrebami" w:history="1">
        <w:r w:rsidRPr="00EF11FE">
          <w:rPr>
            <w:rFonts w:eastAsia="Calibri" w:cstheme="minorHAnsi"/>
            <w:bCs/>
            <w:szCs w:val="20"/>
          </w:rPr>
          <w:t>90/12</w:t>
        </w:r>
      </w:hyperlink>
      <w:r w:rsidRPr="00EF11FE">
        <w:rPr>
          <w:rFonts w:eastAsia="Calibri" w:cstheme="minorHAnsi"/>
          <w:bCs/>
          <w:szCs w:val="20"/>
        </w:rPr>
        <w:t xml:space="preserve"> in </w:t>
      </w:r>
      <w:hyperlink r:id="rId23" w:tgtFrame="_blank" w:tooltip="Zakon o celostni zgodnji obravnavi predšolskih otrok s posebnimi potrebami" w:history="1">
        <w:r w:rsidRPr="00EF11FE">
          <w:rPr>
            <w:rFonts w:eastAsia="Calibri" w:cstheme="minorHAnsi"/>
            <w:bCs/>
            <w:szCs w:val="20"/>
          </w:rPr>
          <w:t>41/17</w:t>
        </w:r>
      </w:hyperlink>
      <w:r w:rsidRPr="00EF11FE">
        <w:rPr>
          <w:rFonts w:eastAsia="Calibri" w:cstheme="minorHAnsi"/>
          <w:bCs/>
          <w:szCs w:val="20"/>
        </w:rPr>
        <w:t xml:space="preserve"> – ZOPOPP)</w:t>
      </w:r>
      <w:r w:rsidRPr="00EF11FE">
        <w:rPr>
          <w:rFonts w:eastAsia="Calibri" w:cstheme="minorHAnsi"/>
          <w:szCs w:val="20"/>
        </w:rPr>
        <w:t>,</w:t>
      </w:r>
      <w:r w:rsidRPr="00EF11FE">
        <w:rPr>
          <w:rFonts w:eastAsia="Calibri" w:cstheme="minorHAnsi"/>
          <w:szCs w:val="20"/>
        </w:rPr>
        <w:t xml:space="preserve"> 15. člena Statuta Občine Kidričevo (Uradno glasilo slovenskih občin, št. 62/6 in 16/18) je občinski svet Občine Kidričevo, na soji __________ seji, dne ________ sprejel</w:t>
      </w:r>
    </w:p>
    <w:p w:rsidR="00A169C1" w:rsidRDefault="00A169C1" w:rsidP="000B5C53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EF11FE" w:rsidP="00D22F5F">
      <w:pPr>
        <w:pStyle w:val="Brezrazmikov"/>
        <w:jc w:val="both"/>
      </w:pPr>
      <w:r>
        <w:t xml:space="preserve">Občinski svet Občine Kidričevo sprejme Odlok o ustanovitvi javnega vzgojno-izobraževalnega zavoda Osnovna šola dr. Ljudevita Pivka Ptuj. </w:t>
      </w: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  <w:r>
        <w:t xml:space="preserve">Odlok je priloga in sestani del tega sklepa.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  <w:bookmarkStart w:id="0" w:name="_GoBack"/>
      <w:bookmarkEnd w:id="0"/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69C1"/>
    <w:rsid w:val="00A1752C"/>
    <w:rsid w:val="00BF74B4"/>
    <w:rsid w:val="00C810C1"/>
    <w:rsid w:val="00CC59A1"/>
    <w:rsid w:val="00D026D2"/>
    <w:rsid w:val="00D22F5F"/>
    <w:rsid w:val="00D730CF"/>
    <w:rsid w:val="00E5247F"/>
    <w:rsid w:val="00E705C3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FC3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11-01-0821" TargetMode="External"/><Relationship Id="rId18" Type="http://schemas.openxmlformats.org/officeDocument/2006/relationships/hyperlink" Target="http://www.uradni-list.si/1/objava.jsp?sop=2016-21-2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2-01-1700" TargetMode="External"/><Relationship Id="rId7" Type="http://schemas.openxmlformats.org/officeDocument/2006/relationships/hyperlink" Target="http://www.uradni-list.si/1/objava.jsp?sop=2006-01-5348" TargetMode="External"/><Relationship Id="rId12" Type="http://schemas.openxmlformats.org/officeDocument/2006/relationships/hyperlink" Target="http://www.uradni-list.si/1/objava.jsp?sop=2009-21-3051" TargetMode="External"/><Relationship Id="rId17" Type="http://schemas.openxmlformats.org/officeDocument/2006/relationships/hyperlink" Target="http://www.uradni-list.si/1/objava.jsp?sop=2016-01-199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5-01-1934" TargetMode="External"/><Relationship Id="rId20" Type="http://schemas.openxmlformats.org/officeDocument/2006/relationships/hyperlink" Target="http://www.uradni-list.si/1/objava.jsp?sop=2011-01-27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0-01-1687" TargetMode="External"/><Relationship Id="rId11" Type="http://schemas.openxmlformats.org/officeDocument/2006/relationships/hyperlink" Target="http://www.uradni-list.si/1/objava.jsp?sop=2009-21-30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radni-list.si/1/objava.jsp?sop=1996-01-0379" TargetMode="External"/><Relationship Id="rId15" Type="http://schemas.openxmlformats.org/officeDocument/2006/relationships/hyperlink" Target="http://www.uradni-list.si/1/objava.jsp?sop=2012-01-2410" TargetMode="External"/><Relationship Id="rId23" Type="http://schemas.openxmlformats.org/officeDocument/2006/relationships/hyperlink" Target="http://www.uradni-list.si/1/objava.jsp?sop=2017-01-2065" TargetMode="External"/><Relationship Id="rId10" Type="http://schemas.openxmlformats.org/officeDocument/2006/relationships/hyperlink" Target="http://www.uradni-list.si/1/objava.jsp?sop=2009-01-2871" TargetMode="External"/><Relationship Id="rId19" Type="http://schemas.openxmlformats.org/officeDocument/2006/relationships/hyperlink" Target="http://www.uradni-list.si/1/objava.jsp?sop=2017-01-132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radni-list.si/1/objava.jsp?sop=2008-01-1460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2-01-353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2020-06-23T08:49:00Z</cp:lastPrinted>
  <dcterms:created xsi:type="dcterms:W3CDTF">2020-11-26T08:20:00Z</dcterms:created>
  <dcterms:modified xsi:type="dcterms:W3CDTF">2020-11-26T08:20:00Z</dcterms:modified>
</cp:coreProperties>
</file>