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5F" w:rsidRPr="0098384D" w:rsidRDefault="00D22F5F" w:rsidP="00D22F5F">
      <w:pPr>
        <w:pStyle w:val="Brezrazmikov"/>
        <w:jc w:val="center"/>
        <w:rPr>
          <w:b/>
          <w:bCs/>
        </w:rPr>
      </w:pPr>
      <w:bookmarkStart w:id="0" w:name="_GoBack"/>
      <w:bookmarkEnd w:id="0"/>
      <w:r w:rsidRPr="0098384D">
        <w:rPr>
          <w:b/>
          <w:bCs/>
          <w:noProof/>
          <w:lang w:eastAsia="sl-SI"/>
        </w:rPr>
        <w:drawing>
          <wp:inline distT="0" distB="0" distL="0" distR="0" wp14:anchorId="580C268F" wp14:editId="65302479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5F" w:rsidRPr="0098384D" w:rsidRDefault="00D22F5F" w:rsidP="00D22F5F">
      <w:pPr>
        <w:pStyle w:val="Brezrazmikov"/>
        <w:jc w:val="center"/>
        <w:rPr>
          <w:b/>
          <w:bCs/>
        </w:rPr>
      </w:pP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Odbor za družbene dejavnosti</w:t>
      </w: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AE26A6" w:rsidRDefault="00EB52FF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  <w:r>
        <w:t>Štev. 602-1</w:t>
      </w:r>
      <w:r w:rsidR="009638CF">
        <w:t>8</w:t>
      </w:r>
      <w:r>
        <w:t>/201</w:t>
      </w:r>
      <w:r w:rsidR="009638CF">
        <w:t>9</w:t>
      </w:r>
    </w:p>
    <w:p w:rsidR="00D22F5F" w:rsidRDefault="00D22F5F" w:rsidP="00D22F5F">
      <w:pPr>
        <w:pStyle w:val="Brezrazmikov"/>
        <w:jc w:val="both"/>
      </w:pPr>
      <w:r>
        <w:t xml:space="preserve">Dne </w:t>
      </w:r>
      <w:r w:rsidR="009638CF">
        <w:t>4</w:t>
      </w:r>
      <w:r w:rsidR="00C810C1">
        <w:t>.6.2018</w:t>
      </w:r>
    </w:p>
    <w:p w:rsidR="00D22F5F" w:rsidRDefault="00D22F5F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  <w:r>
        <w:t xml:space="preserve">Odbor za družbene dejavnosti v skladi s </w:t>
      </w:r>
      <w:r w:rsidR="00A1752C">
        <w:t>54. členom Poslovnika Občinskega sveta Občine Kidričevo (Uradno glasilo slovenskih občin, št. 36/17 in 16/18</w:t>
      </w:r>
      <w:r w:rsidR="009638CF">
        <w:t>)</w:t>
      </w:r>
      <w:r w:rsidR="00A1752C">
        <w:t>, predlaga občinskemu svetu Občine Kidričevo, da poda soglasje k sistemizaciji delovnih mest v vrtcu pri Osnovni šoli Cirkovce za šolsko leto 201</w:t>
      </w:r>
      <w:r w:rsidR="009638CF">
        <w:t>9</w:t>
      </w:r>
      <w:r w:rsidR="00A1752C">
        <w:t>/20</w:t>
      </w:r>
      <w:r w:rsidR="009638CF">
        <w:t>20</w:t>
      </w:r>
      <w:r w:rsidR="00A1752C">
        <w:t>, in sicer:</w:t>
      </w:r>
    </w:p>
    <w:p w:rsidR="00A1752C" w:rsidRDefault="00A1752C" w:rsidP="00D22F5F">
      <w:pPr>
        <w:pStyle w:val="Brezrazmikov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8"/>
        <w:gridCol w:w="3016"/>
        <w:gridCol w:w="3018"/>
      </w:tblGrid>
      <w:tr w:rsidR="00A1752C" w:rsidTr="00A1752C">
        <w:tc>
          <w:tcPr>
            <w:tcW w:w="3070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Naziv delovnega mesta</w:t>
            </w:r>
          </w:p>
        </w:tc>
        <w:tc>
          <w:tcPr>
            <w:tcW w:w="3071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Tarifna skupina</w:t>
            </w:r>
          </w:p>
        </w:tc>
        <w:tc>
          <w:tcPr>
            <w:tcW w:w="3071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Število delovnih mest</w:t>
            </w:r>
          </w:p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Vzgojiteljica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5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Pomočnica vzgojiteljice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5,30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Pomočnica ravnateljice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0,45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Svetoval</w:t>
            </w:r>
            <w:r w:rsidR="00BF74B4">
              <w:t>n</w:t>
            </w:r>
            <w:r>
              <w:t>i delavec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9638CF" w:rsidP="00D22F5F">
            <w:pPr>
              <w:pStyle w:val="Brezrazmikov"/>
              <w:jc w:val="both"/>
            </w:pPr>
            <w:r>
              <w:t>0,10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Organizator zdravstveno-higienskega režima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0</w:t>
            </w:r>
            <w:r w:rsidR="009638CF">
              <w:t>,08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Organizator prehrane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9638CF" w:rsidP="00D22F5F">
            <w:pPr>
              <w:pStyle w:val="Brezrazmikov"/>
              <w:jc w:val="both"/>
            </w:pPr>
            <w:r>
              <w:t>0,08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Računovodja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0,20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Tajnik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0,20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Čistilka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II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0,65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Perica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II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0,10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Kuharica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IV</w:t>
            </w:r>
          </w:p>
        </w:tc>
        <w:tc>
          <w:tcPr>
            <w:tcW w:w="3071" w:type="dxa"/>
          </w:tcPr>
          <w:p w:rsidR="00A1752C" w:rsidRDefault="009638CF" w:rsidP="00D22F5F">
            <w:pPr>
              <w:pStyle w:val="Brezrazmikov"/>
              <w:jc w:val="both"/>
            </w:pPr>
            <w:r>
              <w:t>1,45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Hišnik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IV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0,20</w:t>
            </w:r>
          </w:p>
        </w:tc>
      </w:tr>
    </w:tbl>
    <w:p w:rsidR="00A1752C" w:rsidRDefault="00A1752C" w:rsidP="00D22F5F">
      <w:pPr>
        <w:pStyle w:val="Brezrazmikov"/>
        <w:jc w:val="both"/>
      </w:pPr>
    </w:p>
    <w:p w:rsidR="00A1752C" w:rsidRDefault="00A1752C" w:rsidP="00D22F5F">
      <w:pPr>
        <w:pStyle w:val="Brezrazmikov"/>
        <w:jc w:val="both"/>
      </w:pPr>
    </w:p>
    <w:p w:rsidR="00A1752C" w:rsidRDefault="00A1752C" w:rsidP="00A1752C">
      <w:pPr>
        <w:pStyle w:val="Brezrazmikov"/>
        <w:jc w:val="center"/>
      </w:pPr>
      <w:r>
        <w:t>OBRAZLOŽITEV</w:t>
      </w:r>
    </w:p>
    <w:p w:rsidR="00A1752C" w:rsidRDefault="00A1752C" w:rsidP="00A1752C">
      <w:pPr>
        <w:pStyle w:val="Brezrazmikov"/>
        <w:jc w:val="center"/>
      </w:pPr>
    </w:p>
    <w:p w:rsidR="009638CF" w:rsidRDefault="009638CF" w:rsidP="009638CF">
      <w:pPr>
        <w:pStyle w:val="Brezrazmikov"/>
        <w:jc w:val="both"/>
      </w:pPr>
      <w:r>
        <w:t xml:space="preserve">108. člen Zakona o organizaciji in financiranju vzgoje in izobraževanja  (ZOFVI) izrecno določa, da se sistemizacija delovnih mest določi na podlagi normativov in standardov, katero za vrtec pripravi ravnatelj v soglasju z ustanoviteljem. </w:t>
      </w:r>
    </w:p>
    <w:p w:rsidR="009638CF" w:rsidRDefault="009638CF" w:rsidP="009638CF">
      <w:pPr>
        <w:pStyle w:val="Brezrazmikov"/>
        <w:jc w:val="both"/>
      </w:pPr>
    </w:p>
    <w:p w:rsidR="00A1752C" w:rsidRDefault="009638CF" w:rsidP="009638CF">
      <w:pPr>
        <w:pStyle w:val="Brezrazmikov"/>
        <w:jc w:val="both"/>
      </w:pPr>
      <w:r>
        <w:t>V skladu z navedenem in upoštevajoč 45. člen Poslovnika občinskega sveta Občine Kidričevo, je o</w:t>
      </w:r>
      <w:r w:rsidR="00A1752C">
        <w:t>dbor za dr</w:t>
      </w:r>
      <w:r w:rsidR="00BF74B4">
        <w:t>užbene dejavnosti</w:t>
      </w:r>
      <w:r>
        <w:t xml:space="preserve"> na svoji 3</w:t>
      </w:r>
      <w:r w:rsidR="00A1752C">
        <w:t xml:space="preserve">. </w:t>
      </w:r>
      <w:r w:rsidR="00730FDA">
        <w:t>r</w:t>
      </w:r>
      <w:r w:rsidR="00A1752C">
        <w:t xml:space="preserve">edni seji, ki je bila, dne </w:t>
      </w:r>
      <w:r>
        <w:t>3.6.2019</w:t>
      </w:r>
      <w:r w:rsidR="00A1752C">
        <w:t xml:space="preserve"> obravnaval vlogo Osnovne š</w:t>
      </w:r>
      <w:r w:rsidR="00BF74B4">
        <w:t>ole Cirkovce, za podajo soglasja</w:t>
      </w:r>
      <w:r w:rsidR="00A1752C">
        <w:t xml:space="preserve"> k sistemizaciji delovnim mest v enoti vrtca pri Osnovni šoli Cirkovce</w:t>
      </w:r>
      <w:r w:rsidR="00730931">
        <w:t xml:space="preserve"> za šolsko leto 2019/2020</w:t>
      </w:r>
      <w:r w:rsidR="00A1752C">
        <w:t xml:space="preserve">. </w:t>
      </w:r>
    </w:p>
    <w:p w:rsidR="00A1752C" w:rsidRDefault="00A1752C" w:rsidP="00A1752C">
      <w:pPr>
        <w:pStyle w:val="Brezrazmikov"/>
        <w:jc w:val="both"/>
      </w:pPr>
    </w:p>
    <w:p w:rsidR="00A1752C" w:rsidRDefault="006F1886" w:rsidP="00A1752C">
      <w:pPr>
        <w:pStyle w:val="Brezrazmikov"/>
        <w:jc w:val="both"/>
      </w:pPr>
      <w:r>
        <w:t xml:space="preserve">Odbor za družbene dejavnosti pri pripravi predloga za podajo soglasja k sistemizaciji delovnih mest v enoti Vrtca Cirkovce, ni v celoti sledil predlogu, ki ga je podala Osnovna šola Cirkovce. </w:t>
      </w:r>
    </w:p>
    <w:p w:rsidR="006F1886" w:rsidRDefault="006F1886" w:rsidP="00A1752C">
      <w:pPr>
        <w:pStyle w:val="Brezrazmikov"/>
        <w:jc w:val="both"/>
      </w:pPr>
    </w:p>
    <w:p w:rsidR="006F1886" w:rsidRDefault="006F1886" w:rsidP="00A1752C">
      <w:pPr>
        <w:pStyle w:val="Brezrazmikov"/>
        <w:jc w:val="both"/>
      </w:pPr>
      <w:r>
        <w:t xml:space="preserve">Pri pregledu predloga za podajo soglasja odbor ugotavlja. </w:t>
      </w:r>
    </w:p>
    <w:p w:rsidR="006F1886" w:rsidRDefault="006F1886" w:rsidP="00A1752C">
      <w:pPr>
        <w:pStyle w:val="Brezrazmikov"/>
        <w:jc w:val="both"/>
      </w:pPr>
    </w:p>
    <w:p w:rsidR="006F1886" w:rsidRDefault="00730FDA" w:rsidP="00A1752C">
      <w:pPr>
        <w:pStyle w:val="Brezrazmikov"/>
        <w:jc w:val="both"/>
      </w:pPr>
      <w:r>
        <w:lastRenderedPageBreak/>
        <w:t>2</w:t>
      </w:r>
      <w:r w:rsidR="006F1886">
        <w:t xml:space="preserve">6. </w:t>
      </w:r>
      <w:r>
        <w:t>č</w:t>
      </w:r>
      <w:r w:rsidR="00BF74B4">
        <w:t>len</w:t>
      </w:r>
      <w:r w:rsidR="006F1886">
        <w:t xml:space="preserve"> Pravilnika o normativih za opravljanje dejavnosti predšolske vzgoje</w:t>
      </w:r>
      <w:r w:rsidR="009638CF">
        <w:t xml:space="preserve"> določa, da</w:t>
      </w:r>
      <w:r w:rsidR="006F1886">
        <w:t xml:space="preserve"> </w:t>
      </w:r>
      <w:r>
        <w:t>je sočasnost vzgojiteljice in p</w:t>
      </w:r>
      <w:r w:rsidR="00730931">
        <w:t>omočnice vzgojiteljice v oddelku</w:t>
      </w:r>
      <w:r>
        <w:t xml:space="preserve"> I. starostnega obdobja 6 ur, v oddelk</w:t>
      </w:r>
      <w:r w:rsidR="00C810C1">
        <w:t>u</w:t>
      </w:r>
      <w:r>
        <w:t xml:space="preserve"> II. starostnega obdobja pa 4 ure. </w:t>
      </w:r>
    </w:p>
    <w:p w:rsidR="00730FDA" w:rsidRDefault="00730FDA" w:rsidP="00A1752C">
      <w:pPr>
        <w:pStyle w:val="Brezrazmikov"/>
        <w:jc w:val="both"/>
      </w:pPr>
    </w:p>
    <w:p w:rsidR="000A7C18" w:rsidRDefault="000A7C18" w:rsidP="000A7C18">
      <w:pPr>
        <w:pStyle w:val="Brezrazmikov"/>
        <w:jc w:val="both"/>
      </w:pPr>
      <w:r>
        <w:t xml:space="preserve">Pravilnik torej eksplicitno določa, da mora vrtec zagotavljati sočasno v oddelku I. starostnega obdobja 6 ur vzgojiteljice in pomočnice vzgojiteljice, Osnovna šola </w:t>
      </w:r>
      <w:r w:rsidR="00BF74B4">
        <w:t>Cirkovce</w:t>
      </w:r>
      <w:r w:rsidR="009638CF">
        <w:t xml:space="preserve"> pa pri pripravi predloga sistemizacije </w:t>
      </w:r>
      <w:r>
        <w:t>temu ne sledi, in zagotavlja sočasnost</w:t>
      </w:r>
      <w:r w:rsidR="00055B80">
        <w:t xml:space="preserve"> v </w:t>
      </w:r>
      <w:r w:rsidR="00730931">
        <w:t xml:space="preserve">enem </w:t>
      </w:r>
      <w:r w:rsidR="00055B80">
        <w:t>oddelku</w:t>
      </w:r>
      <w:r w:rsidR="00BF74B4">
        <w:t xml:space="preserve"> 0,5</w:t>
      </w:r>
      <w:r>
        <w:t>0 ure</w:t>
      </w:r>
      <w:r w:rsidR="00730931">
        <w:t xml:space="preserve"> (30 minut)</w:t>
      </w:r>
      <w:r w:rsidR="00055B80">
        <w:t xml:space="preserve"> sočasnost</w:t>
      </w:r>
      <w:r>
        <w:t xml:space="preserve"> dve</w:t>
      </w:r>
      <w:r w:rsidR="00BF74B4">
        <w:t>h</w:t>
      </w:r>
      <w:r>
        <w:t xml:space="preserve"> pomočnic vzgojiteljice</w:t>
      </w:r>
      <w:r w:rsidR="00055B80">
        <w:t xml:space="preserve"> in vzgojiteljice ter v drugem oddelku 1 uro sočasnosti dveh pomočnic vzg</w:t>
      </w:r>
      <w:r w:rsidR="00BF74B4">
        <w:t xml:space="preserve">ojiteljice in vzgojiteljice, v </w:t>
      </w:r>
      <w:r w:rsidR="00055B80">
        <w:t>enem oddelku II. starostnega obdobja pa sočasnost vzgojiteljic</w:t>
      </w:r>
      <w:r w:rsidR="00730931">
        <w:t>e in pomočnice vzgojiteljice 4,</w:t>
      </w:r>
      <w:r w:rsidR="00BF74B4">
        <w:t>5</w:t>
      </w:r>
      <w:r w:rsidR="00730931">
        <w:t>0</w:t>
      </w:r>
      <w:r w:rsidR="00055B80">
        <w:t xml:space="preserve"> ure</w:t>
      </w:r>
      <w:r w:rsidR="00730931">
        <w:t xml:space="preserve"> (štiri ure in trideset minut).</w:t>
      </w:r>
    </w:p>
    <w:p w:rsidR="000A7C18" w:rsidRDefault="000A7C18" w:rsidP="00A1752C">
      <w:pPr>
        <w:pStyle w:val="Brezrazmikov"/>
        <w:jc w:val="both"/>
      </w:pPr>
    </w:p>
    <w:p w:rsidR="00730FDA" w:rsidRDefault="00055B80" w:rsidP="00A1752C">
      <w:pPr>
        <w:pStyle w:val="Brezrazmikov"/>
        <w:jc w:val="both"/>
      </w:pPr>
      <w:r>
        <w:t xml:space="preserve">41. člen </w:t>
      </w:r>
      <w:r w:rsidR="00730FDA">
        <w:t>Zakon o vrtcih pa tudi določa, da je</w:t>
      </w:r>
      <w:r>
        <w:t xml:space="preserve"> polna tedenska delovna </w:t>
      </w:r>
      <w:r w:rsidR="00730FDA">
        <w:t xml:space="preserve">obveznost vzgojiteljice </w:t>
      </w:r>
      <w:r>
        <w:t>30 ur</w:t>
      </w:r>
      <w:r w:rsidR="00730FDA">
        <w:t xml:space="preserve"> dela z otroki in pomočnice vzgojiteljice </w:t>
      </w:r>
      <w:r>
        <w:t>35</w:t>
      </w:r>
      <w:r w:rsidR="00BF74B4">
        <w:t xml:space="preserve"> ur</w:t>
      </w:r>
      <w:r>
        <w:t>, kar pomeni, da je dnevna delovna obveznost dela z otroki vzgojiteljice 6 ur, pomočnice vzgojiteljice pa 7 ur</w:t>
      </w:r>
      <w:r w:rsidR="00730FDA">
        <w:t xml:space="preserve">. </w:t>
      </w:r>
    </w:p>
    <w:p w:rsidR="00730FDA" w:rsidRDefault="00730FDA" w:rsidP="00A1752C">
      <w:pPr>
        <w:pStyle w:val="Brezrazmikov"/>
        <w:jc w:val="both"/>
      </w:pPr>
    </w:p>
    <w:p w:rsidR="00C810C1" w:rsidRDefault="00C810C1" w:rsidP="00C810C1">
      <w:pPr>
        <w:pStyle w:val="Brezrazmikov"/>
        <w:jc w:val="both"/>
      </w:pPr>
      <w:r>
        <w:t xml:space="preserve">Pri tem je potrebno upoštevati še dejstvo, da imajo delavke, ki so dopolnile 50 let starosti in imajo najmanj 30 let delovne dobe dodatni odmor 24 minut na dan. </w:t>
      </w:r>
    </w:p>
    <w:p w:rsidR="00730FDA" w:rsidRDefault="00730FDA" w:rsidP="00A1752C">
      <w:pPr>
        <w:pStyle w:val="Brezrazmikov"/>
        <w:jc w:val="both"/>
      </w:pPr>
    </w:p>
    <w:p w:rsidR="008E5406" w:rsidRDefault="00730FDA" w:rsidP="00A1752C">
      <w:pPr>
        <w:pStyle w:val="Brezrazmikov"/>
        <w:jc w:val="both"/>
      </w:pPr>
      <w:r>
        <w:t>S tem</w:t>
      </w:r>
      <w:r w:rsidR="00730931">
        <w:t>, ko ravnateljica</w:t>
      </w:r>
      <w:r w:rsidR="00055B80">
        <w:t xml:space="preserve"> ni v celoti upošteva</w:t>
      </w:r>
      <w:r w:rsidR="008F7067">
        <w:t>la določb 26. člena pravilnika,</w:t>
      </w:r>
      <w:r>
        <w:t xml:space="preserve"> je pridobila potrebo po dodatnih urah potrebe pomočnice vzgojiteljice</w:t>
      </w:r>
      <w:r w:rsidR="00055B80">
        <w:t>, in sicer 0,20 delovnega mesta</w:t>
      </w:r>
      <w:r>
        <w:t xml:space="preserve">. </w:t>
      </w:r>
    </w:p>
    <w:p w:rsidR="001A5A3A" w:rsidRDefault="001A5A3A" w:rsidP="00A1752C">
      <w:pPr>
        <w:pStyle w:val="Brezrazmikov"/>
        <w:jc w:val="both"/>
      </w:pPr>
    </w:p>
    <w:p w:rsidR="00055B80" w:rsidRDefault="00730931" w:rsidP="00A1752C">
      <w:pPr>
        <w:pStyle w:val="Brezrazmikov"/>
        <w:jc w:val="both"/>
      </w:pPr>
      <w:r>
        <w:t xml:space="preserve">Pri tem pa je potrebno </w:t>
      </w:r>
      <w:r w:rsidR="00055B80">
        <w:t xml:space="preserve">upoštevati še dejstvo, da mora pomočnica ravnateljice tedensko opraviti najmanj 2 uri dela z otroki v oddelku. </w:t>
      </w:r>
    </w:p>
    <w:p w:rsidR="00690185" w:rsidRDefault="00690185" w:rsidP="00A1752C">
      <w:pPr>
        <w:pStyle w:val="Brezrazmikov"/>
        <w:jc w:val="both"/>
      </w:pPr>
      <w:r>
        <w:t>6. člen Pravilnika o normativih za opravljanje dejavnosti predšolske vzgoje  določa, »V vrtcu pri šoli imenuje ravnatelj za pedagoško in organizacijsko vodenje oddelkov vrtca pomočnika ravnatelja. V okvirju polne delovne obveznosti mora pomočnik ravnatelja opraviti v vrtcu z enim oddelkom 21 ur dela z otroki, oziroma 28 ur svetovalnega dela na teden. Za vsaka dva oddelka več, se mu obveznost zmanjša za 1,5 ure dela z otroki oziroma 2 uri svetovalnega dela na teden. Če del obveznosti dela z otroki oziroma svetovalnega dela pomočnik ravnatelja opravi v šoli, mora v vrtcu opraviti najmanj 2 uri dela z otroki na teden, oziroma toliko ur svetovalnega dela, kot jih vrtcu pripada na podlagi normativa za svetovalnega delavca. Ena ura dela z otroki v vrtcu pomeni 0,7 ure pouka oziroma 0,8 ure podaljšanega bivanja.</w:t>
      </w:r>
      <w:r w:rsidR="00730931">
        <w:t>«.</w:t>
      </w:r>
      <w:r>
        <w:t xml:space="preserve"> </w:t>
      </w:r>
    </w:p>
    <w:p w:rsidR="00730931" w:rsidRDefault="00730931" w:rsidP="00A1752C">
      <w:pPr>
        <w:pStyle w:val="Brezrazmikov"/>
        <w:jc w:val="both"/>
      </w:pPr>
    </w:p>
    <w:p w:rsidR="00730931" w:rsidRDefault="00730931" w:rsidP="00A1752C">
      <w:pPr>
        <w:pStyle w:val="Brezrazmikov"/>
        <w:jc w:val="both"/>
      </w:pPr>
      <w:r>
        <w:t xml:space="preserve">Povečanje deleža delovnega mesta pomočnice vzgojiteljice preko predpisanega normativa ima učinek na ceno programa vrtca, saj je cena sestavljena iz treh elementov, stroškov dela, materialnih stroškov in stroškov živil. </w:t>
      </w:r>
    </w:p>
    <w:p w:rsidR="001A5A3A" w:rsidRDefault="001A5A3A" w:rsidP="00A1752C">
      <w:pPr>
        <w:pStyle w:val="Brezrazmikov"/>
        <w:jc w:val="both"/>
      </w:pPr>
    </w:p>
    <w:p w:rsidR="001A5A3A" w:rsidRDefault="001A5A3A" w:rsidP="00A1752C">
      <w:pPr>
        <w:pStyle w:val="Brezrazmikov"/>
        <w:jc w:val="both"/>
      </w:pPr>
      <w:r>
        <w:t>Odbor za družbene dejavnosti predlaga občinskemu svetu Občin</w:t>
      </w:r>
      <w:r w:rsidR="008F7067">
        <w:t>e Kidričevo, da ne poda soglasja</w:t>
      </w:r>
      <w:r>
        <w:t xml:space="preserve"> k sistemizaciji delovnih mest, ki ga je podala Osnovna šola Cirkovce </w:t>
      </w:r>
      <w:r w:rsidR="00730931">
        <w:t xml:space="preserve">ampak </w:t>
      </w:r>
      <w:r>
        <w:t xml:space="preserve">poda soglasje k sistemizaciji delovnih mest, ki ga je pripravil odbor za družbene dejavnosti in je v izreku tega sklepa. </w:t>
      </w:r>
    </w:p>
    <w:p w:rsidR="00527826" w:rsidRDefault="00527826" w:rsidP="00A1752C">
      <w:pPr>
        <w:pStyle w:val="Brezrazmikov"/>
        <w:jc w:val="both"/>
      </w:pPr>
    </w:p>
    <w:p w:rsidR="001A5A3A" w:rsidRDefault="001A5A3A" w:rsidP="00A1752C">
      <w:pPr>
        <w:pStyle w:val="Brezrazmikov"/>
        <w:jc w:val="both"/>
      </w:pPr>
    </w:p>
    <w:p w:rsidR="001A5A3A" w:rsidRDefault="001A5A3A" w:rsidP="00A1752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1A5A3A" w:rsidRDefault="001A5A3A" w:rsidP="00A1752C">
      <w:pPr>
        <w:pStyle w:val="Brezrazmikov"/>
        <w:jc w:val="both"/>
      </w:pPr>
    </w:p>
    <w:p w:rsidR="001A5A3A" w:rsidRDefault="001A5A3A" w:rsidP="00A1752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1A5A3A" w:rsidRDefault="001A5A3A" w:rsidP="00A1752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p w:rsidR="00527826" w:rsidRDefault="00527826" w:rsidP="00A1752C">
      <w:pPr>
        <w:pStyle w:val="Brezrazmikov"/>
        <w:jc w:val="both"/>
      </w:pPr>
    </w:p>
    <w:sectPr w:rsidR="0052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F"/>
    <w:rsid w:val="00055B80"/>
    <w:rsid w:val="000A7C18"/>
    <w:rsid w:val="001118BD"/>
    <w:rsid w:val="001A5A3A"/>
    <w:rsid w:val="001E4A32"/>
    <w:rsid w:val="00527826"/>
    <w:rsid w:val="00644A84"/>
    <w:rsid w:val="00690185"/>
    <w:rsid w:val="006F1886"/>
    <w:rsid w:val="00730931"/>
    <w:rsid w:val="00730FDA"/>
    <w:rsid w:val="008E5406"/>
    <w:rsid w:val="008F7067"/>
    <w:rsid w:val="009638CF"/>
    <w:rsid w:val="00A1752C"/>
    <w:rsid w:val="00BF74B4"/>
    <w:rsid w:val="00C810C1"/>
    <w:rsid w:val="00D22F5F"/>
    <w:rsid w:val="00E5247F"/>
    <w:rsid w:val="00E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882A5-7870-4096-8DEC-8A74C10C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2F5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dcterms:created xsi:type="dcterms:W3CDTF">2019-06-05T05:23:00Z</dcterms:created>
  <dcterms:modified xsi:type="dcterms:W3CDTF">2019-06-05T05:23:00Z</dcterms:modified>
</cp:coreProperties>
</file>