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C3" w:rsidRPr="00861CE0" w:rsidRDefault="001E6B9C" w:rsidP="00F76DC3">
      <w:r w:rsidRPr="00861CE0">
        <w:t xml:space="preserve">Številka: </w:t>
      </w:r>
      <w:r w:rsidR="00337F88" w:rsidRPr="00861CE0">
        <w:t>354</w:t>
      </w:r>
      <w:r w:rsidR="00457712" w:rsidRPr="00861CE0">
        <w:t>-</w:t>
      </w:r>
      <w:r w:rsidR="00337F88" w:rsidRPr="00861CE0">
        <w:t>1</w:t>
      </w:r>
      <w:r w:rsidR="00104747">
        <w:t>86</w:t>
      </w:r>
      <w:r w:rsidR="00457712" w:rsidRPr="00861CE0">
        <w:t>/2017</w:t>
      </w:r>
    </w:p>
    <w:p w:rsidR="001E6B9C" w:rsidRPr="00861CE0" w:rsidRDefault="001E6B9C" w:rsidP="00F76DC3">
      <w:pPr>
        <w:jc w:val="both"/>
      </w:pPr>
      <w:r w:rsidRPr="00861CE0">
        <w:t xml:space="preserve">Datum: </w:t>
      </w:r>
      <w:r w:rsidR="00104747">
        <w:t>7</w:t>
      </w:r>
      <w:r w:rsidR="0068264A" w:rsidRPr="00861CE0">
        <w:t>. 1</w:t>
      </w:r>
      <w:r w:rsidR="00104747">
        <w:t>1</w:t>
      </w:r>
      <w:r w:rsidR="0068264A" w:rsidRPr="00861CE0">
        <w:t>. 2017</w:t>
      </w:r>
    </w:p>
    <w:p w:rsidR="001E6B9C" w:rsidRPr="00861CE0" w:rsidRDefault="001E6B9C" w:rsidP="00CB1D70"/>
    <w:p w:rsidR="001E6B9C" w:rsidRPr="00861CE0" w:rsidRDefault="001E6B9C" w:rsidP="00CB1D70"/>
    <w:p w:rsidR="001E6B9C" w:rsidRPr="00861CE0" w:rsidRDefault="001E6B9C" w:rsidP="00CB1D70"/>
    <w:p w:rsidR="001E6B9C" w:rsidRPr="00861CE0" w:rsidRDefault="001E6B9C" w:rsidP="00CB1D70">
      <w:pPr>
        <w:rPr>
          <w:b/>
        </w:rPr>
      </w:pPr>
      <w:r w:rsidRPr="00861CE0">
        <w:rPr>
          <w:b/>
        </w:rPr>
        <w:t>MESTNI SVET</w:t>
      </w:r>
    </w:p>
    <w:p w:rsidR="001E6B9C" w:rsidRPr="00861CE0" w:rsidRDefault="001E6B9C" w:rsidP="00CB1D70">
      <w:pPr>
        <w:rPr>
          <w:b/>
        </w:rPr>
      </w:pPr>
      <w:r w:rsidRPr="00861CE0">
        <w:rPr>
          <w:b/>
        </w:rPr>
        <w:t>MESTNE OBČINE PTUJ</w:t>
      </w:r>
    </w:p>
    <w:p w:rsidR="001E6B9C" w:rsidRPr="00861CE0" w:rsidRDefault="001E6B9C" w:rsidP="00CB1D70">
      <w:pPr>
        <w:rPr>
          <w:b/>
        </w:rPr>
      </w:pPr>
    </w:p>
    <w:p w:rsidR="0098386C" w:rsidRPr="00861CE0" w:rsidRDefault="0098386C" w:rsidP="00CB1D70"/>
    <w:p w:rsidR="00005D12" w:rsidRPr="00861CE0" w:rsidRDefault="00005D12" w:rsidP="00CB1D70"/>
    <w:p w:rsidR="00005D12" w:rsidRPr="00861CE0" w:rsidRDefault="00005D12" w:rsidP="00CB1D70"/>
    <w:p w:rsidR="00F76DC3" w:rsidRPr="00861CE0" w:rsidRDefault="00005D12" w:rsidP="0050390C">
      <w:pPr>
        <w:tabs>
          <w:tab w:val="left" w:pos="3402"/>
        </w:tabs>
        <w:ind w:left="1276" w:hanging="1276"/>
        <w:jc w:val="both"/>
        <w:rPr>
          <w:b/>
        </w:rPr>
      </w:pPr>
      <w:r w:rsidRPr="00861CE0">
        <w:rPr>
          <w:b/>
        </w:rPr>
        <w:t>ZADEVA:</w:t>
      </w:r>
      <w:r w:rsidR="00766124" w:rsidRPr="00861CE0">
        <w:rPr>
          <w:b/>
        </w:rPr>
        <w:t xml:space="preserve"> </w:t>
      </w:r>
      <w:r w:rsidR="0050390C" w:rsidRPr="00861CE0">
        <w:rPr>
          <w:b/>
        </w:rPr>
        <w:t xml:space="preserve"> </w:t>
      </w:r>
      <w:r w:rsidR="00766124" w:rsidRPr="00861CE0">
        <w:rPr>
          <w:b/>
        </w:rPr>
        <w:t xml:space="preserve">Predlog </w:t>
      </w:r>
      <w:r w:rsidR="00D52478" w:rsidRPr="00861CE0">
        <w:rPr>
          <w:b/>
        </w:rPr>
        <w:t>S</w:t>
      </w:r>
      <w:r w:rsidR="001E6B9C" w:rsidRPr="00861CE0">
        <w:rPr>
          <w:b/>
        </w:rPr>
        <w:t xml:space="preserve">klepa o </w:t>
      </w:r>
      <w:r w:rsidR="00766124" w:rsidRPr="00861CE0">
        <w:rPr>
          <w:b/>
        </w:rPr>
        <w:t xml:space="preserve">potrditvi </w:t>
      </w:r>
      <w:r w:rsidR="00F76DC3" w:rsidRPr="00861CE0">
        <w:rPr>
          <w:b/>
        </w:rPr>
        <w:t>Dokumenta identifikacije investicijskega projekta</w:t>
      </w:r>
      <w:r w:rsidR="0050390C" w:rsidRPr="00861CE0">
        <w:rPr>
          <w:b/>
        </w:rPr>
        <w:t xml:space="preserve"> </w:t>
      </w:r>
      <w:r w:rsidR="00F76DC3" w:rsidRPr="00861CE0">
        <w:rPr>
          <w:b/>
        </w:rPr>
        <w:t xml:space="preserve">(DIIP) </w:t>
      </w:r>
      <w:r w:rsidR="00FE37B2" w:rsidRPr="00861CE0">
        <w:rPr>
          <w:b/>
        </w:rPr>
        <w:t>»</w:t>
      </w:r>
      <w:r w:rsidR="00104747">
        <w:rPr>
          <w:b/>
        </w:rPr>
        <w:t>Celovita obnova vodovodnega sistema Spodnje Podravje</w:t>
      </w:r>
      <w:r w:rsidR="00FE37B2" w:rsidRPr="00861CE0">
        <w:rPr>
          <w:b/>
        </w:rPr>
        <w:t>«</w:t>
      </w:r>
    </w:p>
    <w:p w:rsidR="00C10993" w:rsidRPr="00861CE0" w:rsidRDefault="00C10993" w:rsidP="00CB1D70">
      <w:pPr>
        <w:jc w:val="both"/>
        <w:rPr>
          <w:b/>
        </w:rPr>
      </w:pPr>
    </w:p>
    <w:p w:rsidR="00964897" w:rsidRPr="00861CE0" w:rsidRDefault="00964897" w:rsidP="00CB1D70"/>
    <w:p w:rsidR="00005D12" w:rsidRPr="00861CE0" w:rsidRDefault="00005D12" w:rsidP="0050390C">
      <w:pPr>
        <w:jc w:val="both"/>
      </w:pPr>
    </w:p>
    <w:p w:rsidR="00387834" w:rsidRPr="00861CE0" w:rsidRDefault="001E6B9C" w:rsidP="0050390C">
      <w:pPr>
        <w:jc w:val="both"/>
      </w:pPr>
      <w:r w:rsidRPr="00861CE0">
        <w:t xml:space="preserve">V skladu z določili </w:t>
      </w:r>
      <w:r w:rsidR="00387834" w:rsidRPr="00861CE0">
        <w:t xml:space="preserve">23. člena Statuta Mestne občine Ptuj (Uradni </w:t>
      </w:r>
      <w:r w:rsidR="00CB1D70" w:rsidRPr="00861CE0">
        <w:t xml:space="preserve">vestnik Mestne občine Ptuj, št. </w:t>
      </w:r>
      <w:r w:rsidR="00387834" w:rsidRPr="00861CE0">
        <w:t xml:space="preserve">9/07) in </w:t>
      </w:r>
      <w:r w:rsidR="00553F16" w:rsidRPr="00861CE0">
        <w:t>76</w:t>
      </w:r>
      <w:r w:rsidR="00387834" w:rsidRPr="00861CE0">
        <w:t xml:space="preserve">. člena Poslovnika </w:t>
      </w:r>
      <w:r w:rsidR="009C1614" w:rsidRPr="00861CE0">
        <w:t>M</w:t>
      </w:r>
      <w:r w:rsidR="00387834" w:rsidRPr="00861CE0">
        <w:t xml:space="preserve">estnega sveta </w:t>
      </w:r>
      <w:r w:rsidR="009C1614" w:rsidRPr="00861CE0">
        <w:t xml:space="preserve">Mestne občine Ptuj </w:t>
      </w:r>
      <w:r w:rsidR="00387834" w:rsidRPr="00861CE0">
        <w:t xml:space="preserve">(Uradni vestnik Mestne občine Ptuj, št. </w:t>
      </w:r>
      <w:r w:rsidR="00553F16" w:rsidRPr="00861CE0">
        <w:t>12/07</w:t>
      </w:r>
      <w:r w:rsidR="00373FFF" w:rsidRPr="00861CE0">
        <w:t xml:space="preserve">, </w:t>
      </w:r>
      <w:r w:rsidR="00A453E5" w:rsidRPr="00861CE0">
        <w:t>1/09</w:t>
      </w:r>
      <w:r w:rsidR="00373FFF" w:rsidRPr="00861CE0">
        <w:t xml:space="preserve">, </w:t>
      </w:r>
      <w:r w:rsidR="0050390C" w:rsidRPr="00861CE0">
        <w:t xml:space="preserve">2/14, </w:t>
      </w:r>
      <w:r w:rsidR="00373FFF" w:rsidRPr="00861CE0">
        <w:t>7/15</w:t>
      </w:r>
      <w:r w:rsidR="0050390C" w:rsidRPr="00861CE0">
        <w:t xml:space="preserve"> in 9/17</w:t>
      </w:r>
      <w:r w:rsidR="000159BA" w:rsidRPr="00861CE0">
        <w:t>)</w:t>
      </w:r>
      <w:r w:rsidR="00387834" w:rsidRPr="00861CE0">
        <w:t xml:space="preserve"> predlagam Mestnemu svetu Mestne obči</w:t>
      </w:r>
      <w:r w:rsidR="00EA1D18" w:rsidRPr="00861CE0">
        <w:t>ne Ptuj v obravnavo in sprejem predlog</w:t>
      </w:r>
      <w:r w:rsidR="00387834" w:rsidRPr="00861CE0">
        <w:t xml:space="preserve"> Sklepa o </w:t>
      </w:r>
      <w:r w:rsidR="00D75085" w:rsidRPr="00861CE0">
        <w:t xml:space="preserve">potrditvi </w:t>
      </w:r>
      <w:r w:rsidR="00F76DC3" w:rsidRPr="00861CE0">
        <w:t>Dokumenta identifikacije investicijskega projekta (DIIP) »</w:t>
      </w:r>
      <w:r w:rsidR="00104747">
        <w:t>Celovita obnova vodovodnega sistema Spodnje Podravje</w:t>
      </w:r>
      <w:r w:rsidR="00F76DC3" w:rsidRPr="00861CE0">
        <w:t>«</w:t>
      </w:r>
      <w:r w:rsidR="0050390C" w:rsidRPr="00861CE0">
        <w:t>.</w:t>
      </w:r>
    </w:p>
    <w:p w:rsidR="001E6B9C" w:rsidRPr="00861CE0" w:rsidRDefault="001E6B9C" w:rsidP="00CB1D70">
      <w:pPr>
        <w:jc w:val="both"/>
      </w:pPr>
    </w:p>
    <w:p w:rsidR="00387834" w:rsidRPr="00861CE0" w:rsidRDefault="00387834" w:rsidP="00CB1D70">
      <w:pPr>
        <w:jc w:val="both"/>
      </w:pPr>
    </w:p>
    <w:p w:rsidR="00387834" w:rsidRPr="00861CE0" w:rsidRDefault="00387834" w:rsidP="00CB1D70">
      <w:pPr>
        <w:jc w:val="both"/>
      </w:pPr>
    </w:p>
    <w:p w:rsidR="00387834" w:rsidRPr="00861CE0" w:rsidRDefault="00387834" w:rsidP="00CB1D70"/>
    <w:p w:rsidR="00373FFF" w:rsidRPr="00861CE0" w:rsidRDefault="00373FFF" w:rsidP="00CB1D70">
      <w:pPr>
        <w:ind w:left="3600" w:firstLine="720"/>
        <w:jc w:val="center"/>
      </w:pPr>
      <w:r w:rsidRPr="00861CE0">
        <w:t>Miran SENČAR,</w:t>
      </w:r>
    </w:p>
    <w:p w:rsidR="00373FFF" w:rsidRPr="00861CE0" w:rsidRDefault="00373FFF" w:rsidP="00CB1D70">
      <w:pPr>
        <w:ind w:left="3600" w:firstLine="720"/>
        <w:jc w:val="center"/>
      </w:pPr>
      <w:r w:rsidRPr="00861CE0">
        <w:t>župan Mestne občine Ptuj</w:t>
      </w:r>
    </w:p>
    <w:p w:rsidR="00387834" w:rsidRPr="00861CE0" w:rsidRDefault="00387834" w:rsidP="00CB1D70">
      <w:pPr>
        <w:jc w:val="center"/>
      </w:pPr>
    </w:p>
    <w:p w:rsidR="00387834" w:rsidRPr="00861CE0" w:rsidRDefault="00387834" w:rsidP="00CB1D70">
      <w:pPr>
        <w:rPr>
          <w:b/>
        </w:rPr>
      </w:pPr>
    </w:p>
    <w:p w:rsidR="00387834" w:rsidRPr="00861CE0" w:rsidRDefault="00387834" w:rsidP="00CB1D70">
      <w:pPr>
        <w:rPr>
          <w:b/>
        </w:rPr>
      </w:pPr>
    </w:p>
    <w:p w:rsidR="00387834" w:rsidRPr="00861CE0" w:rsidRDefault="00387834" w:rsidP="00CB1D70">
      <w:pPr>
        <w:rPr>
          <w:b/>
        </w:rPr>
      </w:pPr>
    </w:p>
    <w:p w:rsidR="00387834" w:rsidRPr="00861CE0" w:rsidRDefault="00387834" w:rsidP="00CB1D70">
      <w:pPr>
        <w:rPr>
          <w:b/>
        </w:rPr>
      </w:pPr>
    </w:p>
    <w:p w:rsidR="00387834" w:rsidRPr="00861CE0" w:rsidRDefault="00387834" w:rsidP="00CB1D70">
      <w:pPr>
        <w:rPr>
          <w:b/>
        </w:rPr>
      </w:pPr>
    </w:p>
    <w:p w:rsidR="00387834" w:rsidRPr="00861CE0" w:rsidRDefault="00387834" w:rsidP="00CB1D70">
      <w:pPr>
        <w:rPr>
          <w:b/>
        </w:rPr>
      </w:pPr>
    </w:p>
    <w:p w:rsidR="00387834" w:rsidRPr="00861CE0" w:rsidRDefault="00387834" w:rsidP="00CB1D70">
      <w:pPr>
        <w:rPr>
          <w:b/>
        </w:rPr>
      </w:pPr>
    </w:p>
    <w:p w:rsidR="00387834" w:rsidRPr="00262B2C" w:rsidRDefault="000159BA" w:rsidP="00CB1D70">
      <w:r w:rsidRPr="00262B2C">
        <w:t>Prilogi</w:t>
      </w:r>
      <w:r w:rsidR="00387834" w:rsidRPr="00262B2C">
        <w:t xml:space="preserve">: </w:t>
      </w:r>
    </w:p>
    <w:p w:rsidR="00387834" w:rsidRPr="00262B2C" w:rsidRDefault="00CB1D70" w:rsidP="00262B2C">
      <w:pPr>
        <w:pStyle w:val="Odstavekseznama"/>
        <w:numPr>
          <w:ilvl w:val="0"/>
          <w:numId w:val="7"/>
        </w:numPr>
        <w:rPr>
          <w:rFonts w:ascii="Times New Roman" w:hAnsi="Times New Roman"/>
        </w:rPr>
      </w:pPr>
      <w:r w:rsidRPr="00262B2C">
        <w:rPr>
          <w:rFonts w:ascii="Times New Roman" w:hAnsi="Times New Roman"/>
        </w:rPr>
        <w:t>predlog s</w:t>
      </w:r>
      <w:r w:rsidR="00387834" w:rsidRPr="00262B2C">
        <w:rPr>
          <w:rFonts w:ascii="Times New Roman" w:hAnsi="Times New Roman"/>
        </w:rPr>
        <w:t>klepa z obrazložitvijo</w:t>
      </w:r>
    </w:p>
    <w:p w:rsidR="00373FFF" w:rsidRPr="00104747" w:rsidRDefault="00F76DC3" w:rsidP="00262B2C">
      <w:pPr>
        <w:pStyle w:val="Odstavekseznama"/>
        <w:numPr>
          <w:ilvl w:val="0"/>
          <w:numId w:val="7"/>
        </w:numPr>
        <w:rPr>
          <w:rFonts w:ascii="Times New Roman" w:hAnsi="Times New Roman"/>
        </w:rPr>
      </w:pPr>
      <w:r w:rsidRPr="00262B2C">
        <w:rPr>
          <w:rFonts w:ascii="Times New Roman" w:hAnsi="Times New Roman"/>
        </w:rPr>
        <w:t>Dokument identifikacije investicijskega projekta (DIIP) »</w:t>
      </w:r>
      <w:r w:rsidR="00104747" w:rsidRPr="00104747">
        <w:rPr>
          <w:rFonts w:ascii="Times New Roman" w:hAnsi="Times New Roman"/>
        </w:rPr>
        <w:t>Celovita obnova vodovodnega sistema Spodnje Podravje</w:t>
      </w:r>
      <w:r w:rsidR="00337F88" w:rsidRPr="00104747">
        <w:rPr>
          <w:rFonts w:ascii="Times New Roman" w:hAnsi="Times New Roman"/>
        </w:rPr>
        <w:t>«</w:t>
      </w:r>
    </w:p>
    <w:p w:rsidR="00373FFF" w:rsidRPr="00861CE0" w:rsidRDefault="00373FFF" w:rsidP="00CB1D70">
      <w:pPr>
        <w:ind w:left="360"/>
        <w:jc w:val="both"/>
      </w:pPr>
    </w:p>
    <w:p w:rsidR="003E0612" w:rsidRPr="00861CE0" w:rsidRDefault="003E0612" w:rsidP="00CB1D70">
      <w:pPr>
        <w:jc w:val="right"/>
      </w:pPr>
    </w:p>
    <w:p w:rsidR="008775F1" w:rsidRPr="00861CE0" w:rsidRDefault="008775F1" w:rsidP="00CB1D70">
      <w:pPr>
        <w:jc w:val="right"/>
      </w:pPr>
    </w:p>
    <w:p w:rsidR="001B5A8F" w:rsidRPr="00861CE0" w:rsidRDefault="001B5A8F" w:rsidP="0050390C">
      <w:pPr>
        <w:jc w:val="right"/>
      </w:pPr>
      <w:r w:rsidRPr="00861CE0">
        <w:lastRenderedPageBreak/>
        <w:t>PREDLOG</w:t>
      </w:r>
    </w:p>
    <w:p w:rsidR="00A115CA" w:rsidRPr="00861CE0" w:rsidRDefault="00337F88" w:rsidP="00CB1D70">
      <w:pPr>
        <w:jc w:val="right"/>
      </w:pPr>
      <w:r w:rsidRPr="00861CE0">
        <w:t>November</w:t>
      </w:r>
      <w:r w:rsidR="00591B0F" w:rsidRPr="00861CE0">
        <w:t xml:space="preserve"> 201</w:t>
      </w:r>
      <w:r w:rsidR="008775F1" w:rsidRPr="00861CE0">
        <w:t>7</w:t>
      </w:r>
    </w:p>
    <w:p w:rsidR="00007B97" w:rsidRPr="00861CE0" w:rsidRDefault="00007B97" w:rsidP="00CB1D70">
      <w:pPr>
        <w:jc w:val="both"/>
      </w:pPr>
    </w:p>
    <w:p w:rsidR="00A115CA" w:rsidRPr="00861CE0" w:rsidRDefault="004B3D9A" w:rsidP="00CB1D70">
      <w:pPr>
        <w:jc w:val="both"/>
      </w:pPr>
      <w:r w:rsidRPr="00861CE0">
        <w:t>Na podlagi 11. in 18. člena Uredbe o enotni metodologiji za pripravo in obravnavo investicijske dokumentacije na področju javnih financ (Uradni list RS, št. 60/06, 54/10 in 27/16) in 12. člena Statuta Mestne občine Ptuj (Uradni vestnik Mestne občine Ptuj, št. 9/07) je Mestni svet Mestne občine Ptuj na ___ seji, dne ___________, sprejel naslednji</w:t>
      </w:r>
    </w:p>
    <w:p w:rsidR="008256EF" w:rsidRPr="00861CE0" w:rsidRDefault="008256EF" w:rsidP="00CB1D70">
      <w:pPr>
        <w:jc w:val="both"/>
      </w:pPr>
    </w:p>
    <w:p w:rsidR="00F342FF" w:rsidRPr="00861CE0" w:rsidRDefault="00F342FF" w:rsidP="00B14718">
      <w:pPr>
        <w:jc w:val="center"/>
        <w:rPr>
          <w:b/>
          <w:caps/>
        </w:rPr>
      </w:pPr>
    </w:p>
    <w:p w:rsidR="00A115CA" w:rsidRPr="00861CE0" w:rsidRDefault="00A115CA" w:rsidP="00B14718">
      <w:pPr>
        <w:jc w:val="center"/>
        <w:rPr>
          <w:b/>
          <w:caps/>
        </w:rPr>
      </w:pPr>
      <w:r w:rsidRPr="00861CE0">
        <w:rPr>
          <w:b/>
          <w:caps/>
        </w:rPr>
        <w:t>Sklep</w:t>
      </w:r>
    </w:p>
    <w:p w:rsidR="00B14718" w:rsidRPr="00861CE0" w:rsidRDefault="00A115CA" w:rsidP="00B14718">
      <w:pPr>
        <w:tabs>
          <w:tab w:val="left" w:pos="3402"/>
        </w:tabs>
        <w:jc w:val="center"/>
        <w:rPr>
          <w:b/>
        </w:rPr>
      </w:pPr>
      <w:r w:rsidRPr="00861CE0">
        <w:rPr>
          <w:b/>
          <w:caps/>
        </w:rPr>
        <w:t xml:space="preserve">o </w:t>
      </w:r>
      <w:r w:rsidR="00D75085" w:rsidRPr="00861CE0">
        <w:rPr>
          <w:b/>
          <w:caps/>
        </w:rPr>
        <w:t>POTRDITVI</w:t>
      </w:r>
      <w:r w:rsidRPr="00861CE0">
        <w:rPr>
          <w:b/>
          <w:caps/>
        </w:rPr>
        <w:t xml:space="preserve"> </w:t>
      </w:r>
      <w:r w:rsidR="00B14718" w:rsidRPr="00861CE0">
        <w:rPr>
          <w:b/>
        </w:rPr>
        <w:t>DOKUMENTA IDENTIFIKACIJE INVESTICIJSKEGA PROJEKTA</w:t>
      </w:r>
    </w:p>
    <w:p w:rsidR="00B14718" w:rsidRPr="00861CE0" w:rsidRDefault="00B14718" w:rsidP="00B14718">
      <w:pPr>
        <w:tabs>
          <w:tab w:val="left" w:pos="0"/>
        </w:tabs>
        <w:jc w:val="center"/>
        <w:rPr>
          <w:b/>
        </w:rPr>
      </w:pPr>
      <w:r w:rsidRPr="00861CE0">
        <w:rPr>
          <w:b/>
        </w:rPr>
        <w:t xml:space="preserve">(DIIP) </w:t>
      </w:r>
      <w:r w:rsidR="0068264A" w:rsidRPr="00861CE0">
        <w:rPr>
          <w:b/>
        </w:rPr>
        <w:t>»</w:t>
      </w:r>
      <w:r w:rsidR="00104747" w:rsidRPr="00104747">
        <w:rPr>
          <w:b/>
        </w:rPr>
        <w:t>CELOVITA OBNOVA VODOVODNEGA SISTEMA SPODNJE PODRAVJE</w:t>
      </w:r>
      <w:r w:rsidR="00104747" w:rsidRPr="00861CE0">
        <w:rPr>
          <w:b/>
        </w:rPr>
        <w:t xml:space="preserve"> </w:t>
      </w:r>
      <w:r w:rsidR="0068264A" w:rsidRPr="00861CE0">
        <w:rPr>
          <w:b/>
        </w:rPr>
        <w:t>«</w:t>
      </w:r>
    </w:p>
    <w:p w:rsidR="00C14FC2" w:rsidRPr="00861CE0" w:rsidRDefault="00C14FC2" w:rsidP="00B14718">
      <w:pPr>
        <w:jc w:val="center"/>
        <w:rPr>
          <w:b/>
          <w:caps/>
        </w:rPr>
      </w:pPr>
    </w:p>
    <w:p w:rsidR="00D75085" w:rsidRPr="00861CE0" w:rsidRDefault="00D75085" w:rsidP="00CB1D70">
      <w:pPr>
        <w:jc w:val="center"/>
        <w:rPr>
          <w:b/>
          <w:caps/>
        </w:rPr>
      </w:pPr>
    </w:p>
    <w:p w:rsidR="00A115CA" w:rsidRPr="00861CE0" w:rsidRDefault="00A115CA" w:rsidP="00CB1D70">
      <w:pPr>
        <w:jc w:val="center"/>
        <w:rPr>
          <w:b/>
        </w:rPr>
      </w:pPr>
      <w:r w:rsidRPr="00861CE0">
        <w:rPr>
          <w:b/>
        </w:rPr>
        <w:t>1.</w:t>
      </w:r>
    </w:p>
    <w:p w:rsidR="00B14718" w:rsidRPr="00861CE0" w:rsidRDefault="00CB1D70" w:rsidP="00341560">
      <w:pPr>
        <w:tabs>
          <w:tab w:val="left" w:pos="3402"/>
        </w:tabs>
        <w:jc w:val="both"/>
      </w:pPr>
      <w:r w:rsidRPr="00861CE0">
        <w:t>Mestni svet Mestne občine</w:t>
      </w:r>
      <w:r w:rsidR="00F342FF" w:rsidRPr="00861CE0">
        <w:t xml:space="preserve"> Ptuj potrjuje</w:t>
      </w:r>
      <w:r w:rsidR="008256EF" w:rsidRPr="00861CE0">
        <w:t xml:space="preserve"> </w:t>
      </w:r>
      <w:r w:rsidR="00B14718" w:rsidRPr="00861CE0">
        <w:t>D</w:t>
      </w:r>
      <w:r w:rsidR="00F342FF" w:rsidRPr="00861CE0">
        <w:t>okument</w:t>
      </w:r>
      <w:r w:rsidR="00B14718" w:rsidRPr="00861CE0">
        <w:t xml:space="preserve"> identifikacije investicijskega projekta (DIIP) »</w:t>
      </w:r>
      <w:r w:rsidR="00104747">
        <w:t>Celovita obnova vodovodnega sistema Spodnje Podravje</w:t>
      </w:r>
      <w:r w:rsidR="00B14718" w:rsidRPr="00861CE0">
        <w:t>«</w:t>
      </w:r>
      <w:r w:rsidR="0050390C" w:rsidRPr="00861CE0">
        <w:t>.</w:t>
      </w:r>
    </w:p>
    <w:p w:rsidR="00FF515B" w:rsidRPr="00861CE0" w:rsidRDefault="00FF515B" w:rsidP="00341560">
      <w:pPr>
        <w:jc w:val="both"/>
      </w:pPr>
    </w:p>
    <w:p w:rsidR="00B14718" w:rsidRPr="00861CE0" w:rsidRDefault="008256EF" w:rsidP="00341560">
      <w:pPr>
        <w:jc w:val="center"/>
        <w:rPr>
          <w:b/>
        </w:rPr>
      </w:pPr>
      <w:r w:rsidRPr="00861CE0">
        <w:rPr>
          <w:b/>
        </w:rPr>
        <w:t>2</w:t>
      </w:r>
      <w:r w:rsidR="00FF515B" w:rsidRPr="00861CE0">
        <w:rPr>
          <w:b/>
        </w:rPr>
        <w:t>.</w:t>
      </w:r>
    </w:p>
    <w:p w:rsidR="00B14718" w:rsidRPr="00861CE0" w:rsidRDefault="00B14718" w:rsidP="00341560">
      <w:pPr>
        <w:jc w:val="both"/>
      </w:pPr>
      <w:r w:rsidRPr="00861CE0">
        <w:t xml:space="preserve">Finančna sredstva za sofinanciranje projekta bo Mestna občina Ptuj zagotovila iz </w:t>
      </w:r>
      <w:r w:rsidR="001215B6">
        <w:t>Evropskih strukturnih in investicijskih skladov</w:t>
      </w:r>
      <w:r w:rsidR="0068264A" w:rsidRPr="00861CE0">
        <w:t xml:space="preserve">, Ministrstva za </w:t>
      </w:r>
      <w:r w:rsidR="00262B2C">
        <w:t>okolje in prostor</w:t>
      </w:r>
      <w:r w:rsidR="0068264A" w:rsidRPr="00861CE0">
        <w:t xml:space="preserve"> in proračuna Mestne občine Ptuj.</w:t>
      </w:r>
    </w:p>
    <w:p w:rsidR="00B14718" w:rsidRPr="00861CE0" w:rsidRDefault="00B14718" w:rsidP="00341560">
      <w:pPr>
        <w:jc w:val="both"/>
        <w:rPr>
          <w:b/>
        </w:rPr>
      </w:pPr>
    </w:p>
    <w:p w:rsidR="00B14718" w:rsidRPr="00861CE0" w:rsidRDefault="00B14718" w:rsidP="00341560">
      <w:pPr>
        <w:jc w:val="center"/>
        <w:rPr>
          <w:b/>
        </w:rPr>
      </w:pPr>
      <w:r w:rsidRPr="00861CE0">
        <w:rPr>
          <w:b/>
        </w:rPr>
        <w:t>3.</w:t>
      </w:r>
    </w:p>
    <w:p w:rsidR="0098386C" w:rsidRPr="00861CE0" w:rsidRDefault="0098386C" w:rsidP="00341560">
      <w:pPr>
        <w:jc w:val="both"/>
      </w:pPr>
      <w:r w:rsidRPr="00861CE0">
        <w:t>Ta sklep začne veljati z dnem sprejema na Mestnem svetu Mestne občine Ptuj.</w:t>
      </w:r>
    </w:p>
    <w:p w:rsidR="00FF515B" w:rsidRPr="00861CE0" w:rsidRDefault="00FF515B" w:rsidP="00341560">
      <w:pPr>
        <w:jc w:val="both"/>
      </w:pPr>
    </w:p>
    <w:p w:rsidR="00B14718" w:rsidRPr="00861CE0" w:rsidRDefault="006D3188" w:rsidP="00B14718">
      <w:r w:rsidRPr="00861CE0">
        <w:t xml:space="preserve">Številka: </w:t>
      </w:r>
      <w:r w:rsidR="00341560">
        <w:t>354-1</w:t>
      </w:r>
      <w:r w:rsidR="00AE433E">
        <w:t>86</w:t>
      </w:r>
      <w:r w:rsidR="00341560">
        <w:t>/2017</w:t>
      </w:r>
    </w:p>
    <w:p w:rsidR="006D3188" w:rsidRPr="00861CE0" w:rsidRDefault="006D3188" w:rsidP="00CB1D70">
      <w:r w:rsidRPr="00861CE0">
        <w:t>Datum:</w:t>
      </w:r>
      <w:r w:rsidR="002611D3" w:rsidRPr="00861CE0">
        <w:t xml:space="preserve"> </w:t>
      </w:r>
    </w:p>
    <w:p w:rsidR="00203B6D" w:rsidRPr="00861CE0" w:rsidRDefault="00203B6D" w:rsidP="00CB1D70">
      <w:pPr>
        <w:pBdr>
          <w:bottom w:val="single" w:sz="4" w:space="1" w:color="auto"/>
        </w:pBdr>
      </w:pPr>
    </w:p>
    <w:p w:rsidR="00FF515B" w:rsidRPr="00861CE0" w:rsidRDefault="000159BA" w:rsidP="00CB1D70">
      <w:pPr>
        <w:jc w:val="center"/>
        <w:rPr>
          <w:b/>
        </w:rPr>
      </w:pPr>
      <w:r w:rsidRPr="00861CE0">
        <w:rPr>
          <w:b/>
        </w:rPr>
        <w:t>Obrazložitev</w:t>
      </w:r>
    </w:p>
    <w:p w:rsidR="00766124" w:rsidRDefault="00766124" w:rsidP="00CB1D70"/>
    <w:p w:rsidR="005806CA" w:rsidRDefault="005806CA" w:rsidP="004667FE">
      <w:pPr>
        <w:pStyle w:val="Default"/>
        <w:jc w:val="both"/>
        <w:rPr>
          <w:sz w:val="23"/>
          <w:szCs w:val="23"/>
        </w:rPr>
      </w:pPr>
      <w:r>
        <w:rPr>
          <w:sz w:val="23"/>
          <w:szCs w:val="23"/>
        </w:rPr>
        <w:t xml:space="preserve">Dokument identifikacije investicijskega projekta (v nadaljevanju DIIP) obravnava rešitev za investicijsko namero </w:t>
      </w:r>
      <w:r w:rsidRPr="00C875DB">
        <w:rPr>
          <w:bCs/>
          <w:sz w:val="23"/>
          <w:szCs w:val="23"/>
        </w:rPr>
        <w:t>Celovita obnova vodovodnega sistema Spodnje Podravje.</w:t>
      </w:r>
      <w:r>
        <w:rPr>
          <w:b/>
          <w:bCs/>
          <w:sz w:val="23"/>
          <w:szCs w:val="23"/>
        </w:rPr>
        <w:t xml:space="preserve"> </w:t>
      </w:r>
    </w:p>
    <w:p w:rsidR="005806CA" w:rsidRDefault="005806CA" w:rsidP="005806CA">
      <w:pPr>
        <w:pStyle w:val="Default"/>
        <w:rPr>
          <w:sz w:val="23"/>
          <w:szCs w:val="23"/>
        </w:rPr>
      </w:pPr>
    </w:p>
    <w:p w:rsidR="00FC48D7" w:rsidRDefault="005806CA" w:rsidP="00FC48D7">
      <w:pPr>
        <w:pStyle w:val="Default"/>
        <w:jc w:val="both"/>
        <w:rPr>
          <w:sz w:val="23"/>
          <w:szCs w:val="23"/>
        </w:rPr>
      </w:pPr>
      <w:r>
        <w:rPr>
          <w:sz w:val="23"/>
          <w:szCs w:val="23"/>
        </w:rPr>
        <w:t xml:space="preserve">Aluvialne doline v Sloveniji, kamor sodi tudi Dravsko polje v trikotniku Maribor – Kidričevo – Ptuj ter Ptujsko polje severno od reke Drave pod Ptujem, imajo neprecenljivo vrednost kot zaloge pitne vode. Seveda pa so predmet intenzivne pozidave, intenzivnega kmetijstva in tudi zalog gradbenega materiala – gramoza. Kakovost podtalnice Dravskega in Ptujskega polja ogrožajo izpusti neprečiščenih odpadnih vod naselij na Dravskem in Ptujskem polju, intenzivnega kmetijstva in industrije. </w:t>
      </w:r>
    </w:p>
    <w:p w:rsidR="00FC48D7" w:rsidRDefault="00FC48D7" w:rsidP="00FC48D7">
      <w:pPr>
        <w:pStyle w:val="Default"/>
        <w:jc w:val="both"/>
        <w:rPr>
          <w:sz w:val="23"/>
          <w:szCs w:val="23"/>
        </w:rPr>
      </w:pPr>
    </w:p>
    <w:p w:rsidR="005806CA" w:rsidRDefault="005806CA" w:rsidP="00FC48D7">
      <w:pPr>
        <w:pStyle w:val="Default"/>
        <w:jc w:val="both"/>
        <w:rPr>
          <w:sz w:val="23"/>
          <w:szCs w:val="23"/>
        </w:rPr>
      </w:pPr>
      <w:r>
        <w:rPr>
          <w:sz w:val="23"/>
          <w:szCs w:val="23"/>
        </w:rPr>
        <w:t>Prioritetna naloga vodnega gospodarstva je oskrba prebi</w:t>
      </w:r>
      <w:r w:rsidR="004667FE">
        <w:rPr>
          <w:sz w:val="23"/>
          <w:szCs w:val="23"/>
        </w:rPr>
        <w:t xml:space="preserve">valstva z neoporečno pitno vodo. </w:t>
      </w:r>
      <w:r>
        <w:rPr>
          <w:sz w:val="23"/>
          <w:szCs w:val="23"/>
        </w:rPr>
        <w:t>Vodooskrbni sistem Ptuj – na območju Spodnjega Podravja zagotavlja oskrbo z vodo območje 21 občin. Vodooskrbni sistem Ptuj zagotavlja oskrbo s pitno vodo v</w:t>
      </w:r>
      <w:r w:rsidR="004667FE">
        <w:rPr>
          <w:sz w:val="23"/>
          <w:szCs w:val="23"/>
        </w:rPr>
        <w:t xml:space="preserve"> 23-ih občinah. S pitno vodo </w:t>
      </w:r>
      <w:r>
        <w:rPr>
          <w:sz w:val="23"/>
          <w:szCs w:val="23"/>
        </w:rPr>
        <w:t>v celoti oskrbujejo</w:t>
      </w:r>
      <w:r w:rsidR="004667FE">
        <w:rPr>
          <w:sz w:val="23"/>
          <w:szCs w:val="23"/>
        </w:rPr>
        <w:t xml:space="preserve"> Mestno občino Ptuj, občine</w:t>
      </w:r>
      <w:r>
        <w:rPr>
          <w:sz w:val="23"/>
          <w:szCs w:val="23"/>
        </w:rPr>
        <w:t xml:space="preserve"> Kidričevo, Dornava, Gorišnica, Juršinci, Destrnik, Markovci, Hajdina, Starše, Majšperk, Videm, Podlehnik, Žetale, Trnovska vas, Sv. Andraž</w:t>
      </w:r>
      <w:r w:rsidR="004667FE">
        <w:rPr>
          <w:sz w:val="23"/>
          <w:szCs w:val="23"/>
        </w:rPr>
        <w:t xml:space="preserve"> v Slovenskih goricah</w:t>
      </w:r>
      <w:r>
        <w:rPr>
          <w:sz w:val="23"/>
          <w:szCs w:val="23"/>
        </w:rPr>
        <w:t xml:space="preserve">, Zavrč, Cirkulane in Cerkvenjak. Ptujski vodooskrbni sistem se oskrbuje s pitno vodo iz črpališč v Skorbi, iz sedmih plitvih in štirih globinskih vodnjakov. Dodatno pomagajo k izboljšanju hidravličnih razmer in kvaliteti pitne vode globinski vodnjaki v Novi vasi pri Ptuju, Lancovi vasi, Gerečji vasi, Župečji vasi, Podvincih in Desencih. Pitno vodo v omrežju sestavljata podtalnica Dravskega polja in globinska podtalnica v razmerju 2 : 1. Uporabo globinske podtalnice narekujejo </w:t>
      </w:r>
      <w:r>
        <w:rPr>
          <w:sz w:val="23"/>
          <w:szCs w:val="23"/>
        </w:rPr>
        <w:lastRenderedPageBreak/>
        <w:t xml:space="preserve">problemi s kakovostjo plitve podtalnice, predvsem glede nitratov in sredstev za varstvo rastlin (pesticidi). </w:t>
      </w:r>
    </w:p>
    <w:p w:rsidR="00FC48D7" w:rsidRDefault="00FC48D7" w:rsidP="00FC48D7">
      <w:pPr>
        <w:jc w:val="both"/>
        <w:rPr>
          <w:sz w:val="23"/>
          <w:szCs w:val="23"/>
        </w:rPr>
      </w:pPr>
    </w:p>
    <w:p w:rsidR="00FC48D7" w:rsidRDefault="005806CA" w:rsidP="00FC48D7">
      <w:pPr>
        <w:jc w:val="both"/>
        <w:rPr>
          <w:sz w:val="23"/>
          <w:szCs w:val="23"/>
        </w:rPr>
      </w:pPr>
      <w:r>
        <w:rPr>
          <w:sz w:val="23"/>
          <w:szCs w:val="23"/>
        </w:rPr>
        <w:t xml:space="preserve">Na območju Dravskega polja se pojavlja problem preseženih kemijskih parametrov - </w:t>
      </w:r>
      <w:r w:rsidR="004667FE">
        <w:rPr>
          <w:sz w:val="23"/>
          <w:szCs w:val="23"/>
        </w:rPr>
        <w:t>nitratov</w:t>
      </w:r>
      <w:r>
        <w:rPr>
          <w:sz w:val="23"/>
          <w:szCs w:val="23"/>
        </w:rPr>
        <w:t xml:space="preserve"> in pesticidov (atrazina in </w:t>
      </w:r>
      <w:proofErr w:type="spellStart"/>
      <w:r>
        <w:rPr>
          <w:sz w:val="23"/>
          <w:szCs w:val="23"/>
        </w:rPr>
        <w:t>desetilatrazina</w:t>
      </w:r>
      <w:proofErr w:type="spellEnd"/>
      <w:r>
        <w:rPr>
          <w:sz w:val="23"/>
          <w:szCs w:val="23"/>
        </w:rPr>
        <w:t xml:space="preserve">). </w:t>
      </w:r>
      <w:r w:rsidR="004667FE">
        <w:rPr>
          <w:sz w:val="23"/>
          <w:szCs w:val="23"/>
        </w:rPr>
        <w:t xml:space="preserve">Dne </w:t>
      </w:r>
      <w:r>
        <w:rPr>
          <w:sz w:val="23"/>
          <w:szCs w:val="23"/>
        </w:rPr>
        <w:t>7. julija 2012 so bili nitrati enkrat preseženi celo čez dovoljeno mejo 50 mg/L - cevovod fi 300 je bila vrednost nitratov 58,3 mg/L, cevovod fi 400 pa je bila vrednost nitratov 53,3 mg/L. Venomer pa se na tem območju giblje vrednost nitratov ok</w:t>
      </w:r>
      <w:r w:rsidR="004667FE">
        <w:rPr>
          <w:sz w:val="23"/>
          <w:szCs w:val="23"/>
        </w:rPr>
        <w:t xml:space="preserve">rog 45 mg/L, kar že predstavlja </w:t>
      </w:r>
      <w:r>
        <w:rPr>
          <w:sz w:val="23"/>
          <w:szCs w:val="23"/>
        </w:rPr>
        <w:t xml:space="preserve">zgornjo dovoljeno mejo. </w:t>
      </w:r>
      <w:r w:rsidR="004667FE">
        <w:rPr>
          <w:sz w:val="23"/>
          <w:szCs w:val="23"/>
        </w:rPr>
        <w:t>Podatki meritev (11 meritev, Zavod za zdravstveno varstvo</w:t>
      </w:r>
      <w:r>
        <w:rPr>
          <w:sz w:val="23"/>
          <w:szCs w:val="23"/>
        </w:rPr>
        <w:t xml:space="preserve"> Maribor) vsebnosti pesticidov v pitni vodi na iztoku iz črpališča Skorba kažejo povišanje pesticidov (atrazina in </w:t>
      </w:r>
      <w:proofErr w:type="spellStart"/>
      <w:r>
        <w:rPr>
          <w:sz w:val="23"/>
          <w:szCs w:val="23"/>
        </w:rPr>
        <w:t>desetilatrazina</w:t>
      </w:r>
      <w:proofErr w:type="spellEnd"/>
      <w:r>
        <w:rPr>
          <w:sz w:val="23"/>
          <w:szCs w:val="23"/>
        </w:rPr>
        <w:t xml:space="preserve">) pri vseh meritvah. </w:t>
      </w:r>
    </w:p>
    <w:p w:rsidR="00FC48D7" w:rsidRDefault="00FC48D7" w:rsidP="00FC48D7">
      <w:pPr>
        <w:jc w:val="both"/>
        <w:rPr>
          <w:sz w:val="23"/>
          <w:szCs w:val="23"/>
        </w:rPr>
      </w:pPr>
    </w:p>
    <w:p w:rsidR="00104747" w:rsidRDefault="005806CA" w:rsidP="00FC48D7">
      <w:pPr>
        <w:jc w:val="both"/>
      </w:pPr>
      <w:r>
        <w:rPr>
          <w:sz w:val="23"/>
          <w:szCs w:val="23"/>
        </w:rPr>
        <w:t xml:space="preserve">Zraven slabe kvalitete pitne vode (zaradi povečanih vsebnosti pesticidov - atrazina in </w:t>
      </w:r>
      <w:proofErr w:type="spellStart"/>
      <w:r>
        <w:rPr>
          <w:sz w:val="23"/>
          <w:szCs w:val="23"/>
        </w:rPr>
        <w:t>dezilatrazina</w:t>
      </w:r>
      <w:proofErr w:type="spellEnd"/>
      <w:r>
        <w:rPr>
          <w:sz w:val="23"/>
          <w:szCs w:val="23"/>
        </w:rPr>
        <w:t xml:space="preserve">; povečane koncentracije nitratov na določenih vodooskrbnih območjih - Cirkulane, </w:t>
      </w:r>
      <w:proofErr w:type="spellStart"/>
      <w:r>
        <w:rPr>
          <w:sz w:val="23"/>
          <w:szCs w:val="23"/>
        </w:rPr>
        <w:t>Borl</w:t>
      </w:r>
      <w:proofErr w:type="spellEnd"/>
      <w:r>
        <w:rPr>
          <w:sz w:val="23"/>
          <w:szCs w:val="23"/>
        </w:rPr>
        <w:t xml:space="preserve">, Zavrč; dviga usedlin železovih in manganovih oksidov), prihaja še do velikih izgub vode. Cevi so namreč iz neustreznih materialov. Problem predstavljajo plastični materiali: PVC (polivinil-klorid) in PE (polietilen) ter azbestno-cementne cevi (AC). Slabost teh materialov se je pokazala s časom, ki kot posledica staranja teh materialov vpliva na poslabšano prožnost in žilavost cevi. Zato so omenjeni materiali tudi najpogostejši vzrok za številne okvare – prelome teh vodovodnih cevovodov. Dotrajanost cevovodov, ki povzročajo številne prelome, pa pomeni predvsem moteno oskrbo s pitno. Vodne izgube predstavljajo ekonomski, tehnični in sanitarni problem vsakega vodovoda. </w:t>
      </w:r>
    </w:p>
    <w:p w:rsidR="00FC48D7" w:rsidRDefault="00FC48D7" w:rsidP="00FC48D7">
      <w:pPr>
        <w:pStyle w:val="Default"/>
        <w:jc w:val="both"/>
        <w:rPr>
          <w:sz w:val="23"/>
          <w:szCs w:val="23"/>
        </w:rPr>
      </w:pPr>
    </w:p>
    <w:p w:rsidR="005806CA" w:rsidRDefault="005806CA" w:rsidP="00FC48D7">
      <w:pPr>
        <w:pStyle w:val="Default"/>
        <w:jc w:val="both"/>
        <w:rPr>
          <w:sz w:val="23"/>
          <w:szCs w:val="23"/>
        </w:rPr>
      </w:pPr>
      <w:r>
        <w:rPr>
          <w:sz w:val="23"/>
          <w:szCs w:val="23"/>
        </w:rPr>
        <w:t xml:space="preserve">Občine na območju Spodnjega Podravja želijo izvesti projekt kvalitetne </w:t>
      </w:r>
      <w:proofErr w:type="spellStart"/>
      <w:r>
        <w:rPr>
          <w:sz w:val="23"/>
          <w:szCs w:val="23"/>
        </w:rPr>
        <w:t>vodooskrbe</w:t>
      </w:r>
      <w:proofErr w:type="spellEnd"/>
      <w:r>
        <w:rPr>
          <w:sz w:val="23"/>
          <w:szCs w:val="23"/>
        </w:rPr>
        <w:t xml:space="preserve"> na njihovem območju. Investicija »</w:t>
      </w:r>
      <w:r w:rsidRPr="00C875DB">
        <w:rPr>
          <w:bCs/>
          <w:sz w:val="23"/>
          <w:szCs w:val="23"/>
        </w:rPr>
        <w:t>Celovita obnova vodovodnega sistema Spodnje Podravje«</w:t>
      </w:r>
      <w:r>
        <w:rPr>
          <w:b/>
          <w:bCs/>
          <w:sz w:val="23"/>
          <w:szCs w:val="23"/>
        </w:rPr>
        <w:t xml:space="preserve"> </w:t>
      </w:r>
      <w:r>
        <w:rPr>
          <w:sz w:val="23"/>
          <w:szCs w:val="23"/>
        </w:rPr>
        <w:t xml:space="preserve">se bo izvajala na teritoriju sedemnajstih občin Spodnjega Podravja na obstoječem javnem vodovodu, v obsegu novogradnje in rekonstrukcije 167,19 km cevi voda, ter avtomatizacijo vodooskrbnega sistema z regulacijo vozliščnih jaškov, posodobitvijo in nadgradnjo komandnega centra in zamenjavo krmilnikov in komunikacijskih modemov in elektronskih ključavnic z nadzorom na 98 objektih, ter izgradnjo dveh globinskih vodnjakov in </w:t>
      </w:r>
      <w:proofErr w:type="spellStart"/>
      <w:r>
        <w:rPr>
          <w:sz w:val="23"/>
          <w:szCs w:val="23"/>
        </w:rPr>
        <w:t>deferizacijo</w:t>
      </w:r>
      <w:proofErr w:type="spellEnd"/>
      <w:r>
        <w:rPr>
          <w:sz w:val="23"/>
          <w:szCs w:val="23"/>
        </w:rPr>
        <w:t xml:space="preserve"> in </w:t>
      </w:r>
      <w:proofErr w:type="spellStart"/>
      <w:r>
        <w:rPr>
          <w:sz w:val="23"/>
          <w:szCs w:val="23"/>
        </w:rPr>
        <w:t>demanganizacijo</w:t>
      </w:r>
      <w:proofErr w:type="spellEnd"/>
      <w:r>
        <w:rPr>
          <w:sz w:val="23"/>
          <w:szCs w:val="23"/>
        </w:rPr>
        <w:t xml:space="preserve"> pitne vode na osmih vodnjakih. </w:t>
      </w:r>
    </w:p>
    <w:p w:rsidR="00FC48D7" w:rsidRDefault="00FC48D7" w:rsidP="00FC48D7">
      <w:pPr>
        <w:pStyle w:val="Default"/>
        <w:jc w:val="both"/>
        <w:rPr>
          <w:b/>
          <w:bCs/>
          <w:sz w:val="23"/>
          <w:szCs w:val="23"/>
        </w:rPr>
      </w:pPr>
    </w:p>
    <w:p w:rsidR="005806CA" w:rsidRPr="00FC48D7" w:rsidRDefault="005806CA" w:rsidP="00FC48D7">
      <w:pPr>
        <w:pStyle w:val="Default"/>
        <w:jc w:val="both"/>
        <w:rPr>
          <w:sz w:val="23"/>
          <w:szCs w:val="23"/>
        </w:rPr>
      </w:pPr>
      <w:r w:rsidRPr="00FC48D7">
        <w:rPr>
          <w:bCs/>
          <w:sz w:val="23"/>
          <w:szCs w:val="23"/>
        </w:rPr>
        <w:t xml:space="preserve">Namen projekta </w:t>
      </w:r>
      <w:r w:rsidRPr="00FC48D7">
        <w:rPr>
          <w:sz w:val="23"/>
          <w:szCs w:val="23"/>
        </w:rPr>
        <w:t>je izboljšanje kvalitete pitne vode, zmanjšanje vodnih izgub in povečanje kakovosti oskrbe s pitno vodo.</w:t>
      </w:r>
      <w:r w:rsidR="00FC48D7" w:rsidRPr="00FC48D7">
        <w:rPr>
          <w:sz w:val="23"/>
          <w:szCs w:val="23"/>
        </w:rPr>
        <w:t xml:space="preserve"> </w:t>
      </w:r>
      <w:r w:rsidRPr="00FC48D7">
        <w:rPr>
          <w:bCs/>
          <w:sz w:val="23"/>
          <w:szCs w:val="23"/>
        </w:rPr>
        <w:t xml:space="preserve">Pričakovani cilji investicije so povečanje števila prebivalcev z zagotovljenim varnim dostopom do zdravstveno ustrezne pitne vode, zmanjšanje vodnih izgub, zmanjšanje porabe električne energije in stroškov </w:t>
      </w:r>
      <w:r w:rsidR="004667FE">
        <w:rPr>
          <w:bCs/>
          <w:sz w:val="23"/>
          <w:szCs w:val="23"/>
        </w:rPr>
        <w:t>potrebnih za distribucijo pitne vode.</w:t>
      </w:r>
      <w:r w:rsidRPr="00FC48D7">
        <w:rPr>
          <w:bCs/>
          <w:sz w:val="23"/>
          <w:szCs w:val="23"/>
        </w:rPr>
        <w:t xml:space="preserve"> </w:t>
      </w:r>
    </w:p>
    <w:p w:rsidR="00FC48D7" w:rsidRDefault="00FC48D7" w:rsidP="00FC48D7">
      <w:pPr>
        <w:pStyle w:val="Default"/>
        <w:jc w:val="both"/>
        <w:rPr>
          <w:sz w:val="23"/>
          <w:szCs w:val="23"/>
        </w:rPr>
      </w:pPr>
    </w:p>
    <w:p w:rsidR="005806CA" w:rsidRPr="004667FE" w:rsidRDefault="005806CA" w:rsidP="004667FE">
      <w:pPr>
        <w:pStyle w:val="Default"/>
        <w:jc w:val="both"/>
      </w:pPr>
      <w:r w:rsidRPr="004667FE">
        <w:t xml:space="preserve">Izvedbeni cilji projekta: </w:t>
      </w:r>
    </w:p>
    <w:p w:rsidR="005806CA" w:rsidRPr="004667FE" w:rsidRDefault="004667FE" w:rsidP="004667FE">
      <w:pPr>
        <w:pStyle w:val="Default"/>
        <w:jc w:val="both"/>
        <w:rPr>
          <w:u w:val="single"/>
        </w:rPr>
      </w:pPr>
      <w:r w:rsidRPr="004667FE">
        <w:rPr>
          <w:u w:val="single"/>
        </w:rPr>
        <w:t xml:space="preserve">1. </w:t>
      </w:r>
      <w:r w:rsidR="005806CA" w:rsidRPr="004667FE">
        <w:rPr>
          <w:u w:val="single"/>
        </w:rPr>
        <w:t xml:space="preserve">Rekonstrukcijo cevovodov in cevi: </w:t>
      </w:r>
    </w:p>
    <w:p w:rsidR="005806CA" w:rsidRPr="004667FE" w:rsidRDefault="004667FE" w:rsidP="004667FE">
      <w:pPr>
        <w:pStyle w:val="Default"/>
        <w:jc w:val="both"/>
      </w:pPr>
      <w:r>
        <w:t>- a</w:t>
      </w:r>
      <w:r w:rsidR="005806CA" w:rsidRPr="004667FE">
        <w:t xml:space="preserve">zbestni cementni cevovodi (AC) = 60.223,95 metrov </w:t>
      </w:r>
    </w:p>
    <w:p w:rsidR="005806CA" w:rsidRPr="004667FE" w:rsidRDefault="004667FE" w:rsidP="004667FE">
      <w:pPr>
        <w:pStyle w:val="Default"/>
        <w:jc w:val="both"/>
      </w:pPr>
      <w:r>
        <w:t xml:space="preserve">- </w:t>
      </w:r>
      <w:r w:rsidR="005806CA" w:rsidRPr="004667FE">
        <w:t xml:space="preserve">PVC cevovodov = 119.409 metrov </w:t>
      </w:r>
    </w:p>
    <w:p w:rsidR="005806CA" w:rsidRPr="004667FE" w:rsidRDefault="004667FE" w:rsidP="004667FE">
      <w:pPr>
        <w:pStyle w:val="Default"/>
        <w:jc w:val="both"/>
      </w:pPr>
      <w:r>
        <w:t xml:space="preserve">- </w:t>
      </w:r>
      <w:r w:rsidR="005806CA" w:rsidRPr="004667FE">
        <w:t xml:space="preserve">litoželeznih cevovodov (LŽ) = 32.585,35 metrov </w:t>
      </w:r>
    </w:p>
    <w:p w:rsidR="005806CA" w:rsidRPr="004667FE" w:rsidRDefault="004667FE" w:rsidP="004667FE">
      <w:pPr>
        <w:pStyle w:val="Default"/>
        <w:jc w:val="both"/>
      </w:pPr>
      <w:r>
        <w:t>- o</w:t>
      </w:r>
      <w:r w:rsidR="005806CA" w:rsidRPr="004667FE">
        <w:t xml:space="preserve">stale cevi (skupaj) = 1.390.880,67 metrov </w:t>
      </w:r>
    </w:p>
    <w:p w:rsidR="005806CA" w:rsidRPr="004667FE" w:rsidRDefault="005806CA" w:rsidP="004667FE">
      <w:pPr>
        <w:pStyle w:val="Default"/>
        <w:jc w:val="both"/>
      </w:pPr>
      <w:r w:rsidRPr="004667FE">
        <w:t xml:space="preserve">od tega: </w:t>
      </w:r>
    </w:p>
    <w:p w:rsidR="005806CA" w:rsidRPr="004667FE" w:rsidRDefault="004667FE" w:rsidP="004667FE">
      <w:pPr>
        <w:pStyle w:val="Default"/>
        <w:jc w:val="both"/>
      </w:pPr>
      <w:r w:rsidRPr="004667FE">
        <w:t>-</w:t>
      </w:r>
      <w:r>
        <w:t xml:space="preserve"> </w:t>
      </w:r>
      <w:r w:rsidR="005806CA" w:rsidRPr="004667FE">
        <w:t xml:space="preserve">transportnih vodovodnih cevovodov v dolžini 83.575 m </w:t>
      </w:r>
    </w:p>
    <w:p w:rsidR="005806CA" w:rsidRPr="004667FE" w:rsidRDefault="004667FE" w:rsidP="004667FE">
      <w:pPr>
        <w:pStyle w:val="Default"/>
        <w:jc w:val="both"/>
      </w:pPr>
      <w:r>
        <w:t xml:space="preserve">- </w:t>
      </w:r>
      <w:r w:rsidR="005806CA" w:rsidRPr="004667FE">
        <w:t xml:space="preserve">primarnih vodovodnih cevovodov v dolžini 37.895 m </w:t>
      </w:r>
    </w:p>
    <w:p w:rsidR="005806CA" w:rsidRPr="004667FE" w:rsidRDefault="004667FE" w:rsidP="004667FE">
      <w:pPr>
        <w:pStyle w:val="Default"/>
        <w:jc w:val="both"/>
      </w:pPr>
      <w:r>
        <w:t xml:space="preserve">- </w:t>
      </w:r>
      <w:r w:rsidR="005806CA" w:rsidRPr="004667FE">
        <w:t xml:space="preserve">sekundarnih vodovodnih cevovodov v dolžini 45.720 m </w:t>
      </w:r>
    </w:p>
    <w:p w:rsidR="004667FE" w:rsidRDefault="004667FE" w:rsidP="004667FE">
      <w:pPr>
        <w:pStyle w:val="Default"/>
        <w:jc w:val="both"/>
      </w:pPr>
    </w:p>
    <w:p w:rsidR="005806CA" w:rsidRPr="004667FE" w:rsidRDefault="004667FE" w:rsidP="004667FE">
      <w:pPr>
        <w:pStyle w:val="Default"/>
        <w:jc w:val="both"/>
        <w:rPr>
          <w:u w:val="single"/>
        </w:rPr>
      </w:pPr>
      <w:r w:rsidRPr="004667FE">
        <w:rPr>
          <w:u w:val="single"/>
        </w:rPr>
        <w:t xml:space="preserve">2. </w:t>
      </w:r>
      <w:r w:rsidR="005806CA" w:rsidRPr="004667FE">
        <w:rPr>
          <w:u w:val="single"/>
        </w:rPr>
        <w:t xml:space="preserve">Avtomatizacijo vodooskrbnega sistema </w:t>
      </w:r>
    </w:p>
    <w:p w:rsidR="005806CA" w:rsidRPr="004667FE" w:rsidRDefault="004667FE" w:rsidP="004667FE">
      <w:pPr>
        <w:pStyle w:val="Default"/>
        <w:jc w:val="both"/>
      </w:pPr>
      <w:r>
        <w:t xml:space="preserve">- </w:t>
      </w:r>
      <w:r w:rsidR="005806CA" w:rsidRPr="004667FE">
        <w:t xml:space="preserve">Regulacija vozliščnih jaškov </w:t>
      </w:r>
    </w:p>
    <w:p w:rsidR="005806CA" w:rsidRPr="004667FE" w:rsidRDefault="004667FE" w:rsidP="004667FE">
      <w:pPr>
        <w:pStyle w:val="Default"/>
        <w:jc w:val="both"/>
      </w:pPr>
      <w:r>
        <w:t xml:space="preserve">- </w:t>
      </w:r>
      <w:r w:rsidR="005806CA" w:rsidRPr="004667FE">
        <w:t xml:space="preserve">Posodobitev in nadgradnja komandnega centra </w:t>
      </w:r>
    </w:p>
    <w:p w:rsidR="005806CA" w:rsidRPr="004667FE" w:rsidRDefault="004667FE" w:rsidP="004667FE">
      <w:pPr>
        <w:pStyle w:val="Default"/>
        <w:jc w:val="both"/>
      </w:pPr>
      <w:r>
        <w:t xml:space="preserve">- </w:t>
      </w:r>
      <w:r w:rsidR="005806CA" w:rsidRPr="004667FE">
        <w:t xml:space="preserve">Posodobitev in nadgradnja daljinskega nadzora po vodooskrbnih objektih </w:t>
      </w:r>
      <w:r w:rsidR="005806CA" w:rsidRPr="004667FE">
        <w:rPr>
          <w:iCs/>
        </w:rPr>
        <w:t xml:space="preserve">- zamenjava krmilnikov in komunikacijskih modemov in elektronskih ključavnic z nadzorom na 98 objektih) </w:t>
      </w:r>
    </w:p>
    <w:p w:rsidR="004667FE" w:rsidRDefault="004667FE" w:rsidP="004667FE">
      <w:pPr>
        <w:pStyle w:val="Default"/>
      </w:pPr>
    </w:p>
    <w:p w:rsidR="005806CA" w:rsidRPr="004667FE" w:rsidRDefault="004667FE" w:rsidP="004667FE">
      <w:pPr>
        <w:pStyle w:val="Default"/>
        <w:rPr>
          <w:u w:val="single"/>
        </w:rPr>
      </w:pPr>
      <w:r w:rsidRPr="004667FE">
        <w:rPr>
          <w:u w:val="single"/>
        </w:rPr>
        <w:lastRenderedPageBreak/>
        <w:t xml:space="preserve">3. </w:t>
      </w:r>
      <w:r w:rsidR="005806CA" w:rsidRPr="004667FE">
        <w:rPr>
          <w:iCs/>
          <w:u w:val="single"/>
        </w:rPr>
        <w:t xml:space="preserve">Izboljšanje kvalitete pitne vode </w:t>
      </w:r>
    </w:p>
    <w:p w:rsidR="005806CA" w:rsidRPr="004667FE" w:rsidRDefault="004667FE" w:rsidP="004667FE">
      <w:pPr>
        <w:pStyle w:val="Default"/>
      </w:pPr>
      <w:r>
        <w:t xml:space="preserve">- </w:t>
      </w:r>
      <w:r w:rsidR="005806CA" w:rsidRPr="004667FE">
        <w:t xml:space="preserve">Izgradnja 2 globinskih vodnjakov </w:t>
      </w:r>
    </w:p>
    <w:p w:rsidR="005806CA" w:rsidRPr="004667FE" w:rsidRDefault="004667FE" w:rsidP="004667FE">
      <w:pPr>
        <w:pStyle w:val="Default"/>
      </w:pPr>
      <w:r>
        <w:t xml:space="preserve">- </w:t>
      </w:r>
      <w:r w:rsidR="005806CA" w:rsidRPr="004667FE">
        <w:t xml:space="preserve">Odstranjevanje železa in mangana iz 8 globinskih vodnjakov </w:t>
      </w:r>
    </w:p>
    <w:p w:rsidR="00341D1B" w:rsidRDefault="00341D1B" w:rsidP="004667FE">
      <w:pPr>
        <w:rPr>
          <w:rFonts w:cstheme="minorHAnsi"/>
          <w:color w:val="000000"/>
        </w:rPr>
      </w:pPr>
    </w:p>
    <w:p w:rsidR="00341D1B" w:rsidRPr="009A737B" w:rsidRDefault="00341D1B" w:rsidP="00341D1B">
      <w:pPr>
        <w:jc w:val="both"/>
        <w:rPr>
          <w:rFonts w:cstheme="minorHAnsi"/>
          <w:color w:val="000000"/>
        </w:rPr>
      </w:pPr>
      <w:r w:rsidRPr="009A737B">
        <w:rPr>
          <w:rFonts w:cstheme="minorHAnsi"/>
          <w:color w:val="000000"/>
        </w:rPr>
        <w:t xml:space="preserve">Financiranje izvedbe projekta </w:t>
      </w:r>
      <w:r w:rsidRPr="009A737B">
        <w:rPr>
          <w:rFonts w:cstheme="minorHAnsi"/>
          <w:b/>
          <w:bCs/>
          <w:color w:val="000000"/>
        </w:rPr>
        <w:t>»</w:t>
      </w:r>
      <w:r w:rsidRPr="00C875DB">
        <w:rPr>
          <w:bCs/>
          <w:sz w:val="23"/>
          <w:szCs w:val="23"/>
        </w:rPr>
        <w:t>Celovita obnova vodovodnega sistema Spodnje Podravje</w:t>
      </w:r>
      <w:r w:rsidR="004667FE">
        <w:rPr>
          <w:rFonts w:cstheme="minorHAnsi"/>
          <w:color w:val="000000"/>
        </w:rPr>
        <w:t xml:space="preserve">« </w:t>
      </w:r>
      <w:r w:rsidRPr="009A737B">
        <w:rPr>
          <w:rFonts w:cstheme="minorHAnsi"/>
          <w:color w:val="000000"/>
        </w:rPr>
        <w:t>je predvideno iz naslova Evropskega sklada za regionalni razvoj, v okviru instrumenta »Dogovor za razvoj regij (drugo povabilo)«, v višini 85</w:t>
      </w:r>
      <w:r w:rsidR="004667FE">
        <w:rPr>
          <w:rFonts w:cstheme="minorHAnsi"/>
          <w:color w:val="000000"/>
        </w:rPr>
        <w:t xml:space="preserve"> </w:t>
      </w:r>
      <w:r w:rsidRPr="009A737B">
        <w:rPr>
          <w:rFonts w:cstheme="minorHAnsi"/>
          <w:color w:val="000000"/>
        </w:rPr>
        <w:t xml:space="preserve">% upravičenih stroškov. Sredstva iz naslova dogovora za razvoj regij so za projekt predvidena v okviru </w:t>
      </w:r>
      <w:r w:rsidRPr="009A737B">
        <w:rPr>
          <w:rFonts w:cstheme="minorHAnsi"/>
          <w:b/>
          <w:bCs/>
          <w:color w:val="000000"/>
        </w:rPr>
        <w:t xml:space="preserve">Prednostne osi: 2.6. Boljše stanje okolja in biotske raznovrstnosti, in sicer Vlaganje v vodni sektor za izpolnitev zahtev pravnega reda Unije na področju okolja ter za zadovoljitev potreb po naložbah, ki jih opredelijo države članice in ki presegajo te zahteve. </w:t>
      </w:r>
    </w:p>
    <w:p w:rsidR="00341D1B" w:rsidRDefault="00341D1B" w:rsidP="00341D1B">
      <w:pPr>
        <w:autoSpaceDE w:val="0"/>
        <w:autoSpaceDN w:val="0"/>
        <w:adjustRightInd w:val="0"/>
        <w:jc w:val="both"/>
        <w:rPr>
          <w:rFonts w:cstheme="minorHAnsi"/>
          <w:color w:val="000000"/>
        </w:rPr>
      </w:pPr>
    </w:p>
    <w:p w:rsidR="00341D1B" w:rsidRPr="00B64F8B" w:rsidRDefault="00341D1B" w:rsidP="00341D1B">
      <w:pPr>
        <w:autoSpaceDE w:val="0"/>
        <w:autoSpaceDN w:val="0"/>
        <w:adjustRightInd w:val="0"/>
        <w:jc w:val="both"/>
        <w:rPr>
          <w:rFonts w:cstheme="minorHAnsi"/>
        </w:rPr>
      </w:pPr>
      <w:r w:rsidRPr="00B64F8B">
        <w:rPr>
          <w:rFonts w:cstheme="minorHAnsi"/>
        </w:rPr>
        <w:t xml:space="preserve">Projekt se bo financiral iz: </w:t>
      </w:r>
    </w:p>
    <w:p w:rsidR="00341D1B" w:rsidRPr="00B64F8B" w:rsidRDefault="00341D1B" w:rsidP="00341D1B">
      <w:pPr>
        <w:autoSpaceDE w:val="0"/>
        <w:autoSpaceDN w:val="0"/>
        <w:adjustRightInd w:val="0"/>
        <w:spacing w:after="10"/>
        <w:jc w:val="both"/>
        <w:rPr>
          <w:rFonts w:cstheme="minorHAnsi"/>
        </w:rPr>
      </w:pPr>
      <w:r w:rsidRPr="00B64F8B">
        <w:rPr>
          <w:rFonts w:cstheme="minorHAnsi"/>
        </w:rPr>
        <w:t>-</w:t>
      </w:r>
      <w:r>
        <w:rPr>
          <w:rFonts w:cstheme="minorHAnsi"/>
        </w:rPr>
        <w:t xml:space="preserve"> sredstev </w:t>
      </w:r>
      <w:r w:rsidRPr="00B64F8B">
        <w:rPr>
          <w:rFonts w:cstheme="minorHAnsi"/>
        </w:rPr>
        <w:t>ESRR</w:t>
      </w:r>
      <w:r w:rsidRPr="00242594">
        <w:rPr>
          <w:rFonts w:cstheme="minorHAnsi"/>
          <w:i/>
        </w:rPr>
        <w:t xml:space="preserve"> </w:t>
      </w:r>
      <w:r w:rsidRPr="00242594">
        <w:rPr>
          <w:rFonts w:cstheme="minorHAnsi"/>
        </w:rPr>
        <w:t>in</w:t>
      </w:r>
      <w:r w:rsidRPr="00B64F8B">
        <w:rPr>
          <w:rFonts w:cstheme="minorHAnsi"/>
        </w:rPr>
        <w:t xml:space="preserve"> M</w:t>
      </w:r>
      <w:r>
        <w:rPr>
          <w:rFonts w:cstheme="minorHAnsi"/>
        </w:rPr>
        <w:t>inistrstva za okolje in prostor</w:t>
      </w:r>
      <w:r w:rsidRPr="00B64F8B">
        <w:rPr>
          <w:rFonts w:cstheme="minorHAnsi"/>
        </w:rPr>
        <w:t xml:space="preserve"> v višini 85</w:t>
      </w:r>
      <w:r w:rsidR="004667FE">
        <w:rPr>
          <w:rFonts w:cstheme="minorHAnsi"/>
        </w:rPr>
        <w:t xml:space="preserve"> </w:t>
      </w:r>
      <w:r w:rsidRPr="00B64F8B">
        <w:rPr>
          <w:rFonts w:cstheme="minorHAnsi"/>
        </w:rPr>
        <w:t>% upravičenih stroškov</w:t>
      </w:r>
      <w:r>
        <w:rPr>
          <w:rFonts w:cstheme="minorHAnsi"/>
        </w:rPr>
        <w:t>,</w:t>
      </w:r>
    </w:p>
    <w:p w:rsidR="00341D1B" w:rsidRPr="004667FE" w:rsidRDefault="00341D1B" w:rsidP="00341D1B">
      <w:pPr>
        <w:autoSpaceDE w:val="0"/>
        <w:autoSpaceDN w:val="0"/>
        <w:adjustRightInd w:val="0"/>
        <w:jc w:val="both"/>
        <w:rPr>
          <w:rFonts w:cstheme="minorHAnsi"/>
        </w:rPr>
      </w:pPr>
      <w:r w:rsidRPr="00B64F8B">
        <w:rPr>
          <w:rFonts w:cstheme="minorHAnsi"/>
        </w:rPr>
        <w:t xml:space="preserve">- </w:t>
      </w:r>
      <w:r>
        <w:rPr>
          <w:rFonts w:cstheme="minorHAnsi"/>
        </w:rPr>
        <w:t>l</w:t>
      </w:r>
      <w:r w:rsidRPr="00B64F8B">
        <w:rPr>
          <w:rFonts w:cstheme="minorHAnsi"/>
        </w:rPr>
        <w:t>astn</w:t>
      </w:r>
      <w:r>
        <w:rPr>
          <w:rFonts w:cstheme="minorHAnsi"/>
        </w:rPr>
        <w:t>ih</w:t>
      </w:r>
      <w:r w:rsidRPr="00B64F8B">
        <w:rPr>
          <w:rFonts w:cstheme="minorHAnsi"/>
        </w:rPr>
        <w:t xml:space="preserve"> sredst</w:t>
      </w:r>
      <w:r>
        <w:rPr>
          <w:rFonts w:cstheme="minorHAnsi"/>
        </w:rPr>
        <w:t>e</w:t>
      </w:r>
      <w:r w:rsidRPr="00B64F8B">
        <w:rPr>
          <w:rFonts w:cstheme="minorHAnsi"/>
        </w:rPr>
        <w:t>v občine na projektu v višini 15</w:t>
      </w:r>
      <w:r w:rsidR="004667FE">
        <w:rPr>
          <w:rFonts w:cstheme="minorHAnsi"/>
        </w:rPr>
        <w:t xml:space="preserve"> </w:t>
      </w:r>
      <w:r w:rsidRPr="00B64F8B">
        <w:rPr>
          <w:rFonts w:cstheme="minorHAnsi"/>
        </w:rPr>
        <w:t>% upravičenih stroškov</w:t>
      </w:r>
      <w:r>
        <w:rPr>
          <w:rFonts w:cstheme="minorHAnsi"/>
        </w:rPr>
        <w:t>,</w:t>
      </w:r>
      <w:r w:rsidRPr="00B64F8B">
        <w:rPr>
          <w:rFonts w:cstheme="minorHAnsi"/>
        </w:rPr>
        <w:t xml:space="preserve"> davk</w:t>
      </w:r>
      <w:r>
        <w:rPr>
          <w:rFonts w:cstheme="minorHAnsi"/>
        </w:rPr>
        <w:t>a</w:t>
      </w:r>
      <w:r w:rsidRPr="00B64F8B">
        <w:rPr>
          <w:rFonts w:cstheme="minorHAnsi"/>
        </w:rPr>
        <w:t xml:space="preserve"> na dodano </w:t>
      </w:r>
      <w:r>
        <w:rPr>
          <w:rFonts w:cstheme="minorHAnsi"/>
        </w:rPr>
        <w:t>v</w:t>
      </w:r>
      <w:r w:rsidRPr="00B64F8B">
        <w:rPr>
          <w:rFonts w:cstheme="minorHAnsi"/>
        </w:rPr>
        <w:t>rednost</w:t>
      </w:r>
      <w:r>
        <w:rPr>
          <w:rFonts w:cstheme="minorHAnsi"/>
        </w:rPr>
        <w:t xml:space="preserve"> in pokrivanja neupravičenih stroškov</w:t>
      </w:r>
      <w:r w:rsidRPr="00B64F8B">
        <w:rPr>
          <w:rFonts w:cstheme="minorHAnsi"/>
        </w:rPr>
        <w:t>.</w:t>
      </w:r>
      <w:r w:rsidRPr="00B64F8B">
        <w:t xml:space="preserve"> </w:t>
      </w:r>
    </w:p>
    <w:p w:rsidR="00341D1B" w:rsidRPr="00341D1B" w:rsidRDefault="00341D1B" w:rsidP="00341D1B">
      <w:pPr>
        <w:spacing w:before="100" w:beforeAutospacing="1" w:after="100" w:afterAutospacing="1"/>
        <w:jc w:val="both"/>
        <w:rPr>
          <w:b/>
          <w:bCs/>
        </w:rPr>
      </w:pPr>
      <w:r w:rsidRPr="00341D1B">
        <w:rPr>
          <w:b/>
          <w:bCs/>
        </w:rPr>
        <w:t xml:space="preserve">Tabela: </w:t>
      </w:r>
      <w:r w:rsidRPr="00341D1B">
        <w:rPr>
          <w:b/>
          <w:bCs/>
          <w:i/>
          <w:iCs/>
        </w:rPr>
        <w:t xml:space="preserve">Vlaganja lastnih sredstev znotraj občin na podlagi količine prodane </w:t>
      </w:r>
      <w:r w:rsidRPr="00341D1B">
        <w:rPr>
          <w:b/>
          <w:bCs/>
        </w:rPr>
        <w:t>vode v m</w:t>
      </w:r>
      <w:r w:rsidRPr="00341D1B">
        <w:rPr>
          <w:b/>
          <w:bCs/>
          <w:vertAlign w:val="superscript"/>
        </w:rPr>
        <w:t>3</w:t>
      </w:r>
      <w:r w:rsidRPr="00341D1B">
        <w:rPr>
          <w:b/>
          <w:bCs/>
        </w:rPr>
        <w:t xml:space="preserve"> v letu 2016</w:t>
      </w:r>
    </w:p>
    <w:tbl>
      <w:tblPr>
        <w:tblW w:w="9204" w:type="dxa"/>
        <w:tblCellMar>
          <w:left w:w="0" w:type="dxa"/>
          <w:right w:w="0" w:type="dxa"/>
        </w:tblCellMar>
        <w:tblLook w:val="04A0" w:firstRow="1" w:lastRow="0" w:firstColumn="1" w:lastColumn="0" w:noHBand="0" w:noVBand="1"/>
      </w:tblPr>
      <w:tblGrid>
        <w:gridCol w:w="2117"/>
        <w:gridCol w:w="1984"/>
        <w:gridCol w:w="1418"/>
        <w:gridCol w:w="1947"/>
        <w:gridCol w:w="1738"/>
      </w:tblGrid>
      <w:tr w:rsidR="00341D1B" w:rsidRPr="00341D1B" w:rsidTr="00341D1B">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341D1B" w:rsidRPr="00341D1B" w:rsidRDefault="00341D1B" w:rsidP="00341D1B">
            <w:pPr>
              <w:spacing w:before="100" w:beforeAutospacing="1" w:after="100" w:afterAutospacing="1"/>
              <w:jc w:val="center"/>
              <w:rPr>
                <w:b/>
                <w:bCs/>
              </w:rPr>
            </w:pPr>
            <w:r w:rsidRPr="00341D1B">
              <w:rPr>
                <w:b/>
                <w:bCs/>
              </w:rPr>
              <w:t>Občina</w:t>
            </w:r>
          </w:p>
        </w:tc>
        <w:tc>
          <w:tcPr>
            <w:tcW w:w="1984" w:type="dxa"/>
            <w:tcBorders>
              <w:top w:val="single" w:sz="8" w:space="0" w:color="auto"/>
              <w:left w:val="nil"/>
              <w:bottom w:val="single" w:sz="8" w:space="0" w:color="auto"/>
              <w:right w:val="nil"/>
            </w:tcBorders>
            <w:shd w:val="clear" w:color="auto" w:fill="D0CECE"/>
            <w:noWrap/>
            <w:tcMar>
              <w:top w:w="0" w:type="dxa"/>
              <w:left w:w="70" w:type="dxa"/>
              <w:bottom w:w="0" w:type="dxa"/>
              <w:right w:w="70" w:type="dxa"/>
            </w:tcMar>
            <w:vAlign w:val="center"/>
            <w:hideMark/>
          </w:tcPr>
          <w:p w:rsidR="00341D1B" w:rsidRPr="00341D1B" w:rsidRDefault="00341D1B" w:rsidP="00341D1B">
            <w:pPr>
              <w:spacing w:before="100" w:beforeAutospacing="1" w:after="100" w:afterAutospacing="1"/>
              <w:jc w:val="center"/>
              <w:rPr>
                <w:b/>
                <w:bCs/>
              </w:rPr>
            </w:pPr>
            <w:r w:rsidRPr="00341D1B">
              <w:rPr>
                <w:b/>
                <w:bCs/>
              </w:rPr>
              <w:t>Prodane količine vode v m</w:t>
            </w:r>
            <w:r w:rsidRPr="00341D1B">
              <w:rPr>
                <w:b/>
                <w:bCs/>
                <w:vertAlign w:val="superscript"/>
              </w:rPr>
              <w:t>3</w:t>
            </w:r>
            <w:r w:rsidRPr="00341D1B">
              <w:rPr>
                <w:b/>
                <w:bCs/>
              </w:rPr>
              <w:t xml:space="preserve"> po občinah v 2016</w:t>
            </w:r>
          </w:p>
        </w:tc>
        <w:tc>
          <w:tcPr>
            <w:tcW w:w="1418" w:type="dxa"/>
            <w:tcBorders>
              <w:top w:val="single" w:sz="8" w:space="0" w:color="auto"/>
              <w:left w:val="single" w:sz="8" w:space="0" w:color="auto"/>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341D1B" w:rsidRPr="00341D1B" w:rsidRDefault="00341D1B" w:rsidP="00341D1B">
            <w:pPr>
              <w:spacing w:before="100" w:beforeAutospacing="1" w:after="100" w:afterAutospacing="1"/>
              <w:jc w:val="center"/>
              <w:rPr>
                <w:b/>
                <w:bCs/>
              </w:rPr>
            </w:pPr>
            <w:r w:rsidRPr="00341D1B">
              <w:rPr>
                <w:b/>
                <w:bCs/>
              </w:rPr>
              <w:t>Delež</w:t>
            </w:r>
          </w:p>
        </w:tc>
        <w:tc>
          <w:tcPr>
            <w:tcW w:w="1947"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rsidR="00341D1B" w:rsidRPr="00341D1B" w:rsidRDefault="00341D1B" w:rsidP="00341D1B">
            <w:pPr>
              <w:spacing w:before="100" w:beforeAutospacing="1" w:after="100" w:afterAutospacing="1"/>
              <w:jc w:val="center"/>
              <w:rPr>
                <w:b/>
                <w:bCs/>
              </w:rPr>
            </w:pPr>
            <w:r w:rsidRPr="00341D1B">
              <w:rPr>
                <w:b/>
                <w:bCs/>
              </w:rPr>
              <w:t>Znesek lastnih sredstev občine za sofinanciranje projekta po tekočih cenah z DDV</w:t>
            </w:r>
          </w:p>
        </w:tc>
        <w:tc>
          <w:tcPr>
            <w:tcW w:w="1738"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hideMark/>
          </w:tcPr>
          <w:p w:rsidR="00341D1B" w:rsidRPr="00341D1B" w:rsidRDefault="00341D1B" w:rsidP="00341D1B">
            <w:pPr>
              <w:spacing w:before="100" w:beforeAutospacing="1" w:after="100" w:afterAutospacing="1"/>
              <w:jc w:val="center"/>
              <w:rPr>
                <w:b/>
                <w:bCs/>
              </w:rPr>
            </w:pPr>
            <w:r w:rsidRPr="00341D1B">
              <w:rPr>
                <w:b/>
                <w:bCs/>
              </w:rPr>
              <w:t>Znesek lastnih sredstev občine za sofinanciranje projekta po tekočih cenah brez DDV</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Cirkulane</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93.702</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2,76%</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369.713,00 €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149.883,65</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Destrnik</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116.421</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3,42%</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458.122,63 €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185.725,39</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Dornava</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121.280</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3,57%</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478.215,73 €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193.871,24</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Gorišnica</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164.675</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4,84%</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648.337,29 €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262.839,44</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Juršinci</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93.718</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2,76%</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369.713,00 €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149.883,65</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Kidričevo</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250.928</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7,38%</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988.580,41 €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400.775,84</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Majšperk</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163.073</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4,80%</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642.979,13 €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260.667,21</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shd w:val="clear" w:color="auto" w:fill="C6D9F1" w:themeFill="text2" w:themeFillTint="33"/>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Ptuj</w:t>
            </w:r>
          </w:p>
        </w:tc>
        <w:tc>
          <w:tcPr>
            <w:tcW w:w="1984" w:type="dxa"/>
            <w:tcBorders>
              <w:top w:val="nil"/>
              <w:left w:val="nil"/>
              <w:bottom w:val="single" w:sz="8" w:space="0" w:color="auto"/>
              <w:right w:val="nil"/>
            </w:tcBorders>
            <w:shd w:val="clear" w:color="auto" w:fill="C6D9F1" w:themeFill="text2" w:themeFillTint="33"/>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1.308.115</w:t>
            </w:r>
          </w:p>
        </w:tc>
        <w:tc>
          <w:tcPr>
            <w:tcW w:w="1418" w:type="dxa"/>
            <w:tcBorders>
              <w:top w:val="nil"/>
              <w:left w:val="single" w:sz="8" w:space="0" w:color="auto"/>
              <w:bottom w:val="single" w:sz="8" w:space="0" w:color="auto"/>
              <w:right w:val="single" w:sz="8" w:space="0" w:color="auto"/>
            </w:tcBorders>
            <w:shd w:val="clear" w:color="auto" w:fill="C6D9F1" w:themeFill="text2" w:themeFillTint="33"/>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38,46%</w:t>
            </w:r>
          </w:p>
        </w:tc>
        <w:tc>
          <w:tcPr>
            <w:tcW w:w="1947" w:type="dxa"/>
            <w:tcBorders>
              <w:top w:val="nil"/>
              <w:left w:val="nil"/>
              <w:bottom w:val="single" w:sz="8" w:space="0" w:color="auto"/>
              <w:right w:val="single" w:sz="8" w:space="0" w:color="auto"/>
            </w:tcBorders>
            <w:shd w:val="clear" w:color="auto" w:fill="C6D9F1" w:themeFill="text2" w:themeFillTint="33"/>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5.151.870,26 €</w:t>
            </w:r>
          </w:p>
        </w:tc>
        <w:tc>
          <w:tcPr>
            <w:tcW w:w="1738" w:type="dxa"/>
            <w:tcBorders>
              <w:top w:val="nil"/>
              <w:left w:val="nil"/>
              <w:bottom w:val="single" w:sz="8" w:space="0" w:color="auto"/>
              <w:right w:val="single" w:sz="8" w:space="0" w:color="auto"/>
            </w:tcBorders>
            <w:shd w:val="clear" w:color="auto" w:fill="C6D9F1" w:themeFill="text2" w:themeFillTint="33"/>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2.088.596,05</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Videm</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234.489</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6,90%</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924.282,50 €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374.709,12</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Zavrč</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46.334</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1,36%</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182.177,42 €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73.855,71</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Hajdina</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168.092</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4,94%</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661.732,69 €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268.270,01</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Markovci</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222.380</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6,54%</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876.059,06 €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355.159,08</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Podlehnik</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95.337</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2,80%</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375.071,16 €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152.055,87</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Sv Andraž</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44.075</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1,30%</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174.140,18 €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70.597,37</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Trnovska vas</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56.536</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1,66%</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222.363,62 €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90.147,41</w:t>
            </w:r>
          </w:p>
        </w:tc>
      </w:tr>
      <w:tr w:rsidR="00341D1B" w:rsidRPr="00341D1B" w:rsidTr="00341D1B">
        <w:trPr>
          <w:trHeight w:val="300"/>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Žetale</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21.600</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0,64%</w:t>
            </w:r>
          </w:p>
        </w:tc>
        <w:tc>
          <w:tcPr>
            <w:tcW w:w="19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85.730,55 €</w:t>
            </w:r>
          </w:p>
        </w:tc>
        <w:tc>
          <w:tcPr>
            <w:tcW w:w="1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34.755,63</w:t>
            </w:r>
          </w:p>
        </w:tc>
      </w:tr>
      <w:tr w:rsidR="00341D1B" w:rsidRPr="00341D1B" w:rsidTr="00341D1B">
        <w:trPr>
          <w:trHeight w:val="315"/>
        </w:trPr>
        <w:tc>
          <w:tcPr>
            <w:tcW w:w="211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pPr>
            <w:r w:rsidRPr="00341D1B">
              <w:t>Starše</w:t>
            </w:r>
          </w:p>
        </w:tc>
        <w:tc>
          <w:tcPr>
            <w:tcW w:w="1984" w:type="dxa"/>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199.496</w:t>
            </w:r>
          </w:p>
        </w:tc>
        <w:tc>
          <w:tcPr>
            <w:tcW w:w="141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pPr>
            <w:r w:rsidRPr="00341D1B">
              <w:t>5,87%</w:t>
            </w:r>
          </w:p>
        </w:tc>
        <w:tc>
          <w:tcPr>
            <w:tcW w:w="1947" w:type="dxa"/>
            <w:tcBorders>
              <w:top w:val="nil"/>
              <w:left w:val="nil"/>
              <w:bottom w:val="nil"/>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786.309,89 €</w:t>
            </w:r>
          </w:p>
        </w:tc>
        <w:tc>
          <w:tcPr>
            <w:tcW w:w="1738" w:type="dxa"/>
            <w:tcBorders>
              <w:top w:val="nil"/>
              <w:left w:val="nil"/>
              <w:bottom w:val="nil"/>
              <w:right w:val="single" w:sz="8" w:space="0" w:color="auto"/>
            </w:tcBorders>
            <w:tcMar>
              <w:top w:w="0" w:type="dxa"/>
              <w:left w:w="70" w:type="dxa"/>
              <w:bottom w:w="0" w:type="dxa"/>
              <w:right w:w="70" w:type="dxa"/>
            </w:tcMar>
            <w:vAlign w:val="bottom"/>
            <w:hideMark/>
          </w:tcPr>
          <w:p w:rsidR="00341D1B" w:rsidRPr="00341D1B" w:rsidRDefault="00341D1B" w:rsidP="00341D1B">
            <w:pPr>
              <w:spacing w:before="100" w:beforeAutospacing="1" w:after="100" w:afterAutospacing="1"/>
              <w:jc w:val="right"/>
              <w:rPr>
                <w:color w:val="000000"/>
              </w:rPr>
            </w:pPr>
            <w:r w:rsidRPr="00341D1B">
              <w:rPr>
                <w:color w:val="000000"/>
              </w:rPr>
              <w:t>318.774,28</w:t>
            </w:r>
          </w:p>
        </w:tc>
      </w:tr>
      <w:tr w:rsidR="00341D1B" w:rsidRPr="00341D1B" w:rsidTr="00341D1B">
        <w:trPr>
          <w:trHeight w:val="315"/>
        </w:trPr>
        <w:tc>
          <w:tcPr>
            <w:tcW w:w="2117" w:type="dxa"/>
            <w:tcBorders>
              <w:top w:val="single" w:sz="8" w:space="0" w:color="auto"/>
              <w:left w:val="single" w:sz="8" w:space="0" w:color="auto"/>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341D1B" w:rsidRPr="00341D1B" w:rsidRDefault="00341D1B" w:rsidP="00341D1B">
            <w:pPr>
              <w:spacing w:before="100" w:beforeAutospacing="1" w:after="100" w:afterAutospacing="1"/>
              <w:jc w:val="center"/>
              <w:rPr>
                <w:b/>
                <w:bCs/>
              </w:rPr>
            </w:pPr>
            <w:r w:rsidRPr="00341D1B">
              <w:rPr>
                <w:b/>
                <w:bCs/>
              </w:rPr>
              <w:t>SKUPAJ</w:t>
            </w:r>
          </w:p>
        </w:tc>
        <w:tc>
          <w:tcPr>
            <w:tcW w:w="1984" w:type="dxa"/>
            <w:tcBorders>
              <w:top w:val="single" w:sz="8" w:space="0" w:color="auto"/>
              <w:left w:val="nil"/>
              <w:bottom w:val="single" w:sz="8" w:space="0" w:color="auto"/>
              <w:right w:val="nil"/>
            </w:tcBorders>
            <w:shd w:val="clear" w:color="auto" w:fill="D0CECE"/>
            <w:noWrap/>
            <w:tcMar>
              <w:top w:w="0" w:type="dxa"/>
              <w:left w:w="70" w:type="dxa"/>
              <w:bottom w:w="0" w:type="dxa"/>
              <w:right w:w="70" w:type="dxa"/>
            </w:tcMar>
            <w:vAlign w:val="center"/>
            <w:hideMark/>
          </w:tcPr>
          <w:p w:rsidR="00341D1B" w:rsidRPr="00341D1B" w:rsidRDefault="00341D1B" w:rsidP="00341D1B">
            <w:pPr>
              <w:spacing w:before="100" w:beforeAutospacing="1" w:after="100" w:afterAutospacing="1"/>
              <w:jc w:val="center"/>
              <w:rPr>
                <w:b/>
                <w:bCs/>
              </w:rPr>
            </w:pPr>
            <w:r w:rsidRPr="00341D1B">
              <w:rPr>
                <w:b/>
                <w:bCs/>
              </w:rPr>
              <w:t>34.00.251</w:t>
            </w:r>
          </w:p>
        </w:tc>
        <w:tc>
          <w:tcPr>
            <w:tcW w:w="1418" w:type="dxa"/>
            <w:tcBorders>
              <w:top w:val="single" w:sz="8" w:space="0" w:color="auto"/>
              <w:left w:val="single" w:sz="8" w:space="0" w:color="auto"/>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341D1B" w:rsidRPr="00341D1B" w:rsidRDefault="00341D1B" w:rsidP="00341D1B">
            <w:pPr>
              <w:spacing w:before="100" w:beforeAutospacing="1" w:after="100" w:afterAutospacing="1"/>
              <w:jc w:val="center"/>
              <w:rPr>
                <w:b/>
                <w:bCs/>
              </w:rPr>
            </w:pPr>
            <w:r w:rsidRPr="00341D1B">
              <w:rPr>
                <w:b/>
                <w:bCs/>
              </w:rPr>
              <w:t>100,00%</w:t>
            </w:r>
          </w:p>
        </w:tc>
        <w:tc>
          <w:tcPr>
            <w:tcW w:w="1947"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rsidR="00341D1B" w:rsidRPr="00341D1B" w:rsidRDefault="00341D1B" w:rsidP="00341D1B">
            <w:pPr>
              <w:spacing w:before="100" w:beforeAutospacing="1" w:after="100" w:afterAutospacing="1"/>
              <w:jc w:val="center"/>
              <w:rPr>
                <w:b/>
                <w:bCs/>
              </w:rPr>
            </w:pPr>
            <w:r w:rsidRPr="00341D1B">
              <w:rPr>
                <w:b/>
                <w:bCs/>
              </w:rPr>
              <w:t>13.395.398,50</w:t>
            </w:r>
          </w:p>
        </w:tc>
        <w:tc>
          <w:tcPr>
            <w:tcW w:w="1738"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rsidR="00341D1B" w:rsidRPr="00341D1B" w:rsidRDefault="00341D1B" w:rsidP="00341D1B">
            <w:pPr>
              <w:spacing w:before="100" w:beforeAutospacing="1" w:after="100" w:afterAutospacing="1"/>
              <w:jc w:val="center"/>
              <w:rPr>
                <w:b/>
                <w:bCs/>
              </w:rPr>
            </w:pPr>
            <w:r w:rsidRPr="00341D1B">
              <w:rPr>
                <w:b/>
                <w:bCs/>
              </w:rPr>
              <w:t>5.430.566,96</w:t>
            </w:r>
          </w:p>
        </w:tc>
      </w:tr>
    </w:tbl>
    <w:p w:rsidR="00B8761F" w:rsidRPr="00341D1B" w:rsidRDefault="00341D1B" w:rsidP="00B8761F">
      <w:pPr>
        <w:spacing w:before="100" w:beforeAutospacing="1" w:after="100" w:afterAutospacing="1"/>
        <w:jc w:val="both"/>
        <w:rPr>
          <w:color w:val="1F497D"/>
        </w:rPr>
      </w:pPr>
      <w:r w:rsidRPr="00341D1B">
        <w:rPr>
          <w:bCs/>
          <w:color w:val="000000"/>
        </w:rPr>
        <w:lastRenderedPageBreak/>
        <w:t>Vrednost investicije za Mestno občino Ptuj znaša 13.923.973,69 EUR brez DDV. Od tega znašajo lastna sredstva Mestne občine Ptuj  2.088.596,05 EUR brez DDV (15</w:t>
      </w:r>
      <w:r w:rsidR="004667FE">
        <w:rPr>
          <w:bCs/>
          <w:color w:val="000000"/>
        </w:rPr>
        <w:t xml:space="preserve"> </w:t>
      </w:r>
      <w:r w:rsidRPr="00341D1B">
        <w:rPr>
          <w:bCs/>
          <w:color w:val="000000"/>
        </w:rPr>
        <w:t>%), delež EU znaša 11.835.377,64 EUR brez DDV</w:t>
      </w:r>
      <w:r w:rsidR="00B8761F">
        <w:rPr>
          <w:bCs/>
          <w:color w:val="000000"/>
        </w:rPr>
        <w:t>.</w:t>
      </w:r>
      <w:r w:rsidR="00B8761F" w:rsidRPr="00B8761F">
        <w:rPr>
          <w:bCs/>
          <w:color w:val="000000"/>
        </w:rPr>
        <w:t xml:space="preserve"> </w:t>
      </w:r>
      <w:r w:rsidR="00B8761F">
        <w:rPr>
          <w:bCs/>
          <w:color w:val="000000"/>
        </w:rPr>
        <w:t>Predvideno izvajanje investicije je v letih 2018 do 2022. V letu 2018 se predvideva pridobitev projektne in investicijske dokumentacije.</w:t>
      </w:r>
    </w:p>
    <w:p w:rsidR="00341D1B" w:rsidRPr="00341D1B" w:rsidRDefault="00341D1B" w:rsidP="00341D1B">
      <w:pPr>
        <w:spacing w:before="100" w:beforeAutospacing="1" w:after="100" w:afterAutospacing="1"/>
        <w:jc w:val="both"/>
        <w:rPr>
          <w:b/>
          <w:bCs/>
        </w:rPr>
      </w:pPr>
      <w:bookmarkStart w:id="0" w:name="_Toc486919636"/>
      <w:r w:rsidRPr="00341D1B">
        <w:rPr>
          <w:b/>
          <w:bCs/>
        </w:rPr>
        <w:t>Tabel</w:t>
      </w:r>
      <w:bookmarkEnd w:id="0"/>
      <w:r>
        <w:rPr>
          <w:b/>
          <w:bCs/>
        </w:rPr>
        <w:t>a:</w:t>
      </w:r>
      <w:r w:rsidRPr="00341D1B">
        <w:rPr>
          <w:b/>
          <w:bCs/>
        </w:rPr>
        <w:t xml:space="preserve"> Predvideni viri financiranja po tekočih cenah za projekt »Celovita obnova vodovodnega sistema Spodnje Podravje«</w:t>
      </w:r>
    </w:p>
    <w:tbl>
      <w:tblPr>
        <w:tblW w:w="9246" w:type="dxa"/>
        <w:tblCellMar>
          <w:left w:w="0" w:type="dxa"/>
          <w:right w:w="0" w:type="dxa"/>
        </w:tblCellMar>
        <w:tblLook w:val="04A0" w:firstRow="1" w:lastRow="0" w:firstColumn="1" w:lastColumn="0" w:noHBand="0" w:noVBand="1"/>
      </w:tblPr>
      <w:tblGrid>
        <w:gridCol w:w="7650"/>
        <w:gridCol w:w="1596"/>
      </w:tblGrid>
      <w:tr w:rsidR="00341D1B" w:rsidRPr="00341D1B" w:rsidTr="00341D1B">
        <w:tc>
          <w:tcPr>
            <w:tcW w:w="7650"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rsidR="00341D1B" w:rsidRPr="00341D1B" w:rsidRDefault="00341D1B" w:rsidP="004667FE">
            <w:pPr>
              <w:spacing w:before="100" w:beforeAutospacing="1" w:after="100" w:afterAutospacing="1"/>
              <w:jc w:val="center"/>
              <w:rPr>
                <w:b/>
                <w:bCs/>
              </w:rPr>
            </w:pPr>
            <w:r w:rsidRPr="00341D1B">
              <w:rPr>
                <w:b/>
                <w:bCs/>
              </w:rPr>
              <w:t>Vir financiranja</w:t>
            </w:r>
            <w:r w:rsidR="004667FE">
              <w:rPr>
                <w:b/>
                <w:bCs/>
              </w:rPr>
              <w:t xml:space="preserve"> </w:t>
            </w:r>
            <w:r w:rsidRPr="00341D1B">
              <w:rPr>
                <w:b/>
                <w:bCs/>
              </w:rPr>
              <w:t>tekoče cene</w:t>
            </w:r>
          </w:p>
        </w:tc>
        <w:tc>
          <w:tcPr>
            <w:tcW w:w="1596"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rsidR="00341D1B" w:rsidRPr="00341D1B" w:rsidRDefault="00341D1B" w:rsidP="004667FE">
            <w:pPr>
              <w:spacing w:before="100" w:beforeAutospacing="1" w:after="100" w:afterAutospacing="1"/>
              <w:jc w:val="center"/>
              <w:rPr>
                <w:b/>
                <w:bCs/>
              </w:rPr>
            </w:pPr>
            <w:r w:rsidRPr="00341D1B">
              <w:rPr>
                <w:b/>
                <w:bCs/>
              </w:rPr>
              <w:t>Skupaj</w:t>
            </w:r>
            <w:r w:rsidR="004667FE">
              <w:rPr>
                <w:b/>
                <w:bCs/>
              </w:rPr>
              <w:t xml:space="preserve"> (EUR)</w:t>
            </w:r>
          </w:p>
        </w:tc>
      </w:tr>
      <w:tr w:rsidR="00341D1B" w:rsidRPr="00341D1B" w:rsidTr="00341D1B">
        <w:trPr>
          <w:trHeight w:val="552"/>
        </w:trPr>
        <w:tc>
          <w:tcPr>
            <w:tcW w:w="7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D1B" w:rsidRPr="00341D1B" w:rsidRDefault="00341D1B" w:rsidP="00341D1B">
            <w:pPr>
              <w:spacing w:before="100" w:beforeAutospacing="1" w:after="100" w:afterAutospacing="1"/>
            </w:pPr>
            <w:r w:rsidRPr="00341D1B">
              <w:t>Evropski sklad za regionalni razvoj-ESRR (Ministrstvo za okolje in prostor)</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D1B" w:rsidRPr="00341D1B" w:rsidRDefault="00341D1B" w:rsidP="00341D1B">
            <w:pPr>
              <w:spacing w:before="100" w:beforeAutospacing="1" w:after="100" w:afterAutospacing="1"/>
              <w:jc w:val="center"/>
              <w:rPr>
                <w:color w:val="000000"/>
              </w:rPr>
            </w:pPr>
            <w:r w:rsidRPr="00341D1B">
              <w:rPr>
                <w:color w:val="000000"/>
              </w:rPr>
              <w:t>30.773.212,78</w:t>
            </w:r>
          </w:p>
        </w:tc>
      </w:tr>
      <w:tr w:rsidR="00341D1B" w:rsidRPr="00341D1B" w:rsidTr="00341D1B">
        <w:trPr>
          <w:trHeight w:val="554"/>
        </w:trPr>
        <w:tc>
          <w:tcPr>
            <w:tcW w:w="7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D1B" w:rsidRPr="00341D1B" w:rsidRDefault="00341D1B" w:rsidP="00341D1B">
            <w:pPr>
              <w:spacing w:before="100" w:beforeAutospacing="1" w:after="100" w:afterAutospacing="1"/>
            </w:pPr>
            <w:r w:rsidRPr="00341D1B">
              <w:t>Lastna sredstva občin</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D1B" w:rsidRPr="00341D1B" w:rsidRDefault="00341D1B" w:rsidP="00341D1B">
            <w:pPr>
              <w:spacing w:before="100" w:beforeAutospacing="1" w:after="100" w:afterAutospacing="1"/>
              <w:jc w:val="center"/>
            </w:pPr>
            <w:r w:rsidRPr="00341D1B">
              <w:t>5.430.566,96</w:t>
            </w:r>
          </w:p>
        </w:tc>
      </w:tr>
      <w:tr w:rsidR="00341D1B" w:rsidRPr="00341D1B" w:rsidTr="00341D1B">
        <w:trPr>
          <w:trHeight w:val="554"/>
        </w:trPr>
        <w:tc>
          <w:tcPr>
            <w:tcW w:w="7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D1B" w:rsidRPr="00341D1B" w:rsidRDefault="00341D1B" w:rsidP="00341D1B">
            <w:pPr>
              <w:spacing w:before="100" w:beforeAutospacing="1" w:after="100" w:afterAutospacing="1"/>
            </w:pPr>
            <w:r w:rsidRPr="00341D1B">
              <w:t>DDV</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D1B" w:rsidRPr="00341D1B" w:rsidRDefault="00341D1B" w:rsidP="00341D1B">
            <w:pPr>
              <w:spacing w:before="100" w:beforeAutospacing="1" w:after="100" w:afterAutospacing="1"/>
              <w:jc w:val="center"/>
            </w:pPr>
            <w:r w:rsidRPr="00341D1B">
              <w:t>7.964.831,54</w:t>
            </w:r>
          </w:p>
        </w:tc>
      </w:tr>
      <w:tr w:rsidR="00341D1B" w:rsidRPr="00341D1B" w:rsidTr="00341D1B">
        <w:trPr>
          <w:trHeight w:val="509"/>
        </w:trPr>
        <w:tc>
          <w:tcPr>
            <w:tcW w:w="7650"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rsidR="00341D1B" w:rsidRPr="00341D1B" w:rsidRDefault="00341D1B" w:rsidP="00341D1B">
            <w:pPr>
              <w:spacing w:before="100" w:beforeAutospacing="1" w:after="100" w:afterAutospacing="1"/>
              <w:rPr>
                <w:b/>
                <w:bCs/>
              </w:rPr>
            </w:pPr>
            <w:r w:rsidRPr="00341D1B">
              <w:rPr>
                <w:b/>
                <w:bCs/>
              </w:rPr>
              <w:t>SKUPAJ</w:t>
            </w:r>
          </w:p>
        </w:tc>
        <w:tc>
          <w:tcPr>
            <w:tcW w:w="159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rsidR="00341D1B" w:rsidRPr="00341D1B" w:rsidRDefault="00341D1B" w:rsidP="00341D1B">
            <w:pPr>
              <w:spacing w:before="100" w:beforeAutospacing="1" w:after="100" w:afterAutospacing="1"/>
              <w:rPr>
                <w:b/>
                <w:bCs/>
              </w:rPr>
            </w:pPr>
            <w:r w:rsidRPr="00341D1B">
              <w:rPr>
                <w:b/>
                <w:bCs/>
              </w:rPr>
              <w:t>44.168.611,28</w:t>
            </w:r>
          </w:p>
        </w:tc>
      </w:tr>
    </w:tbl>
    <w:p w:rsidR="00CB3A92" w:rsidRDefault="00CB3A92" w:rsidP="00CB1D70">
      <w:pPr>
        <w:rPr>
          <w:sz w:val="23"/>
          <w:szCs w:val="23"/>
        </w:rPr>
      </w:pPr>
    </w:p>
    <w:p w:rsidR="007A0726" w:rsidRDefault="007A0726" w:rsidP="00CB1D70">
      <w:pPr>
        <w:rPr>
          <w:sz w:val="23"/>
          <w:szCs w:val="23"/>
        </w:rPr>
      </w:pPr>
    </w:p>
    <w:p w:rsidR="00104747" w:rsidRPr="00861CE0" w:rsidRDefault="00CB3A92" w:rsidP="00FC48D7">
      <w:pPr>
        <w:jc w:val="both"/>
      </w:pPr>
      <w:r>
        <w:rPr>
          <w:sz w:val="23"/>
          <w:szCs w:val="23"/>
        </w:rPr>
        <w:t>Na območju Spodnjega Podravja pa se bodo s posodobitvijo vodovodnega sistema zmanjšale izgube na vodovodnih sistemih, dolgoročno zagotovile zadostne količine pitne vode in znižali stroški rednega vzdrževanja. Strateški cilj občin na območju Spodnjega Podravja je zagotoviti zdravstveno ustrezno pitno vodo z izgradnjo novih in rekons</w:t>
      </w:r>
      <w:r w:rsidR="00A01DFD">
        <w:rPr>
          <w:sz w:val="23"/>
          <w:szCs w:val="23"/>
        </w:rPr>
        <w:t>trukcijo</w:t>
      </w:r>
      <w:bookmarkStart w:id="1" w:name="_GoBack"/>
      <w:bookmarkEnd w:id="1"/>
      <w:r>
        <w:rPr>
          <w:sz w:val="23"/>
          <w:szCs w:val="23"/>
        </w:rPr>
        <w:t xml:space="preserve"> obstoječih vodovodnih sistemov (primarna in sekundarna omrežja – transportni, primarni in sekundarni cevovodi) z namenom izboljšanja varne oskrbe prebivalcev s kakovostno pitno vodo in zmanjševanja izgub pitne vode. Projekt vključuje tudi ukrepe za sanacijo in aktivno zaščito vodnih virov in vzpostavitvi ustreznega sistema za spremljanje kakovosti pitne vode in varstvu vodnih virov. Gre torej za ukrepe za zmanjševanje vodnih izgub na javnem vodovodu in zagotavljanje rezervnih vodnih virov, vključno z izboljšanjem kvalitete pitne vode.</w:t>
      </w:r>
    </w:p>
    <w:p w:rsidR="00FC48D7" w:rsidRDefault="00FC48D7" w:rsidP="00CB1D70">
      <w:pPr>
        <w:jc w:val="both"/>
      </w:pPr>
    </w:p>
    <w:p w:rsidR="00672CB1" w:rsidRPr="00861CE0" w:rsidRDefault="00CB1D70" w:rsidP="00CB1D70">
      <w:pPr>
        <w:jc w:val="both"/>
      </w:pPr>
      <w:r w:rsidRPr="00861CE0">
        <w:t>Na podlagi navedenega Mestnemu svetu Mestne občine Ptuj predlagam, da predloženi dokument obravnava in sprejme predlagani sklep.</w:t>
      </w:r>
    </w:p>
    <w:p w:rsidR="0068264A" w:rsidRPr="00861CE0" w:rsidRDefault="0068264A" w:rsidP="00CB1D70">
      <w:pPr>
        <w:jc w:val="both"/>
      </w:pPr>
    </w:p>
    <w:p w:rsidR="00175D1F" w:rsidRPr="00861CE0" w:rsidRDefault="0067518A" w:rsidP="00CB1D70">
      <w:pPr>
        <w:jc w:val="both"/>
        <w:rPr>
          <w:b/>
        </w:rPr>
      </w:pPr>
      <w:r w:rsidRPr="00861CE0">
        <w:t>Pripravila</w:t>
      </w:r>
      <w:r w:rsidR="00D279FA" w:rsidRPr="00861CE0">
        <w:t>:</w:t>
      </w:r>
      <w:r w:rsidR="00DD382B" w:rsidRPr="00861CE0">
        <w:rPr>
          <w:b/>
        </w:rPr>
        <w:tab/>
      </w:r>
    </w:p>
    <w:p w:rsidR="00175D1F" w:rsidRPr="00861CE0" w:rsidRDefault="00AE62F9" w:rsidP="00CB1D70">
      <w:pPr>
        <w:jc w:val="both"/>
      </w:pPr>
      <w:r>
        <w:t xml:space="preserve">Minja </w:t>
      </w:r>
      <w:proofErr w:type="spellStart"/>
      <w:r>
        <w:t>Vučinić</w:t>
      </w:r>
      <w:proofErr w:type="spellEnd"/>
    </w:p>
    <w:p w:rsidR="00D279FA" w:rsidRPr="00861CE0" w:rsidRDefault="00DD382B" w:rsidP="00CB1D70">
      <w:pPr>
        <w:jc w:val="both"/>
        <w:rPr>
          <w:b/>
        </w:rPr>
      </w:pPr>
      <w:r w:rsidRPr="00861CE0">
        <w:rPr>
          <w:b/>
        </w:rPr>
        <w:tab/>
      </w:r>
      <w:r w:rsidRPr="00861CE0">
        <w:rPr>
          <w:b/>
        </w:rPr>
        <w:tab/>
      </w:r>
      <w:r w:rsidRPr="00861CE0">
        <w:rPr>
          <w:b/>
        </w:rPr>
        <w:tab/>
      </w:r>
      <w:r w:rsidRPr="00861CE0">
        <w:rPr>
          <w:b/>
        </w:rPr>
        <w:tab/>
      </w:r>
      <w:r w:rsidRPr="00861CE0">
        <w:rPr>
          <w:b/>
        </w:rPr>
        <w:tab/>
      </w:r>
      <w:r w:rsidRPr="00861CE0">
        <w:rPr>
          <w:b/>
        </w:rPr>
        <w:tab/>
      </w:r>
      <w:r w:rsidRPr="00861CE0">
        <w:rPr>
          <w:b/>
        </w:rPr>
        <w:tab/>
        <w:t xml:space="preserve">     </w:t>
      </w:r>
      <w:r w:rsidR="00D279FA" w:rsidRPr="00861CE0">
        <w:rPr>
          <w:b/>
        </w:rPr>
        <w:t xml:space="preserve"> </w:t>
      </w:r>
      <w:r w:rsidR="00175D1F" w:rsidRPr="00861CE0">
        <w:rPr>
          <w:b/>
        </w:rPr>
        <w:t xml:space="preserve">                       </w:t>
      </w:r>
      <w:r w:rsidR="00CB1D70" w:rsidRPr="00861CE0">
        <w:rPr>
          <w:b/>
        </w:rPr>
        <w:t xml:space="preserve">  </w:t>
      </w:r>
      <w:r w:rsidR="00D279FA" w:rsidRPr="00861CE0">
        <w:rPr>
          <w:b/>
        </w:rPr>
        <w:t>Miran S</w:t>
      </w:r>
      <w:r w:rsidRPr="00861CE0">
        <w:rPr>
          <w:b/>
        </w:rPr>
        <w:t>ENČAR</w:t>
      </w:r>
      <w:r w:rsidR="00D279FA" w:rsidRPr="00861CE0">
        <w:rPr>
          <w:b/>
        </w:rPr>
        <w:t>,</w:t>
      </w:r>
    </w:p>
    <w:p w:rsidR="00D279FA" w:rsidRPr="00861CE0" w:rsidRDefault="0089171D" w:rsidP="00CB1D70">
      <w:pPr>
        <w:jc w:val="both"/>
        <w:rPr>
          <w:b/>
        </w:rPr>
      </w:pPr>
      <w:r w:rsidRPr="00861CE0">
        <w:t xml:space="preserve">    </w:t>
      </w:r>
      <w:r w:rsidR="00D279FA" w:rsidRPr="00861CE0">
        <w:tab/>
      </w:r>
      <w:r w:rsidR="00D279FA" w:rsidRPr="00861CE0">
        <w:tab/>
      </w:r>
      <w:r w:rsidR="00D279FA" w:rsidRPr="00861CE0">
        <w:tab/>
      </w:r>
      <w:r w:rsidR="00D279FA" w:rsidRPr="00861CE0">
        <w:tab/>
      </w:r>
      <w:r w:rsidR="00D279FA" w:rsidRPr="00861CE0">
        <w:tab/>
      </w:r>
      <w:r w:rsidR="00D279FA" w:rsidRPr="00861CE0">
        <w:tab/>
      </w:r>
      <w:r w:rsidR="00D279FA" w:rsidRPr="00861CE0">
        <w:tab/>
      </w:r>
      <w:r w:rsidRPr="00861CE0">
        <w:t xml:space="preserve">                        </w:t>
      </w:r>
      <w:r w:rsidR="00D279FA" w:rsidRPr="00861CE0">
        <w:rPr>
          <w:b/>
        </w:rPr>
        <w:t>župan Mestne občine Ptuj</w:t>
      </w:r>
    </w:p>
    <w:p w:rsidR="00C26598" w:rsidRPr="00861CE0" w:rsidRDefault="00C26598" w:rsidP="00CB1D70">
      <w:pPr>
        <w:jc w:val="both"/>
        <w:rPr>
          <w:b/>
        </w:rPr>
      </w:pPr>
    </w:p>
    <w:sectPr w:rsidR="00C26598" w:rsidRPr="00861CE0" w:rsidSect="00D722C1">
      <w:footerReference w:type="default" r:id="rId7"/>
      <w:headerReference w:type="first" r:id="rId8"/>
      <w:footerReference w:type="first" r:id="rId9"/>
      <w:pgSz w:w="12240" w:h="15840"/>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502" w:rsidRDefault="00041502">
      <w:r>
        <w:separator/>
      </w:r>
    </w:p>
  </w:endnote>
  <w:endnote w:type="continuationSeparator" w:id="0">
    <w:p w:rsidR="00041502" w:rsidRDefault="00041502">
      <w:r>
        <w:continuationSeparator/>
      </w:r>
    </w:p>
  </w:endnote>
  <w:endnote w:type="continuationNotice" w:id="1">
    <w:p w:rsidR="00041502" w:rsidRDefault="00041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otaKlavika">
    <w:altName w:val="Times New Roman"/>
    <w:charset w:val="EE"/>
    <w:family w:val="auto"/>
    <w:pitch w:val="variable"/>
    <w:sig w:usb0="00000001" w:usb1="5000204A"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502" w:rsidRDefault="00041502">
      <w:r>
        <w:separator/>
      </w:r>
    </w:p>
  </w:footnote>
  <w:footnote w:type="continuationSeparator" w:id="0">
    <w:p w:rsidR="00041502" w:rsidRDefault="00041502">
      <w:r>
        <w:continuationSeparator/>
      </w:r>
    </w:p>
  </w:footnote>
  <w:footnote w:type="continuationNotice" w:id="1">
    <w:p w:rsidR="00041502" w:rsidRDefault="000415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27"/>
      <w:gridCol w:w="6393"/>
    </w:tblGrid>
    <w:tr w:rsidR="00D75085" w:rsidTr="00AA1F51">
      <w:tc>
        <w:tcPr>
          <w:tcW w:w="3228" w:type="dxa"/>
        </w:tcPr>
        <w:p w:rsidR="00D75085" w:rsidRPr="00AA1F51" w:rsidRDefault="00EB7B46" w:rsidP="00AA1F51">
          <w:pPr>
            <w:pBdr>
              <w:bottom w:val="single" w:sz="12" w:space="1" w:color="999999"/>
            </w:pBdr>
            <w:jc w:val="center"/>
            <w:rPr>
              <w:b/>
              <w:i/>
            </w:rPr>
          </w:pPr>
          <w:r>
            <w:rPr>
              <w:noProof/>
            </w:rPr>
            <w:drawing>
              <wp:inline distT="0" distB="0" distL="0" distR="0">
                <wp:extent cx="464820" cy="57912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inline>
            </w:drawing>
          </w:r>
        </w:p>
        <w:p w:rsidR="00D75085" w:rsidRDefault="00D75085" w:rsidP="00AA1F51">
          <w:pPr>
            <w:pBdr>
              <w:bottom w:val="single" w:sz="12" w:space="1" w:color="999999"/>
            </w:pBdr>
          </w:pPr>
        </w:p>
        <w:p w:rsidR="00D75085" w:rsidRPr="00AA1F51" w:rsidRDefault="00D75085" w:rsidP="00AA1F51">
          <w:pPr>
            <w:pBdr>
              <w:bottom w:val="single" w:sz="12" w:space="1" w:color="999999"/>
            </w:pBdr>
            <w:jc w:val="center"/>
            <w:rPr>
              <w:b/>
              <w:sz w:val="22"/>
            </w:rPr>
          </w:pPr>
          <w:r w:rsidRPr="00AA1F51">
            <w:rPr>
              <w:b/>
              <w:sz w:val="22"/>
            </w:rPr>
            <w:t>MESTNA OBČINA PTUJ</w:t>
          </w:r>
        </w:p>
        <w:p w:rsidR="00D75085" w:rsidRPr="00AA1F51" w:rsidRDefault="00D75085" w:rsidP="00AA1F51">
          <w:pPr>
            <w:pBdr>
              <w:bottom w:val="single" w:sz="12" w:space="1" w:color="999999"/>
            </w:pBdr>
            <w:jc w:val="center"/>
            <w:rPr>
              <w:sz w:val="22"/>
            </w:rPr>
          </w:pPr>
          <w:r w:rsidRPr="00AA1F51">
            <w:rPr>
              <w:sz w:val="22"/>
            </w:rPr>
            <w:t xml:space="preserve"> ŽUPAN</w:t>
          </w:r>
        </w:p>
        <w:p w:rsidR="00D75085" w:rsidRPr="00AA1F51" w:rsidRDefault="00D75085" w:rsidP="00AA1F51">
          <w:pPr>
            <w:pBdr>
              <w:bottom w:val="single" w:sz="12" w:space="1" w:color="999999"/>
            </w:pBdr>
            <w:rPr>
              <w:sz w:val="22"/>
            </w:rPr>
          </w:pPr>
        </w:p>
        <w:p w:rsidR="00D75085" w:rsidRPr="00AA1F51" w:rsidRDefault="00D75085" w:rsidP="00AA1F51">
          <w:pPr>
            <w:jc w:val="center"/>
            <w:rPr>
              <w:sz w:val="22"/>
            </w:rPr>
          </w:pPr>
        </w:p>
      </w:tc>
      <w:tc>
        <w:tcPr>
          <w:tcW w:w="6394" w:type="dxa"/>
        </w:tcPr>
        <w:p w:rsidR="00D75085" w:rsidRDefault="00D75085" w:rsidP="009E0AAC">
          <w:pPr>
            <w:pStyle w:val="Glava"/>
            <w:jc w:val="right"/>
          </w:pPr>
        </w:p>
      </w:tc>
    </w:tr>
  </w:tbl>
  <w:p w:rsidR="00D75085" w:rsidRDefault="00D7508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4F1020"/>
    <w:multiLevelType w:val="hybridMultilevel"/>
    <w:tmpl w:val="9224ECBA"/>
    <w:lvl w:ilvl="0" w:tplc="D68A24C8">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625DB9"/>
    <w:multiLevelType w:val="hybridMultilevel"/>
    <w:tmpl w:val="58E0E5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380E9D"/>
    <w:multiLevelType w:val="hybridMultilevel"/>
    <w:tmpl w:val="11EAA750"/>
    <w:lvl w:ilvl="0" w:tplc="69961A02">
      <w:start w:val="62"/>
      <w:numFmt w:val="bullet"/>
      <w:lvlText w:val="-"/>
      <w:lvlJc w:val="left"/>
      <w:pPr>
        <w:ind w:left="408" w:hanging="360"/>
      </w:pPr>
      <w:rPr>
        <w:rFonts w:ascii="Calibri" w:eastAsia="Times New Roman"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5" w15:restartNumberingAfterBreak="0">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D20356"/>
    <w:multiLevelType w:val="hybridMultilevel"/>
    <w:tmpl w:val="58447B68"/>
    <w:lvl w:ilvl="0" w:tplc="D68A24C8">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5A2902"/>
    <w:multiLevelType w:val="hybridMultilevel"/>
    <w:tmpl w:val="7FFEA574"/>
    <w:lvl w:ilvl="0" w:tplc="30A477D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8C54E5"/>
    <w:multiLevelType w:val="hybridMultilevel"/>
    <w:tmpl w:val="1C065CA2"/>
    <w:lvl w:ilvl="0" w:tplc="DB26F978">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num w:numId="1">
    <w:abstractNumId w:val="5"/>
  </w:num>
  <w:num w:numId="2">
    <w:abstractNumId w:val="0"/>
  </w:num>
  <w:num w:numId="3">
    <w:abstractNumId w:val="1"/>
  </w:num>
  <w:num w:numId="4">
    <w:abstractNumId w:val="4"/>
  </w:num>
  <w:num w:numId="5">
    <w:abstractNumId w:val="8"/>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2"/>
  </w:compat>
  <w:rsids>
    <w:rsidRoot w:val="00A3799E"/>
    <w:rsid w:val="00001539"/>
    <w:rsid w:val="00005D12"/>
    <w:rsid w:val="00007B97"/>
    <w:rsid w:val="00015935"/>
    <w:rsid w:val="000159BA"/>
    <w:rsid w:val="00015CCA"/>
    <w:rsid w:val="00041502"/>
    <w:rsid w:val="00052863"/>
    <w:rsid w:val="000544C1"/>
    <w:rsid w:val="00054B0C"/>
    <w:rsid w:val="00066DAB"/>
    <w:rsid w:val="00071A9B"/>
    <w:rsid w:val="0007513B"/>
    <w:rsid w:val="00080FA4"/>
    <w:rsid w:val="00083FB2"/>
    <w:rsid w:val="00085317"/>
    <w:rsid w:val="000858FE"/>
    <w:rsid w:val="00094385"/>
    <w:rsid w:val="000A0599"/>
    <w:rsid w:val="000A320E"/>
    <w:rsid w:val="000A5A0C"/>
    <w:rsid w:val="000B4E8D"/>
    <w:rsid w:val="000C4FD8"/>
    <w:rsid w:val="000D6253"/>
    <w:rsid w:val="000E42C3"/>
    <w:rsid w:val="000E4EB6"/>
    <w:rsid w:val="000F0493"/>
    <w:rsid w:val="00104747"/>
    <w:rsid w:val="00105339"/>
    <w:rsid w:val="00110224"/>
    <w:rsid w:val="00114A8A"/>
    <w:rsid w:val="001215B6"/>
    <w:rsid w:val="00122378"/>
    <w:rsid w:val="001225E9"/>
    <w:rsid w:val="001233A7"/>
    <w:rsid w:val="001235D0"/>
    <w:rsid w:val="001247F2"/>
    <w:rsid w:val="00125453"/>
    <w:rsid w:val="001337DB"/>
    <w:rsid w:val="00136704"/>
    <w:rsid w:val="0014457D"/>
    <w:rsid w:val="001467CD"/>
    <w:rsid w:val="00146CBB"/>
    <w:rsid w:val="00152D19"/>
    <w:rsid w:val="00155D8A"/>
    <w:rsid w:val="00161F10"/>
    <w:rsid w:val="00162D3E"/>
    <w:rsid w:val="00175D1F"/>
    <w:rsid w:val="00177755"/>
    <w:rsid w:val="00187670"/>
    <w:rsid w:val="0019517D"/>
    <w:rsid w:val="001A1C8A"/>
    <w:rsid w:val="001B255B"/>
    <w:rsid w:val="001B5A8F"/>
    <w:rsid w:val="001C0EC7"/>
    <w:rsid w:val="001D0E95"/>
    <w:rsid w:val="001D5AAB"/>
    <w:rsid w:val="001E246C"/>
    <w:rsid w:val="001E6B9C"/>
    <w:rsid w:val="001F2DE3"/>
    <w:rsid w:val="001F7167"/>
    <w:rsid w:val="00203B6D"/>
    <w:rsid w:val="002043ED"/>
    <w:rsid w:val="00206AD0"/>
    <w:rsid w:val="00216C9A"/>
    <w:rsid w:val="002200B1"/>
    <w:rsid w:val="00221D29"/>
    <w:rsid w:val="00227047"/>
    <w:rsid w:val="00242B7A"/>
    <w:rsid w:val="0024403B"/>
    <w:rsid w:val="002550D0"/>
    <w:rsid w:val="002611D3"/>
    <w:rsid w:val="00262B2C"/>
    <w:rsid w:val="00266B26"/>
    <w:rsid w:val="00267455"/>
    <w:rsid w:val="0027414D"/>
    <w:rsid w:val="002A2093"/>
    <w:rsid w:val="002B4222"/>
    <w:rsid w:val="002B5F6B"/>
    <w:rsid w:val="002D38F1"/>
    <w:rsid w:val="002E109A"/>
    <w:rsid w:val="002E3033"/>
    <w:rsid w:val="002E56EB"/>
    <w:rsid w:val="002F231D"/>
    <w:rsid w:val="00313CEC"/>
    <w:rsid w:val="0031476F"/>
    <w:rsid w:val="00316F25"/>
    <w:rsid w:val="00317551"/>
    <w:rsid w:val="00320B09"/>
    <w:rsid w:val="0033192C"/>
    <w:rsid w:val="00331CA1"/>
    <w:rsid w:val="00337F88"/>
    <w:rsid w:val="00341560"/>
    <w:rsid w:val="00341D1B"/>
    <w:rsid w:val="00345EA9"/>
    <w:rsid w:val="00350C4B"/>
    <w:rsid w:val="00354BFF"/>
    <w:rsid w:val="003628CB"/>
    <w:rsid w:val="003659EF"/>
    <w:rsid w:val="00365E89"/>
    <w:rsid w:val="0036683C"/>
    <w:rsid w:val="00373FFF"/>
    <w:rsid w:val="00376518"/>
    <w:rsid w:val="00376F64"/>
    <w:rsid w:val="003810A7"/>
    <w:rsid w:val="00383C8C"/>
    <w:rsid w:val="003859C6"/>
    <w:rsid w:val="00387834"/>
    <w:rsid w:val="00387DAC"/>
    <w:rsid w:val="00393578"/>
    <w:rsid w:val="00393956"/>
    <w:rsid w:val="0039612C"/>
    <w:rsid w:val="00396438"/>
    <w:rsid w:val="003B2579"/>
    <w:rsid w:val="003B6B11"/>
    <w:rsid w:val="003C4A3B"/>
    <w:rsid w:val="003D1170"/>
    <w:rsid w:val="003E0612"/>
    <w:rsid w:val="003E0D7C"/>
    <w:rsid w:val="003E652C"/>
    <w:rsid w:val="003E7514"/>
    <w:rsid w:val="003F58D5"/>
    <w:rsid w:val="003F66FF"/>
    <w:rsid w:val="0043041D"/>
    <w:rsid w:val="00430A2B"/>
    <w:rsid w:val="004374BD"/>
    <w:rsid w:val="00451B0F"/>
    <w:rsid w:val="00457712"/>
    <w:rsid w:val="004653CD"/>
    <w:rsid w:val="004667FE"/>
    <w:rsid w:val="004673E1"/>
    <w:rsid w:val="00471452"/>
    <w:rsid w:val="00487DF4"/>
    <w:rsid w:val="00492CE7"/>
    <w:rsid w:val="004B340B"/>
    <w:rsid w:val="004B3D9A"/>
    <w:rsid w:val="004B5193"/>
    <w:rsid w:val="004C1AA7"/>
    <w:rsid w:val="004D02CE"/>
    <w:rsid w:val="004D03BC"/>
    <w:rsid w:val="004E07B1"/>
    <w:rsid w:val="004E368E"/>
    <w:rsid w:val="004F3CBC"/>
    <w:rsid w:val="004F5251"/>
    <w:rsid w:val="004F6500"/>
    <w:rsid w:val="0050390C"/>
    <w:rsid w:val="00510483"/>
    <w:rsid w:val="00513364"/>
    <w:rsid w:val="00514AE2"/>
    <w:rsid w:val="00517DAF"/>
    <w:rsid w:val="005202B5"/>
    <w:rsid w:val="005363F5"/>
    <w:rsid w:val="00542300"/>
    <w:rsid w:val="00542613"/>
    <w:rsid w:val="00551DDF"/>
    <w:rsid w:val="00552CBD"/>
    <w:rsid w:val="00553F16"/>
    <w:rsid w:val="00563273"/>
    <w:rsid w:val="00570663"/>
    <w:rsid w:val="005708CC"/>
    <w:rsid w:val="005806CA"/>
    <w:rsid w:val="00584327"/>
    <w:rsid w:val="005845B7"/>
    <w:rsid w:val="005873FD"/>
    <w:rsid w:val="00591B0F"/>
    <w:rsid w:val="00593F51"/>
    <w:rsid w:val="005B4880"/>
    <w:rsid w:val="005D20E8"/>
    <w:rsid w:val="005E0802"/>
    <w:rsid w:val="005E2CED"/>
    <w:rsid w:val="005E527D"/>
    <w:rsid w:val="00603E23"/>
    <w:rsid w:val="00611E0D"/>
    <w:rsid w:val="0061559A"/>
    <w:rsid w:val="006225BF"/>
    <w:rsid w:val="006342F5"/>
    <w:rsid w:val="006367C5"/>
    <w:rsid w:val="00637998"/>
    <w:rsid w:val="00650EA5"/>
    <w:rsid w:val="006511DC"/>
    <w:rsid w:val="0066495D"/>
    <w:rsid w:val="006700D2"/>
    <w:rsid w:val="00672CB1"/>
    <w:rsid w:val="0067518A"/>
    <w:rsid w:val="006766B5"/>
    <w:rsid w:val="0068264A"/>
    <w:rsid w:val="006915DC"/>
    <w:rsid w:val="00691E36"/>
    <w:rsid w:val="006933C2"/>
    <w:rsid w:val="006977B9"/>
    <w:rsid w:val="006D3188"/>
    <w:rsid w:val="006D3DCC"/>
    <w:rsid w:val="006E2A00"/>
    <w:rsid w:val="006E6D35"/>
    <w:rsid w:val="006E734E"/>
    <w:rsid w:val="006F6104"/>
    <w:rsid w:val="006F7ADD"/>
    <w:rsid w:val="00705499"/>
    <w:rsid w:val="00705D2D"/>
    <w:rsid w:val="007067CB"/>
    <w:rsid w:val="00710694"/>
    <w:rsid w:val="00712A7B"/>
    <w:rsid w:val="00734465"/>
    <w:rsid w:val="007402F6"/>
    <w:rsid w:val="00743249"/>
    <w:rsid w:val="00743AEA"/>
    <w:rsid w:val="00753E9F"/>
    <w:rsid w:val="00766124"/>
    <w:rsid w:val="00766F3E"/>
    <w:rsid w:val="00775BA2"/>
    <w:rsid w:val="00784B92"/>
    <w:rsid w:val="0078739F"/>
    <w:rsid w:val="00793A88"/>
    <w:rsid w:val="007A0726"/>
    <w:rsid w:val="007C28B3"/>
    <w:rsid w:val="007D4147"/>
    <w:rsid w:val="007E3241"/>
    <w:rsid w:val="007E3519"/>
    <w:rsid w:val="007E50AA"/>
    <w:rsid w:val="007F02B6"/>
    <w:rsid w:val="007F31E1"/>
    <w:rsid w:val="008134F6"/>
    <w:rsid w:val="00820D01"/>
    <w:rsid w:val="00820E31"/>
    <w:rsid w:val="0082485C"/>
    <w:rsid w:val="008256EF"/>
    <w:rsid w:val="00825CE4"/>
    <w:rsid w:val="00833AE7"/>
    <w:rsid w:val="00840C2F"/>
    <w:rsid w:val="00861CE0"/>
    <w:rsid w:val="00864700"/>
    <w:rsid w:val="008721C9"/>
    <w:rsid w:val="008775F1"/>
    <w:rsid w:val="00877A10"/>
    <w:rsid w:val="008821B8"/>
    <w:rsid w:val="0089171D"/>
    <w:rsid w:val="00892492"/>
    <w:rsid w:val="008927D5"/>
    <w:rsid w:val="0089536A"/>
    <w:rsid w:val="008A57C6"/>
    <w:rsid w:val="008B0588"/>
    <w:rsid w:val="008B43E3"/>
    <w:rsid w:val="008B5A1F"/>
    <w:rsid w:val="008C7258"/>
    <w:rsid w:val="008C7A1B"/>
    <w:rsid w:val="008D3A3D"/>
    <w:rsid w:val="008E3FFC"/>
    <w:rsid w:val="008F78CE"/>
    <w:rsid w:val="009051D7"/>
    <w:rsid w:val="00905FAF"/>
    <w:rsid w:val="00912906"/>
    <w:rsid w:val="00931438"/>
    <w:rsid w:val="0093558B"/>
    <w:rsid w:val="00950060"/>
    <w:rsid w:val="00955A88"/>
    <w:rsid w:val="00964897"/>
    <w:rsid w:val="00965D9F"/>
    <w:rsid w:val="009768AF"/>
    <w:rsid w:val="0098386C"/>
    <w:rsid w:val="009978DE"/>
    <w:rsid w:val="009A6B9F"/>
    <w:rsid w:val="009A77EC"/>
    <w:rsid w:val="009B2044"/>
    <w:rsid w:val="009B4289"/>
    <w:rsid w:val="009C1614"/>
    <w:rsid w:val="009C2636"/>
    <w:rsid w:val="009D34B5"/>
    <w:rsid w:val="009D60C5"/>
    <w:rsid w:val="009E0AAC"/>
    <w:rsid w:val="009F07F6"/>
    <w:rsid w:val="009F366A"/>
    <w:rsid w:val="00A01DFD"/>
    <w:rsid w:val="00A115CA"/>
    <w:rsid w:val="00A12335"/>
    <w:rsid w:val="00A14572"/>
    <w:rsid w:val="00A200CC"/>
    <w:rsid w:val="00A25773"/>
    <w:rsid w:val="00A30CDE"/>
    <w:rsid w:val="00A33CE3"/>
    <w:rsid w:val="00A3799E"/>
    <w:rsid w:val="00A4215C"/>
    <w:rsid w:val="00A453E5"/>
    <w:rsid w:val="00A51C56"/>
    <w:rsid w:val="00A71A96"/>
    <w:rsid w:val="00A811E7"/>
    <w:rsid w:val="00A934AB"/>
    <w:rsid w:val="00A958EA"/>
    <w:rsid w:val="00A963C4"/>
    <w:rsid w:val="00AA0776"/>
    <w:rsid w:val="00AA192A"/>
    <w:rsid w:val="00AA1F51"/>
    <w:rsid w:val="00AC2784"/>
    <w:rsid w:val="00AD2D2A"/>
    <w:rsid w:val="00AE2CFF"/>
    <w:rsid w:val="00AE433E"/>
    <w:rsid w:val="00AE4F41"/>
    <w:rsid w:val="00AE62F9"/>
    <w:rsid w:val="00AE697F"/>
    <w:rsid w:val="00AF7C94"/>
    <w:rsid w:val="00B02D6B"/>
    <w:rsid w:val="00B14718"/>
    <w:rsid w:val="00B2418B"/>
    <w:rsid w:val="00B312CA"/>
    <w:rsid w:val="00B35565"/>
    <w:rsid w:val="00B415B5"/>
    <w:rsid w:val="00B566A6"/>
    <w:rsid w:val="00B61013"/>
    <w:rsid w:val="00B6427F"/>
    <w:rsid w:val="00B71195"/>
    <w:rsid w:val="00B73681"/>
    <w:rsid w:val="00B8761F"/>
    <w:rsid w:val="00BA21D2"/>
    <w:rsid w:val="00BB3996"/>
    <w:rsid w:val="00BB7D17"/>
    <w:rsid w:val="00BC1E2F"/>
    <w:rsid w:val="00BC6813"/>
    <w:rsid w:val="00BD3744"/>
    <w:rsid w:val="00BD7797"/>
    <w:rsid w:val="00BE0FA3"/>
    <w:rsid w:val="00BF5109"/>
    <w:rsid w:val="00BF6FA1"/>
    <w:rsid w:val="00C0275B"/>
    <w:rsid w:val="00C06FF4"/>
    <w:rsid w:val="00C10993"/>
    <w:rsid w:val="00C14FC2"/>
    <w:rsid w:val="00C26598"/>
    <w:rsid w:val="00C31B27"/>
    <w:rsid w:val="00C45BBE"/>
    <w:rsid w:val="00C82FA5"/>
    <w:rsid w:val="00C8485C"/>
    <w:rsid w:val="00C875DB"/>
    <w:rsid w:val="00C901F1"/>
    <w:rsid w:val="00C959AE"/>
    <w:rsid w:val="00CA1227"/>
    <w:rsid w:val="00CB1D70"/>
    <w:rsid w:val="00CB3A92"/>
    <w:rsid w:val="00CD5712"/>
    <w:rsid w:val="00CD618C"/>
    <w:rsid w:val="00CE04DA"/>
    <w:rsid w:val="00CE19AC"/>
    <w:rsid w:val="00CF1AF8"/>
    <w:rsid w:val="00CF378F"/>
    <w:rsid w:val="00CF43C5"/>
    <w:rsid w:val="00D04F89"/>
    <w:rsid w:val="00D13D14"/>
    <w:rsid w:val="00D279FA"/>
    <w:rsid w:val="00D36CC5"/>
    <w:rsid w:val="00D418F0"/>
    <w:rsid w:val="00D444D9"/>
    <w:rsid w:val="00D52478"/>
    <w:rsid w:val="00D527F8"/>
    <w:rsid w:val="00D71BC1"/>
    <w:rsid w:val="00D722C1"/>
    <w:rsid w:val="00D75085"/>
    <w:rsid w:val="00D7649A"/>
    <w:rsid w:val="00D82A2D"/>
    <w:rsid w:val="00D82D00"/>
    <w:rsid w:val="00D850AA"/>
    <w:rsid w:val="00D857BD"/>
    <w:rsid w:val="00D85A66"/>
    <w:rsid w:val="00D8690E"/>
    <w:rsid w:val="00D92D2A"/>
    <w:rsid w:val="00D952C7"/>
    <w:rsid w:val="00D9704D"/>
    <w:rsid w:val="00DA0DDA"/>
    <w:rsid w:val="00DB18E1"/>
    <w:rsid w:val="00DB3819"/>
    <w:rsid w:val="00DB4931"/>
    <w:rsid w:val="00DC12EB"/>
    <w:rsid w:val="00DC63CB"/>
    <w:rsid w:val="00DC702F"/>
    <w:rsid w:val="00DD382B"/>
    <w:rsid w:val="00DD533C"/>
    <w:rsid w:val="00DE174E"/>
    <w:rsid w:val="00DF30C5"/>
    <w:rsid w:val="00E154DD"/>
    <w:rsid w:val="00E15568"/>
    <w:rsid w:val="00E27A2A"/>
    <w:rsid w:val="00E50ECF"/>
    <w:rsid w:val="00E52C4D"/>
    <w:rsid w:val="00E61273"/>
    <w:rsid w:val="00E63038"/>
    <w:rsid w:val="00E722E1"/>
    <w:rsid w:val="00E80E00"/>
    <w:rsid w:val="00E92947"/>
    <w:rsid w:val="00EA07D2"/>
    <w:rsid w:val="00EA1D18"/>
    <w:rsid w:val="00EA3BF9"/>
    <w:rsid w:val="00EB2382"/>
    <w:rsid w:val="00EB7B46"/>
    <w:rsid w:val="00EC5F46"/>
    <w:rsid w:val="00ED38A1"/>
    <w:rsid w:val="00EE0ED1"/>
    <w:rsid w:val="00EE5B57"/>
    <w:rsid w:val="00F01CF1"/>
    <w:rsid w:val="00F01E36"/>
    <w:rsid w:val="00F07881"/>
    <w:rsid w:val="00F14F1E"/>
    <w:rsid w:val="00F26276"/>
    <w:rsid w:val="00F32F3D"/>
    <w:rsid w:val="00F342FF"/>
    <w:rsid w:val="00F42FB9"/>
    <w:rsid w:val="00F53315"/>
    <w:rsid w:val="00F60D1C"/>
    <w:rsid w:val="00F64257"/>
    <w:rsid w:val="00F65434"/>
    <w:rsid w:val="00F6766E"/>
    <w:rsid w:val="00F73213"/>
    <w:rsid w:val="00F76DC3"/>
    <w:rsid w:val="00F915A2"/>
    <w:rsid w:val="00F91767"/>
    <w:rsid w:val="00FA02A9"/>
    <w:rsid w:val="00FA3E61"/>
    <w:rsid w:val="00FB495D"/>
    <w:rsid w:val="00FC0128"/>
    <w:rsid w:val="00FC2283"/>
    <w:rsid w:val="00FC338D"/>
    <w:rsid w:val="00FC48D7"/>
    <w:rsid w:val="00FC7170"/>
    <w:rsid w:val="00FD4839"/>
    <w:rsid w:val="00FE0C23"/>
    <w:rsid w:val="00FE37B2"/>
    <w:rsid w:val="00FE60D0"/>
    <w:rsid w:val="00FF515B"/>
    <w:rsid w:val="00FF6C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FA23CD43-CD8A-461F-A915-733248D2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semiHidden/>
    <w:rsid w:val="008C7A1B"/>
    <w:rPr>
      <w:rFonts w:cs="Times New Roman"/>
      <w:sz w:val="16"/>
      <w:szCs w:val="16"/>
    </w:rPr>
  </w:style>
  <w:style w:type="paragraph" w:styleId="Napis">
    <w:name w:val="caption"/>
    <w:basedOn w:val="Navaden"/>
    <w:next w:val="Navaden"/>
    <w:uiPriority w:val="35"/>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Brezrazmikov">
    <w:name w:val="No Spacing"/>
    <w:uiPriority w:val="1"/>
    <w:qFormat/>
    <w:rsid w:val="0089171D"/>
    <w:rPr>
      <w:sz w:val="24"/>
    </w:rPr>
  </w:style>
  <w:style w:type="paragraph" w:customStyle="1" w:styleId="Text">
    <w:name w:val="Text"/>
    <w:basedOn w:val="Navaden"/>
    <w:link w:val="TextCar"/>
    <w:rsid w:val="00BE0FA3"/>
    <w:pPr>
      <w:spacing w:after="60"/>
    </w:pPr>
    <w:rPr>
      <w:rFonts w:ascii="Arial" w:hAnsi="Arial"/>
      <w:kern w:val="16"/>
      <w:sz w:val="22"/>
      <w:szCs w:val="20"/>
      <w:lang w:val="de-DE" w:eastAsia="de-DE"/>
    </w:rPr>
  </w:style>
  <w:style w:type="character" w:customStyle="1" w:styleId="TextCar">
    <w:name w:val="Text Car"/>
    <w:link w:val="Text"/>
    <w:rsid w:val="00BE0FA3"/>
    <w:rPr>
      <w:rFonts w:ascii="Arial" w:hAnsi="Arial"/>
      <w:kern w:val="16"/>
      <w:sz w:val="22"/>
      <w:lang w:val="de-DE" w:eastAsia="de-DE"/>
    </w:rPr>
  </w:style>
  <w:style w:type="paragraph" w:styleId="Pripombabesedilo">
    <w:name w:val="annotation text"/>
    <w:basedOn w:val="Navaden"/>
    <w:link w:val="PripombabesediloZnak"/>
    <w:semiHidden/>
    <w:unhideWhenUsed/>
    <w:rsid w:val="000159BA"/>
    <w:rPr>
      <w:sz w:val="20"/>
      <w:szCs w:val="20"/>
    </w:rPr>
  </w:style>
  <w:style w:type="character" w:customStyle="1" w:styleId="PripombabesediloZnak">
    <w:name w:val="Pripomba – besedilo Znak"/>
    <w:basedOn w:val="Privzetapisavaodstavka"/>
    <w:link w:val="Pripombabesedilo"/>
    <w:semiHidden/>
    <w:rsid w:val="000159BA"/>
  </w:style>
  <w:style w:type="paragraph" w:styleId="Zadevapripombe">
    <w:name w:val="annotation subject"/>
    <w:basedOn w:val="Pripombabesedilo"/>
    <w:next w:val="Pripombabesedilo"/>
    <w:link w:val="ZadevapripombeZnak"/>
    <w:semiHidden/>
    <w:unhideWhenUsed/>
    <w:rsid w:val="000159BA"/>
    <w:rPr>
      <w:b/>
      <w:bCs/>
    </w:rPr>
  </w:style>
  <w:style w:type="character" w:customStyle="1" w:styleId="ZadevapripombeZnak">
    <w:name w:val="Zadeva pripombe Znak"/>
    <w:link w:val="Zadevapripombe"/>
    <w:semiHidden/>
    <w:rsid w:val="000159BA"/>
    <w:rPr>
      <w:b/>
      <w:bCs/>
    </w:rPr>
  </w:style>
  <w:style w:type="paragraph" w:styleId="Odstavekseznama">
    <w:name w:val="List Paragraph"/>
    <w:aliases w:val="naslov 1,Odstavek seznama_IP,Seznam_IP_1"/>
    <w:basedOn w:val="Navaden"/>
    <w:link w:val="OdstavekseznamaZnak"/>
    <w:uiPriority w:val="34"/>
    <w:qFormat/>
    <w:rsid w:val="00D527F8"/>
    <w:pPr>
      <w:ind w:left="720"/>
      <w:contextualSpacing/>
      <w:jc w:val="both"/>
    </w:pPr>
    <w:rPr>
      <w:rFonts w:asciiTheme="minorHAnsi" w:hAnsiTheme="minorHAnsi"/>
      <w:szCs w:val="20"/>
    </w:rPr>
  </w:style>
  <w:style w:type="character" w:customStyle="1" w:styleId="OdstavekseznamaZnak">
    <w:name w:val="Odstavek seznama Znak"/>
    <w:aliases w:val="naslov 1 Znak,Odstavek seznama_IP Znak,Seznam_IP_1 Znak"/>
    <w:basedOn w:val="Privzetapisavaodstavka"/>
    <w:link w:val="Odstavekseznama"/>
    <w:uiPriority w:val="34"/>
    <w:locked/>
    <w:rsid w:val="00D527F8"/>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994611">
      <w:bodyDiv w:val="1"/>
      <w:marLeft w:val="0"/>
      <w:marRight w:val="0"/>
      <w:marTop w:val="0"/>
      <w:marBottom w:val="0"/>
      <w:divBdr>
        <w:top w:val="none" w:sz="0" w:space="0" w:color="auto"/>
        <w:left w:val="none" w:sz="0" w:space="0" w:color="auto"/>
        <w:bottom w:val="none" w:sz="0" w:space="0" w:color="auto"/>
        <w:right w:val="none" w:sz="0" w:space="0" w:color="auto"/>
      </w:divBdr>
      <w:divsChild>
        <w:div w:id="227812318">
          <w:marLeft w:val="0"/>
          <w:marRight w:val="0"/>
          <w:marTop w:val="0"/>
          <w:marBottom w:val="0"/>
          <w:divBdr>
            <w:top w:val="none" w:sz="0" w:space="0" w:color="auto"/>
            <w:left w:val="none" w:sz="0" w:space="0" w:color="auto"/>
            <w:bottom w:val="none" w:sz="0" w:space="0" w:color="auto"/>
            <w:right w:val="none" w:sz="0" w:space="0" w:color="auto"/>
          </w:divBdr>
        </w:div>
      </w:divsChild>
    </w:div>
    <w:div w:id="730810418">
      <w:bodyDiv w:val="1"/>
      <w:marLeft w:val="0"/>
      <w:marRight w:val="0"/>
      <w:marTop w:val="0"/>
      <w:marBottom w:val="0"/>
      <w:divBdr>
        <w:top w:val="none" w:sz="0" w:space="0" w:color="auto"/>
        <w:left w:val="none" w:sz="0" w:space="0" w:color="auto"/>
        <w:bottom w:val="none" w:sz="0" w:space="0" w:color="auto"/>
        <w:right w:val="none" w:sz="0" w:space="0" w:color="auto"/>
      </w:divBdr>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993487460">
      <w:bodyDiv w:val="1"/>
      <w:marLeft w:val="0"/>
      <w:marRight w:val="0"/>
      <w:marTop w:val="0"/>
      <w:marBottom w:val="0"/>
      <w:divBdr>
        <w:top w:val="none" w:sz="0" w:space="0" w:color="auto"/>
        <w:left w:val="none" w:sz="0" w:space="0" w:color="auto"/>
        <w:bottom w:val="none" w:sz="0" w:space="0" w:color="auto"/>
        <w:right w:val="none" w:sz="0" w:space="0" w:color="auto"/>
      </w:divBdr>
    </w:div>
    <w:div w:id="1005287752">
      <w:bodyDiv w:val="1"/>
      <w:marLeft w:val="0"/>
      <w:marRight w:val="0"/>
      <w:marTop w:val="0"/>
      <w:marBottom w:val="0"/>
      <w:divBdr>
        <w:top w:val="none" w:sz="0" w:space="0" w:color="auto"/>
        <w:left w:val="none" w:sz="0" w:space="0" w:color="auto"/>
        <w:bottom w:val="none" w:sz="0" w:space="0" w:color="auto"/>
        <w:right w:val="none" w:sz="0" w:space="0" w:color="auto"/>
      </w:divBdr>
      <w:divsChild>
        <w:div w:id="1302885309">
          <w:marLeft w:val="0"/>
          <w:marRight w:val="0"/>
          <w:marTop w:val="0"/>
          <w:marBottom w:val="0"/>
          <w:divBdr>
            <w:top w:val="none" w:sz="0" w:space="0" w:color="auto"/>
            <w:left w:val="none" w:sz="0" w:space="0" w:color="auto"/>
            <w:bottom w:val="none" w:sz="0" w:space="0" w:color="auto"/>
            <w:right w:val="none" w:sz="0" w:space="0" w:color="auto"/>
          </w:divBdr>
        </w:div>
      </w:divsChild>
    </w:div>
    <w:div w:id="1099443651">
      <w:bodyDiv w:val="1"/>
      <w:marLeft w:val="0"/>
      <w:marRight w:val="0"/>
      <w:marTop w:val="0"/>
      <w:marBottom w:val="0"/>
      <w:divBdr>
        <w:top w:val="none" w:sz="0" w:space="0" w:color="auto"/>
        <w:left w:val="none" w:sz="0" w:space="0" w:color="auto"/>
        <w:bottom w:val="none" w:sz="0" w:space="0" w:color="auto"/>
        <w:right w:val="none" w:sz="0" w:space="0" w:color="auto"/>
      </w:divBdr>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20001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1620</Words>
  <Characters>9235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Matej Gajser</cp:lastModifiedBy>
  <cp:revision>39</cp:revision>
  <cp:lastPrinted>2017-11-07T08:25:00Z</cp:lastPrinted>
  <dcterms:created xsi:type="dcterms:W3CDTF">2017-10-27T05:44:00Z</dcterms:created>
  <dcterms:modified xsi:type="dcterms:W3CDTF">2017-11-08T12:57:00Z</dcterms:modified>
</cp:coreProperties>
</file>