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8D" w:rsidRDefault="00262B8D" w:rsidP="00262B8D">
      <w:pPr>
        <w:spacing w:after="0" w:line="240" w:lineRule="auto"/>
        <w:jc w:val="right"/>
        <w:rPr>
          <w:rFonts w:ascii="Verdana" w:eastAsia="Times New Roman" w:hAnsi="Verdana" w:cs="Arial"/>
          <w:b/>
          <w:lang w:eastAsia="sl-SI"/>
        </w:rPr>
      </w:pPr>
      <w:r>
        <w:rPr>
          <w:rFonts w:ascii="Verdana" w:eastAsia="Times New Roman" w:hAnsi="Verdana" w:cs="Arial"/>
          <w:b/>
          <w:lang w:eastAsia="sl-SI"/>
        </w:rPr>
        <w:t xml:space="preserve">PREDLOG </w:t>
      </w:r>
    </w:p>
    <w:p w:rsidR="00262B8D" w:rsidRDefault="00262B8D" w:rsidP="00262B8D">
      <w:pPr>
        <w:spacing w:after="0" w:line="240" w:lineRule="auto"/>
        <w:jc w:val="center"/>
        <w:rPr>
          <w:rFonts w:ascii="Verdana" w:eastAsia="Times New Roman" w:hAnsi="Verdana" w:cs="Arial"/>
          <w:b/>
          <w:lang w:eastAsia="sl-SI"/>
        </w:rPr>
      </w:pPr>
    </w:p>
    <w:p w:rsidR="00262B8D" w:rsidRDefault="00262B8D" w:rsidP="00262B8D">
      <w:pPr>
        <w:spacing w:after="0" w:line="240" w:lineRule="auto"/>
        <w:jc w:val="center"/>
        <w:rPr>
          <w:rFonts w:ascii="Verdana" w:eastAsia="Times New Roman" w:hAnsi="Verdana" w:cs="Times New Roman"/>
          <w:b/>
          <w:lang w:eastAsia="sl-SI"/>
        </w:rPr>
      </w:pPr>
      <w:r>
        <w:rPr>
          <w:rFonts w:ascii="Verdana" w:eastAsia="Times New Roman" w:hAnsi="Verdana" w:cs="Arial"/>
          <w:b/>
          <w:lang w:eastAsia="sl-SI"/>
        </w:rPr>
        <w:t xml:space="preserve">PREDLOG PRAVILNIKA </w:t>
      </w:r>
      <w:r>
        <w:rPr>
          <w:rFonts w:ascii="Verdana" w:eastAsia="Times New Roman" w:hAnsi="Verdana" w:cs="Times New Roman"/>
          <w:b/>
          <w:lang w:eastAsia="sl-SI"/>
        </w:rPr>
        <w:t>O ŠTIPENDIRANJU ŠTUDENTOV</w:t>
      </w:r>
    </w:p>
    <w:p w:rsidR="00262B8D" w:rsidRDefault="00262B8D" w:rsidP="00262B8D">
      <w:pPr>
        <w:spacing w:after="0" w:line="240" w:lineRule="auto"/>
        <w:jc w:val="center"/>
        <w:rPr>
          <w:rFonts w:ascii="Verdana" w:eastAsia="Times New Roman" w:hAnsi="Verdana" w:cs="Times New Roman"/>
          <w:b/>
          <w:lang w:eastAsia="sl-SI"/>
        </w:rPr>
      </w:pPr>
      <w:r>
        <w:rPr>
          <w:rFonts w:ascii="Verdana" w:eastAsia="Times New Roman" w:hAnsi="Verdana" w:cs="Times New Roman"/>
          <w:b/>
          <w:lang w:eastAsia="sl-SI"/>
        </w:rPr>
        <w:t>V OBČINI RADENCI</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b/>
          <w:lang w:eastAsia="sl-SI"/>
        </w:rPr>
      </w:pPr>
      <w:r>
        <w:rPr>
          <w:rFonts w:ascii="Verdana" w:eastAsia="Times New Roman" w:hAnsi="Verdana" w:cs="Arial"/>
          <w:b/>
          <w:lang w:eastAsia="sl-SI"/>
        </w:rPr>
        <w:t>I. UVOD</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numPr>
          <w:ilvl w:val="0"/>
          <w:numId w:val="1"/>
        </w:numPr>
        <w:spacing w:after="0" w:line="240" w:lineRule="auto"/>
        <w:ind w:left="426" w:hanging="426"/>
        <w:jc w:val="both"/>
        <w:rPr>
          <w:rFonts w:ascii="Verdana" w:eastAsia="Times New Roman" w:hAnsi="Verdana" w:cs="Arial"/>
          <w:b/>
          <w:lang w:eastAsia="sl-SI"/>
        </w:rPr>
      </w:pPr>
      <w:r>
        <w:rPr>
          <w:rFonts w:ascii="Verdana" w:eastAsia="Times New Roman" w:hAnsi="Verdana" w:cs="Arial"/>
          <w:b/>
          <w:lang w:eastAsia="sl-SI"/>
        </w:rPr>
        <w:t>Ocena stanja in razlogi za sprejem pravilnika</w:t>
      </w:r>
    </w:p>
    <w:p w:rsidR="00262B8D" w:rsidRDefault="00262B8D" w:rsidP="00262B8D">
      <w:pPr>
        <w:pStyle w:val="Default"/>
        <w:jc w:val="both"/>
        <w:rPr>
          <w:rFonts w:eastAsia="Times New Roman" w:cs="Arial"/>
          <w:sz w:val="22"/>
          <w:szCs w:val="22"/>
          <w:lang w:eastAsia="sl-SI"/>
        </w:rPr>
      </w:pPr>
      <w:r>
        <w:rPr>
          <w:rFonts w:eastAsia="Times New Roman" w:cs="Arial"/>
          <w:sz w:val="22"/>
          <w:szCs w:val="22"/>
          <w:lang w:eastAsia="sl-SI"/>
        </w:rPr>
        <w:t xml:space="preserve">Občinski svet Občine Radenci je na svoji </w:t>
      </w:r>
      <w:r>
        <w:rPr>
          <w:sz w:val="22"/>
          <w:szCs w:val="22"/>
        </w:rPr>
        <w:t xml:space="preserve">redni seji dne 9. 12. 1995 sprejel </w:t>
      </w:r>
      <w:r>
        <w:rPr>
          <w:rFonts w:eastAsia="Times New Roman" w:cs="Arial"/>
          <w:sz w:val="22"/>
          <w:szCs w:val="22"/>
          <w:lang w:eastAsia="sl-SI"/>
        </w:rPr>
        <w:t xml:space="preserve">Pravilnik o štipendiranju dijakov in študentov v Občini Radenci (Ur. l. RS, 2/1996; v nadaljevanju besedila: pravilnik).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jc w:val="both"/>
        <w:rPr>
          <w:rFonts w:ascii="Verdana" w:eastAsia="Times New Roman" w:hAnsi="Verdana" w:cs="Arial"/>
          <w:lang w:eastAsia="sl-SI"/>
        </w:rPr>
      </w:pPr>
      <w:r>
        <w:rPr>
          <w:rFonts w:ascii="Verdana" w:eastAsia="Times New Roman" w:hAnsi="Verdana" w:cs="Arial"/>
          <w:lang w:eastAsia="sl-SI"/>
        </w:rPr>
        <w:t>Razlogi za spremembo pravilnika se nanašajo predvsem na zakonske spremembe ter nova določila.</w:t>
      </w:r>
    </w:p>
    <w:p w:rsidR="00262B8D" w:rsidRDefault="00262B8D" w:rsidP="00262B8D">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 xml:space="preserve">Cilji načela in poglavitne rešitve </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Cilj sprememb pravilnika je uskladitev z zakonodajo ter prilagoditev dejanskim razmeram.</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 xml:space="preserve">Ocene finančnih posledic za proračune občine: </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Občina Radenci v svojem proračunu zagotavlja sredstva za štipendiranje študentov. Potrditev predloga pravilnika za občinski proračun ne bo imela dodatnih posledic, potrebno pa bo znesek uskladiti s predpisano zakonodajo.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Druge posledice, ki jih bo imel sprejem pravilnika</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S potrditvijo predloga pravilnika bomo lahko razpisali štipendijo za poklice, ki so v naši občini deficitarni oz. se pokaže potreba po njih. Pred pripravo bomo sodelovali z državnimi, regionalnimi in lokalnimi ustanovami, ki skrbijo za razvoj kadrov ter sledijo potrebam delodajalcev (zavod za zaposlovanje, Območna obrtna zbornica, Javni sklad RS za razvoj kadrov, Regionalna štipendijska shema …).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b/>
          <w:lang w:eastAsia="sl-SI"/>
        </w:rPr>
        <w:t>5. Priloge h gradivu</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 kopija oz. </w:t>
      </w:r>
      <w:proofErr w:type="spellStart"/>
      <w:r>
        <w:rPr>
          <w:rFonts w:ascii="Verdana" w:eastAsia="Times New Roman" w:hAnsi="Verdana" w:cs="Arial"/>
          <w:lang w:eastAsia="sl-SI"/>
        </w:rPr>
        <w:t>sken</w:t>
      </w:r>
      <w:proofErr w:type="spellEnd"/>
      <w:r>
        <w:rPr>
          <w:rFonts w:ascii="Verdana" w:eastAsia="Times New Roman" w:hAnsi="Verdana" w:cs="Arial"/>
          <w:lang w:eastAsia="sl-SI"/>
        </w:rPr>
        <w:t xml:space="preserve"> Pravilnika o štipendiranju dijakov in študentov v Občini Radenci (Ur. l. RS, št. 2/1996)</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 Tabela 1: Povprečne mesečne plače in nominalni indeksi povprečnih plač pri pravnih osebah (SLO, julij 2012)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right"/>
        <w:rPr>
          <w:rFonts w:ascii="Verdana" w:eastAsia="Times New Roman" w:hAnsi="Verdana" w:cs="Arial"/>
          <w:b/>
          <w:lang w:eastAsia="sl-SI"/>
        </w:rPr>
      </w:pPr>
      <w:r>
        <w:rPr>
          <w:rFonts w:ascii="Verdana" w:eastAsia="Times New Roman" w:hAnsi="Verdana" w:cs="Arial"/>
          <w:b/>
          <w:lang w:eastAsia="sl-SI"/>
        </w:rPr>
        <w:lastRenderedPageBreak/>
        <w:t>II. PREDLOG BESEDILA PRAVILNIKA</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Na podlagi 21. člena </w:t>
      </w:r>
      <w:r>
        <w:rPr>
          <w:rFonts w:ascii="Verdana" w:eastAsia="Times New Roman" w:hAnsi="Verdana" w:cs="Arial"/>
          <w:lang w:eastAsia="sl-SI"/>
        </w:rPr>
        <w:t xml:space="preserve">Zakona o lokalni samoupravi (UPB2, Ur. l., št. 76/08, </w:t>
      </w:r>
      <w:r w:rsidRPr="006F23CE">
        <w:rPr>
          <w:rFonts w:ascii="Verdana" w:eastAsia="Times New Roman" w:hAnsi="Verdana" w:cs="Arial"/>
          <w:lang w:eastAsia="sl-SI"/>
        </w:rPr>
        <w:t>100/08, 79/09), Zakona o štipendiranju (</w:t>
      </w:r>
      <w:r w:rsidRPr="006F23CE">
        <w:rPr>
          <w:rFonts w:ascii="Verdana" w:eastAsia="Times New Roman" w:hAnsi="Verdana" w:cs="Times New Roman"/>
          <w:lang w:eastAsia="sl-SI"/>
        </w:rPr>
        <w:t xml:space="preserve">Ur.l. RS, št. </w:t>
      </w:r>
      <w:hyperlink r:id="rId6" w:tgtFrame="_blank" w:history="1">
        <w:r w:rsidRPr="006F23CE">
          <w:rPr>
            <w:rStyle w:val="Hiperpovezava"/>
            <w:rFonts w:ascii="Verdana" w:eastAsia="Times New Roman" w:hAnsi="Verdana" w:cs="Times New Roman"/>
            <w:color w:val="auto"/>
            <w:u w:val="none"/>
            <w:lang w:eastAsia="sl-SI"/>
          </w:rPr>
          <w:t>59/2007</w:t>
        </w:r>
      </w:hyperlink>
      <w:r w:rsidRPr="006F23CE">
        <w:rPr>
          <w:rFonts w:ascii="Verdana" w:eastAsia="Times New Roman" w:hAnsi="Verdana" w:cs="Times New Roman"/>
          <w:lang w:eastAsia="sl-SI"/>
        </w:rPr>
        <w:t xml:space="preserve"> (</w:t>
      </w:r>
      <w:hyperlink r:id="rId7" w:tgtFrame="_blank" w:history="1">
        <w:r w:rsidRPr="006F23CE">
          <w:rPr>
            <w:rStyle w:val="Hiperpovezava"/>
            <w:rFonts w:ascii="Verdana" w:eastAsia="Times New Roman" w:hAnsi="Verdana" w:cs="Times New Roman"/>
            <w:color w:val="auto"/>
            <w:u w:val="none"/>
            <w:lang w:eastAsia="sl-SI"/>
          </w:rPr>
          <w:t>63/2007</w:t>
        </w:r>
      </w:hyperlink>
      <w:r w:rsidRPr="006F23CE">
        <w:rPr>
          <w:rFonts w:ascii="Verdana" w:eastAsia="Times New Roman" w:hAnsi="Verdana" w:cs="Times New Roman"/>
          <w:lang w:eastAsia="sl-SI"/>
        </w:rPr>
        <w:t xml:space="preserve"> </w:t>
      </w:r>
      <w:proofErr w:type="spellStart"/>
      <w:r w:rsidRPr="006F23CE">
        <w:rPr>
          <w:rFonts w:ascii="Verdana" w:eastAsia="Times New Roman" w:hAnsi="Verdana" w:cs="Times New Roman"/>
          <w:lang w:eastAsia="sl-SI"/>
        </w:rPr>
        <w:t>popr</w:t>
      </w:r>
      <w:proofErr w:type="spellEnd"/>
      <w:r w:rsidRPr="006F23CE">
        <w:rPr>
          <w:rFonts w:ascii="Verdana" w:eastAsia="Times New Roman" w:hAnsi="Verdana" w:cs="Times New Roman"/>
          <w:lang w:eastAsia="sl-SI"/>
        </w:rPr>
        <w:t xml:space="preserve">., </w:t>
      </w:r>
      <w:hyperlink r:id="rId8" w:tgtFrame="_blank" w:history="1">
        <w:r w:rsidRPr="006F23CE">
          <w:rPr>
            <w:rStyle w:val="Hiperpovezava"/>
            <w:rFonts w:ascii="Verdana" w:eastAsia="Times New Roman" w:hAnsi="Verdana" w:cs="Times New Roman"/>
            <w:color w:val="auto"/>
            <w:u w:val="none"/>
            <w:lang w:eastAsia="sl-SI"/>
          </w:rPr>
          <w:t>40/2009</w:t>
        </w:r>
      </w:hyperlink>
      <w:r w:rsidRPr="006F23CE">
        <w:rPr>
          <w:rFonts w:ascii="Verdana" w:eastAsia="Times New Roman" w:hAnsi="Verdana" w:cs="Times New Roman"/>
          <w:lang w:eastAsia="sl-SI"/>
        </w:rPr>
        <w:t xml:space="preserve">), Zakona o uveljavljanju pravic iz javnih sredstev (Ur. l. RS, št. 62/2010, </w:t>
      </w:r>
      <w:hyperlink r:id="rId9" w:tgtFrame="_blank" w:history="1">
        <w:r w:rsidRPr="006F23CE">
          <w:rPr>
            <w:rStyle w:val="Hiperpovezava"/>
            <w:rFonts w:ascii="Verdana" w:hAnsi="Verdana"/>
            <w:color w:val="auto"/>
            <w:u w:val="none"/>
          </w:rPr>
          <w:t>40/2011</w:t>
        </w:r>
      </w:hyperlink>
      <w:r w:rsidRPr="006F23CE">
        <w:rPr>
          <w:rFonts w:ascii="Verdana" w:hAnsi="Verdana"/>
        </w:rPr>
        <w:t xml:space="preserve">), </w:t>
      </w:r>
      <w:r w:rsidRPr="006F23CE">
        <w:rPr>
          <w:rFonts w:ascii="Verdana" w:eastAsia="Times New Roman" w:hAnsi="Verdana" w:cs="Arial"/>
          <w:lang w:eastAsia="sl-SI"/>
        </w:rPr>
        <w:t xml:space="preserve">Zakona za uravnoteženje javnih financ (Ur. l. RS, št. </w:t>
      </w:r>
      <w:r>
        <w:rPr>
          <w:rFonts w:ascii="Verdana" w:eastAsia="Times New Roman" w:hAnsi="Verdana" w:cs="Arial"/>
          <w:lang w:eastAsia="sl-SI"/>
        </w:rPr>
        <w:t xml:space="preserve">40/2012) </w:t>
      </w:r>
      <w:r w:rsidRPr="00CC4C74">
        <w:rPr>
          <w:rFonts w:ascii="Verdana" w:eastAsia="Times New Roman" w:hAnsi="Verdana" w:cs="Arial"/>
          <w:lang w:eastAsia="sl-SI"/>
        </w:rPr>
        <w:t>ter 16.</w:t>
      </w:r>
      <w:r w:rsidRPr="00CC4C74">
        <w:rPr>
          <w:rFonts w:ascii="Verdana" w:eastAsia="Times New Roman" w:hAnsi="Verdana" w:cs="Times New Roman"/>
          <w:lang w:eastAsia="sl-SI"/>
        </w:rPr>
        <w:t xml:space="preserve"> člena Statuta Občine Radenci (</w:t>
      </w:r>
      <w:r w:rsidRPr="00CC4C74">
        <w:rPr>
          <w:rFonts w:ascii="Verdana" w:eastAsia="Times New Roman" w:hAnsi="Verdana" w:cs="Tahoma"/>
          <w:lang w:eastAsia="sl-SI"/>
        </w:rPr>
        <w:t>Uradno glasilo slovenskih občin,</w:t>
      </w:r>
      <w:r w:rsidR="00CC4C74" w:rsidRPr="00CC4C74">
        <w:rPr>
          <w:rFonts w:ascii="Verdana" w:eastAsia="Times New Roman" w:hAnsi="Verdana" w:cs="Tahoma"/>
          <w:lang w:eastAsia="sl-SI"/>
        </w:rPr>
        <w:t xml:space="preserve"> </w:t>
      </w:r>
      <w:r w:rsidR="00CC4C74" w:rsidRPr="00CC4C74">
        <w:rPr>
          <w:rFonts w:ascii="Verdana" w:hAnsi="Verdana" w:cs="Arial"/>
        </w:rPr>
        <w:t xml:space="preserve"> št. 2/2011)</w:t>
      </w:r>
      <w:r w:rsidRPr="005F18C0">
        <w:rPr>
          <w:rFonts w:ascii="Verdana" w:eastAsia="Times New Roman" w:hAnsi="Verdana" w:cs="Times New Roman"/>
          <w:color w:val="FF0000"/>
          <w:lang w:eastAsia="sl-SI"/>
        </w:rPr>
        <w:t xml:space="preserve"> </w:t>
      </w:r>
      <w:r>
        <w:rPr>
          <w:rFonts w:ascii="Verdana" w:eastAsia="Times New Roman" w:hAnsi="Verdana" w:cs="Times New Roman"/>
          <w:lang w:eastAsia="sl-SI"/>
        </w:rPr>
        <w:t>je Občinski svet Občine Radenci na svoji … redni seji, dne ………………… sprejel</w:t>
      </w:r>
    </w:p>
    <w:p w:rsidR="00262B8D" w:rsidRDefault="00262B8D" w:rsidP="00262B8D">
      <w:pPr>
        <w:spacing w:after="0" w:line="240" w:lineRule="auto"/>
        <w:rPr>
          <w:rFonts w:ascii="Verdana" w:eastAsia="Times New Roman" w:hAnsi="Verdana" w:cs="Arial"/>
          <w:lang w:eastAsia="sl-SI"/>
        </w:rPr>
      </w:pPr>
    </w:p>
    <w:p w:rsidR="00262B8D" w:rsidRDefault="00262B8D" w:rsidP="00262B8D">
      <w:pPr>
        <w:spacing w:after="0" w:line="240" w:lineRule="auto"/>
        <w:rPr>
          <w:rFonts w:ascii="Verdana" w:eastAsia="Times New Roman" w:hAnsi="Verdana" w:cs="Arial"/>
          <w:lang w:eastAsia="sl-SI"/>
        </w:rPr>
      </w:pPr>
    </w:p>
    <w:p w:rsidR="006F23CE" w:rsidRDefault="00262B8D" w:rsidP="00262B8D">
      <w:pPr>
        <w:spacing w:after="0" w:line="240" w:lineRule="auto"/>
        <w:jc w:val="center"/>
        <w:rPr>
          <w:rFonts w:ascii="Verdana" w:eastAsia="Times New Roman" w:hAnsi="Verdana" w:cs="Times New Roman"/>
          <w:b/>
          <w:lang w:eastAsia="sl-SI"/>
        </w:rPr>
      </w:pPr>
      <w:r>
        <w:rPr>
          <w:rFonts w:ascii="Verdana" w:eastAsia="Times New Roman" w:hAnsi="Verdana" w:cs="Times New Roman"/>
          <w:b/>
          <w:lang w:eastAsia="sl-SI"/>
        </w:rPr>
        <w:t>PRAVILNIK</w:t>
      </w:r>
    </w:p>
    <w:p w:rsidR="00262B8D" w:rsidRDefault="00262B8D" w:rsidP="00262B8D">
      <w:pPr>
        <w:spacing w:after="0" w:line="240" w:lineRule="auto"/>
        <w:jc w:val="center"/>
        <w:rPr>
          <w:rFonts w:ascii="Verdana" w:eastAsia="Times New Roman" w:hAnsi="Verdana" w:cs="Times New Roman"/>
          <w:b/>
          <w:lang w:eastAsia="sl-SI"/>
        </w:rPr>
      </w:pPr>
      <w:bookmarkStart w:id="0" w:name="_GoBack"/>
      <w:bookmarkEnd w:id="0"/>
      <w:r>
        <w:rPr>
          <w:rFonts w:ascii="Verdana" w:eastAsia="Times New Roman" w:hAnsi="Verdana" w:cs="Times New Roman"/>
          <w:b/>
          <w:lang w:eastAsia="sl-SI"/>
        </w:rPr>
        <w:t xml:space="preserve"> O ŠTIPENDIRANJU ŠTUDENTOV V OBČINI RADENCI</w:t>
      </w:r>
    </w:p>
    <w:p w:rsidR="00262B8D" w:rsidRDefault="00262B8D" w:rsidP="00262B8D">
      <w:pPr>
        <w:spacing w:after="0" w:line="240" w:lineRule="auto"/>
        <w:jc w:val="center"/>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b/>
          <w:lang w:eastAsia="sl-SI"/>
        </w:rPr>
      </w:pPr>
      <w:r>
        <w:rPr>
          <w:rFonts w:ascii="Verdana" w:eastAsia="Times New Roman" w:hAnsi="Verdana" w:cs="Times New Roman"/>
          <w:b/>
          <w:lang w:eastAsia="sl-SI"/>
        </w:rPr>
        <w:t>I. SPLOŠNE DOLOČBE</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 člen</w:t>
      </w:r>
    </w:p>
    <w:p w:rsidR="00262B8D" w:rsidRDefault="00262B8D" w:rsidP="00262B8D">
      <w:pPr>
        <w:spacing w:after="0" w:line="240" w:lineRule="auto"/>
        <w:jc w:val="center"/>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Ta pravilnik določa postopke in merila za dodeljevanje štipendij študentom Občine Radenci, izvajanje in trajanje štipendiranja ter pravice in obveznosti štipendista (študenta) in štipenditorja (Občine Radenci).</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 člen</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Sredstva za štipendije se zagotavljajo v proračunu Občine Radenci za tekoče leto.</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Štipenditor zagotavlja sredstva za sofinanciranje izobraževanja v Republiki Sloveniji ali v tujini.</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b/>
          <w:lang w:eastAsia="sl-SI"/>
        </w:rPr>
      </w:pPr>
      <w:r>
        <w:rPr>
          <w:rFonts w:ascii="Verdana" w:eastAsia="Times New Roman" w:hAnsi="Verdana" w:cs="Times New Roman"/>
          <w:b/>
          <w:lang w:eastAsia="sl-SI"/>
        </w:rPr>
        <w:t>II. POSTOPEK, POGOJI IN KRITERIJI ZA PODELJEVANJE ŠTIPENDIJ</w:t>
      </w:r>
    </w:p>
    <w:p w:rsidR="00262B8D" w:rsidRDefault="00262B8D" w:rsidP="00262B8D">
      <w:pPr>
        <w:spacing w:after="0" w:line="240" w:lineRule="auto"/>
        <w:jc w:val="center"/>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3. člen</w:t>
      </w:r>
    </w:p>
    <w:p w:rsidR="00262B8D" w:rsidRDefault="00262B8D" w:rsidP="00262B8D">
      <w:pPr>
        <w:spacing w:after="0" w:line="240" w:lineRule="auto"/>
        <w:jc w:val="center"/>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Štipendije se podeljujejo na podlagi javnega razpisa, ki se objavi pred začetkom študijskega leta in je v skladu z ugotovljenimi potrebami po strokovnih kadrih na območju Občine Radenci. </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Podatki o deficitarnih poklicih v Občini Radenci se pridobijo pri Zavodu RS za zaposlovanje, Območna služba Murska Sobota, Urad za delo Gornja Radgona.</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4. člen</w:t>
      </w:r>
    </w:p>
    <w:p w:rsidR="00262B8D" w:rsidRDefault="00262B8D" w:rsidP="00262B8D">
      <w:pPr>
        <w:spacing w:after="0" w:line="240" w:lineRule="auto"/>
        <w:jc w:val="center"/>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Štipendija se podeljujejo študentom, ki so državljani Republike Slovenije, imajo v Občini Radenci prijavljeno stalno prebivališče najmanj 3 leta in se obvežejo, da bodo po končanem šolanju, v dogovoru s štipenditorjem sklenili delovno razmerje v Občini Radenci.</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Do štipendije je upravičen študent, ki izpolnjuje naslednje pogoje:</w:t>
      </w:r>
    </w:p>
    <w:p w:rsidR="00262B8D" w:rsidRDefault="00262B8D" w:rsidP="00262B8D">
      <w:pPr>
        <w:numPr>
          <w:ilvl w:val="0"/>
          <w:numId w:val="2"/>
        </w:num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ima status rednega študenta (lahko tudi status izrednega študenta, vendar pod pogojem, da ni zaposlen ali prijavljen na Zavodu RS za zaposlovanje),</w:t>
      </w:r>
    </w:p>
    <w:p w:rsidR="00262B8D" w:rsidRDefault="00262B8D" w:rsidP="00262B8D">
      <w:pPr>
        <w:numPr>
          <w:ilvl w:val="0"/>
          <w:numId w:val="2"/>
        </w:numPr>
        <w:spacing w:after="0" w:line="240" w:lineRule="auto"/>
        <w:rPr>
          <w:rFonts w:ascii="Verdana" w:eastAsia="Times New Roman" w:hAnsi="Verdana" w:cs="Times New Roman"/>
          <w:lang w:eastAsia="sl-SI"/>
        </w:rPr>
      </w:pPr>
      <w:r>
        <w:rPr>
          <w:rFonts w:ascii="Verdana" w:eastAsia="Times New Roman" w:hAnsi="Verdana" w:cs="Times New Roman"/>
          <w:lang w:eastAsia="sl-SI"/>
        </w:rPr>
        <w:lastRenderedPageBreak/>
        <w:t>je vpisan na dodiplomski študijski program (v najmanj drugi letnik) ali podiplomski študijski program študija deficitarnih smeri v Občini Radenci,</w:t>
      </w:r>
    </w:p>
    <w:p w:rsidR="00262B8D" w:rsidRDefault="00262B8D" w:rsidP="00262B8D">
      <w:pPr>
        <w:numPr>
          <w:ilvl w:val="0"/>
          <w:numId w:val="2"/>
        </w:numPr>
        <w:spacing w:after="0" w:line="240" w:lineRule="auto"/>
        <w:rPr>
          <w:rFonts w:ascii="Verdana" w:eastAsia="Times New Roman" w:hAnsi="Verdana" w:cs="Times New Roman"/>
          <w:lang w:eastAsia="sl-SI"/>
        </w:rPr>
      </w:pPr>
      <w:r>
        <w:rPr>
          <w:rFonts w:ascii="Verdana" w:eastAsia="Times New Roman" w:hAnsi="Verdana" w:cs="Times New Roman"/>
          <w:lang w:eastAsia="sl-SI"/>
        </w:rPr>
        <w:t>ima med prosilci najvišjo povprečno oceno do sedaj opravljenih izpitov,</w:t>
      </w:r>
    </w:p>
    <w:p w:rsidR="00262B8D" w:rsidRDefault="00262B8D" w:rsidP="005F18C0">
      <w:pPr>
        <w:numPr>
          <w:ilvl w:val="0"/>
          <w:numId w:val="2"/>
        </w:numPr>
        <w:spacing w:after="0" w:line="240" w:lineRule="auto"/>
        <w:rPr>
          <w:rFonts w:ascii="Verdana" w:eastAsia="Times New Roman" w:hAnsi="Verdana" w:cs="Times New Roman"/>
          <w:lang w:eastAsia="sl-SI"/>
        </w:rPr>
      </w:pPr>
      <w:r>
        <w:rPr>
          <w:rFonts w:ascii="Verdana" w:eastAsia="Times New Roman" w:hAnsi="Verdana" w:cs="Times New Roman"/>
          <w:lang w:eastAsia="sl-SI"/>
        </w:rPr>
        <w:t>izhaja iz šibkejšega socialnega okolja – socialno in premoženjsko stanje prosilca.</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5.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Vsebino razpisa za štipendije določi 5-članska Komisija za štipendiranje, ki jo na predlog župana potrdi Občinski svet in jo sestavljajo:</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- 2 predstavnika Občinskega sveta Občine Radenci (od tega je en predsednik   </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     Odbora za družbene dejavnosti)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- 1 predstavnik občinske uprave Občine Radenci,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- 1 predstavnik pristojnega Zavoda RS za zaposlovanje, enota Gornja Radgona,</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- 1 predstavnik iz vzgojno izobraževalnega zavoda v Občini Radenci.</w:t>
      </w:r>
    </w:p>
    <w:p w:rsidR="00262B8D" w:rsidRDefault="00262B8D" w:rsidP="00262B8D">
      <w:pPr>
        <w:spacing w:after="0" w:line="240" w:lineRule="auto"/>
        <w:ind w:left="720"/>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Predsednika komisije izvolijo člani izmed sebe, na prvem sestanku komisije, ki ga skliče župan. Predsednika komisije izvolijo z večino glasov vseh članov komisije.</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Mandat komisije traja štiri leta in je za predstavnika Občinskega sveta vezan na funkcijo svetnika v Občinskem svetu.</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6.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Razpis za štipendijo mora vsebovati: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  podatke o razpisani štipendiji, </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pogoje, ki jih morajo prijavitelji izpolnjevati,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merila za pridobitev štipendije,</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zahtevano dokumentacijo,</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rok in naslov za oddajo prijave na razpis.</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Sklep o razpisu štipendij, ki ga predlaga komisija iz 5. člena tega pravilnika, podpiše župan Občine Radenci in se objavi na krajevno običajni način.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7. člen</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Prijavi na razpis je treba priložiti: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a) dokazilo o vpisu v tekoči letnik,</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b) dokazilo o opravljenih izpitih v preteklem študijskem letu,</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c) potrdilo o državljanstvu Republike Slovenije,</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č) potrdilo UE o družinskih članih v skupnem gospodinjstvu,</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d) potrdilo o premoženjskem stanju,</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e) izjavo, da vlagatelj ni prejemnik nobene druge štipendije.</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Zahtevano dokumentacijo morajo kandidati poslati najkasneje do roka, ki je določen v besedilu razpisa.</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8.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Komisija za štipendiranje obravnava pravočasno prispele prijave na razpis v skladu z vsebino razpisa ter v skladu s pogoji in merili tega pravilnika. </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lastRenderedPageBreak/>
        <w:t>Prijavitelje, ki so oddali nepopolne prijave, se pozove k dopolnitvi prijave v roku 8 dni od vročitve poziva. Če prijavitelj prijave v določenem roku ne dopolni, se prijava zavrže.</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Prepozno prispelih prijav komisija ne obravnava in jih neodprte arhivira v dokumentaciji.</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Komisija v roku 30 dni po izbiri s pisnim sklepom obvesti vse prijavitelje o rezultatih razpisa. </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9.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Kandidate izbere komisija za štipendiranje v skladu z merili in kriteriji tega pravilnika. Odločitev komisije o izbiri štipendista je dokončna.</w:t>
      </w:r>
    </w:p>
    <w:p w:rsidR="005F18C0" w:rsidRDefault="005F18C0"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b/>
          <w:lang w:eastAsia="sl-SI"/>
        </w:rPr>
      </w:pPr>
      <w:r>
        <w:rPr>
          <w:rFonts w:ascii="Verdana" w:eastAsia="Times New Roman" w:hAnsi="Verdana" w:cs="Times New Roman"/>
          <w:b/>
          <w:lang w:eastAsia="sl-SI"/>
        </w:rPr>
        <w:t xml:space="preserve">III. KRITERIJI IN VIŠINA ŠTIPENDIJE </w:t>
      </w:r>
    </w:p>
    <w:p w:rsidR="00262B8D" w:rsidRDefault="00262B8D" w:rsidP="00262B8D">
      <w:pPr>
        <w:spacing w:after="0" w:line="240" w:lineRule="auto"/>
        <w:rPr>
          <w:rFonts w:ascii="Verdana" w:eastAsia="Times New Roman" w:hAnsi="Verdana" w:cs="Times New Roman"/>
          <w:b/>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10.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Pri izbiri med prijavljenimi kandidati se upoštevajo naslednji kriteriji po navedenem prioritetnem redu:</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učni uspeh, splošni in specifični uspeh glede na smer študija,</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socialno stanje kandidata.</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11.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A</w:t>
      </w:r>
      <w:r>
        <w:rPr>
          <w:rFonts w:ascii="Verdana" w:eastAsia="Times New Roman" w:hAnsi="Verdana" w:cs="Times New Roman"/>
          <w:lang w:eastAsia="sl-SI"/>
        </w:rPr>
        <w:tab/>
        <w:t>Osnovna štipendij za študente znaša 25 % bruto minimalne plače.</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B</w:t>
      </w:r>
      <w:r>
        <w:rPr>
          <w:rFonts w:ascii="Verdana" w:eastAsia="Times New Roman" w:hAnsi="Verdana" w:cs="Times New Roman"/>
          <w:lang w:eastAsia="sl-SI"/>
        </w:rPr>
        <w:tab/>
        <w:t>Glede na doseženi učni uspeh se osnovni štipendiji prišteje posebni dodatek v naslednjih procentih:</w:t>
      </w: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 xml:space="preserve">- za povprečno oceno med 6,4 – 7 </w:t>
      </w:r>
      <w:r>
        <w:rPr>
          <w:rFonts w:ascii="Verdana" w:eastAsia="Times New Roman" w:hAnsi="Verdana" w:cs="Times New Roman"/>
          <w:lang w:eastAsia="sl-SI"/>
        </w:rPr>
        <w:tab/>
        <w:t>ni dodatka</w:t>
      </w: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 xml:space="preserve">- za povprečno oceno med 7,1 – 8 </w:t>
      </w:r>
      <w:r>
        <w:rPr>
          <w:rFonts w:ascii="Verdana" w:eastAsia="Times New Roman" w:hAnsi="Verdana" w:cs="Times New Roman"/>
          <w:lang w:eastAsia="sl-SI"/>
        </w:rPr>
        <w:tab/>
        <w:t>dodatek v višini 5% od bruto min. plače,</w:t>
      </w: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 xml:space="preserve">- za povprečno oceno med 8,1 – 9 </w:t>
      </w:r>
      <w:r>
        <w:rPr>
          <w:rFonts w:ascii="Verdana" w:eastAsia="Times New Roman" w:hAnsi="Verdana" w:cs="Times New Roman"/>
          <w:lang w:eastAsia="sl-SI"/>
        </w:rPr>
        <w:tab/>
        <w:t>dodatek v višini 10% od bruto min. plače,</w:t>
      </w: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 xml:space="preserve">- za povprečno oceno med 9,1 – 10 </w:t>
      </w:r>
      <w:r>
        <w:rPr>
          <w:rFonts w:ascii="Verdana" w:eastAsia="Times New Roman" w:hAnsi="Verdana" w:cs="Times New Roman"/>
          <w:lang w:eastAsia="sl-SI"/>
        </w:rPr>
        <w:tab/>
        <w:t>dodatek v višini 15% od bruto min. plače.</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Povprečna ocena se določi tako, da se izračuna povprečje vseh številčno izraženih ocen, doseženih od 1. oktobra do 30. septembra v preteklem študijskem letu. </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C</w:t>
      </w:r>
      <w:r>
        <w:rPr>
          <w:rFonts w:ascii="Verdana" w:eastAsia="Times New Roman" w:hAnsi="Verdana" w:cs="Times New Roman"/>
          <w:lang w:eastAsia="sl-SI"/>
        </w:rPr>
        <w:tab/>
        <w:t>V primeru, če komisija ugotovi, da imata dva ali več prijaviteljev enako povprečno oceno, ima pri izbiri prednost kandidat z nižjim dohodkom na družinskega člana takrat, oziroma kandidat v čigar družini sta dva ali več nepreskrbljenih družinskih članov (šoloobveznih ali redno šolajočih se otrok).</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12. člen</w:t>
      </w:r>
    </w:p>
    <w:p w:rsidR="00426DB5" w:rsidRDefault="00426DB5" w:rsidP="00262B8D">
      <w:pPr>
        <w:spacing w:after="0" w:line="240" w:lineRule="auto"/>
      </w:pPr>
    </w:p>
    <w:p w:rsidR="00426DB5" w:rsidRPr="00426DB5" w:rsidRDefault="00426DB5" w:rsidP="00262B8D">
      <w:pPr>
        <w:spacing w:after="0" w:line="240" w:lineRule="auto"/>
        <w:rPr>
          <w:rFonts w:ascii="Verdana" w:hAnsi="Verdana"/>
        </w:rPr>
      </w:pPr>
      <w:r w:rsidRPr="00426DB5">
        <w:rPr>
          <w:rFonts w:ascii="Verdana" w:hAnsi="Verdana"/>
        </w:rPr>
        <w:t>Štipendije se izplačujejo mesečno za pretekli mesec za celotno študijsko leto, razen v zaključnem letniku</w:t>
      </w:r>
      <w:r w:rsidRPr="00426DB5">
        <w:rPr>
          <w:rFonts w:ascii="Verdana" w:eastAsia="Times New Roman" w:hAnsi="Verdana" w:cs="Times New Roman"/>
          <w:lang w:eastAsia="sl-SI"/>
        </w:rPr>
        <w:t>, kjer se upošteva redni absolventski staž.</w:t>
      </w:r>
      <w:r w:rsidRPr="00426DB5">
        <w:rPr>
          <w:rFonts w:ascii="Verdana" w:hAnsi="Verdana"/>
        </w:rPr>
        <w:t xml:space="preserve"> </w:t>
      </w:r>
    </w:p>
    <w:p w:rsidR="00262B8D" w:rsidRDefault="00262B8D" w:rsidP="00262B8D">
      <w:pPr>
        <w:spacing w:after="0" w:line="240" w:lineRule="auto"/>
        <w:jc w:val="both"/>
        <w:rPr>
          <w:rFonts w:ascii="Verdana" w:eastAsia="Times New Roman" w:hAnsi="Verdana" w:cs="Times New Roman"/>
          <w:lang w:eastAsia="sl-SI"/>
        </w:rPr>
      </w:pPr>
    </w:p>
    <w:p w:rsidR="00426DB5"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Pravica do štipendije v naslednjem študijskem letu se dodeljuje z namenom uspešnega zaključka letnika. V kolikor namen ni izpolnjen, štipendija eno študijsko leto miruje. V kolikor štipendist tudi v naslednjem študijskem letu ne izpolni pogojev vpisa v naslednji letnik, je dolžan štipendijo vrniti.</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lastRenderedPageBreak/>
        <w:t>Prav tako mora štipendijo vrniti štipendist, ki jo je pridobil na podlagi neresničnih podatkov ter štipendist, ki ni pravočasno (v roku 15 dni od nastanka spremembe) sporočil sprememb, ki vplivajo na upravičenost do štipendije.</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b/>
          <w:lang w:eastAsia="sl-SI"/>
        </w:rPr>
      </w:pPr>
      <w:r>
        <w:rPr>
          <w:rFonts w:ascii="Verdana" w:eastAsia="Times New Roman" w:hAnsi="Verdana" w:cs="Times New Roman"/>
          <w:b/>
          <w:lang w:eastAsia="sl-SI"/>
        </w:rPr>
        <w:t>IV. MEDSEBOJNE OBVEZNOSTI</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13.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Medsebojna razmerja med štipenditorjem in štipendistom se uredijo s pogodbo.</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rPr>
          <w:rFonts w:ascii="Verdana" w:eastAsia="Times New Roman" w:hAnsi="Verdana" w:cs="Times New Roman"/>
          <w:lang w:eastAsia="sl-SI"/>
        </w:rPr>
      </w:pPr>
      <w:r>
        <w:rPr>
          <w:rFonts w:ascii="Verdana" w:eastAsia="Times New Roman" w:hAnsi="Verdana" w:cs="Times New Roman"/>
          <w:lang w:eastAsia="sl-SI"/>
        </w:rPr>
        <w:t>Pogodbo o štipendiranju sklene s štipendistom župan.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14.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 xml:space="preserve">Štipendija se izplačuje štipendistu mesečno, in sicer do 10. v mesecu za pretekli mesec. </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15.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je dolžan na začetku študijskega leta predložiti občinski upravi potrdilo o vpisu v naslednji letnik in potrdilo o opravljenih izpitih preteklega študijskega leta.</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16.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ki prekine izobraževanje, ali se ne zaposli v skladu s pogodbo o štipendiranju je dolžan vrniti izplačane zneske štipendije z zakonskimi zamudnimi obrestmi, razen v upravičenih primerih, ki jih oceni komisija za štipendiranje.</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izgubi pravico do štipendije in mora vrniti vse izplačane zneske prejete štipendije če:</w:t>
      </w:r>
    </w:p>
    <w:p w:rsidR="00262B8D" w:rsidRDefault="00262B8D" w:rsidP="00262B8D">
      <w:pPr>
        <w:numPr>
          <w:ilvl w:val="0"/>
          <w:numId w:val="3"/>
        </w:num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ne dokonča izobraževanja v roku, ki je po predpisih določen v izobraževalni organizaciji, za katero mu je bila podeljena štipendija, oziroma v podaljšanem roku, ki mu ga določi štipenditor,</w:t>
      </w:r>
    </w:p>
    <w:p w:rsidR="00262B8D" w:rsidRDefault="00262B8D" w:rsidP="00262B8D">
      <w:pPr>
        <w:numPr>
          <w:ilvl w:val="0"/>
          <w:numId w:val="3"/>
        </w:num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opusti izobraževanje na šoli, kjer je bil vpisan ob sklenitvi pogodbe,</w:t>
      </w:r>
    </w:p>
    <w:p w:rsidR="00262B8D" w:rsidRDefault="00262B8D" w:rsidP="00262B8D">
      <w:pPr>
        <w:spacing w:after="0" w:line="240" w:lineRule="auto"/>
        <w:ind w:firstLine="360"/>
        <w:jc w:val="both"/>
        <w:rPr>
          <w:rFonts w:ascii="Verdana" w:eastAsia="Times New Roman" w:hAnsi="Verdana" w:cs="Times New Roman"/>
          <w:lang w:eastAsia="sl-SI"/>
        </w:rPr>
      </w:pPr>
      <w:r>
        <w:rPr>
          <w:rFonts w:ascii="Verdana" w:eastAsia="Times New Roman" w:hAnsi="Verdana" w:cs="Times New Roman"/>
          <w:lang w:eastAsia="sl-SI"/>
        </w:rPr>
        <w:t>c) se med prejemanjem štipendije, odobrene po tem pravilniku vključi v štipendiranje drugega štipenditorja ali če se zaposli,</w:t>
      </w:r>
    </w:p>
    <w:p w:rsidR="00262B8D" w:rsidRDefault="00262B8D" w:rsidP="00262B8D">
      <w:pPr>
        <w:spacing w:after="0" w:line="240" w:lineRule="auto"/>
        <w:ind w:firstLine="360"/>
        <w:jc w:val="both"/>
        <w:rPr>
          <w:rFonts w:ascii="Verdana" w:eastAsia="Times New Roman" w:hAnsi="Verdana" w:cs="Times New Roman"/>
          <w:lang w:eastAsia="sl-SI"/>
        </w:rPr>
      </w:pPr>
      <w:r>
        <w:rPr>
          <w:rFonts w:ascii="Verdana" w:eastAsia="Times New Roman" w:hAnsi="Verdana" w:cs="Times New Roman"/>
          <w:lang w:eastAsia="sl-SI"/>
        </w:rPr>
        <w:t>č) med izobraževanjem ali po njem sporoči štipenditorju, da ni pripravljen skleniti delovnega razmerja v skladu s pogodbo o štipendiranju.</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je dolžan povrniti sorazmerni del zneska prejete štipendije, če ostane v delovnem razmerju manj časa, kot znaša doba, za katero je prejemal štipendijo.</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17.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je prost pogodbenih obveznosti če:</w:t>
      </w:r>
    </w:p>
    <w:p w:rsidR="00262B8D" w:rsidRDefault="00262B8D" w:rsidP="00262B8D">
      <w:pPr>
        <w:numPr>
          <w:ilvl w:val="0"/>
          <w:numId w:val="4"/>
        </w:num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mu štipenditor v 60 dneh po njegovem pisnem obvestilu, da je izobraževanje v skladu s pogodbo končal, ne omogoči zaposlitve,</w:t>
      </w:r>
    </w:p>
    <w:p w:rsidR="00262B8D" w:rsidRDefault="00262B8D" w:rsidP="00262B8D">
      <w:pPr>
        <w:spacing w:after="0" w:line="240" w:lineRule="auto"/>
        <w:ind w:firstLine="360"/>
        <w:jc w:val="both"/>
        <w:rPr>
          <w:rFonts w:ascii="Verdana" w:eastAsia="Times New Roman" w:hAnsi="Verdana" w:cs="Times New Roman"/>
          <w:lang w:eastAsia="sl-SI"/>
        </w:rPr>
      </w:pPr>
      <w:r>
        <w:rPr>
          <w:rFonts w:ascii="Verdana" w:eastAsia="Times New Roman" w:hAnsi="Verdana" w:cs="Times New Roman"/>
          <w:lang w:eastAsia="sl-SI"/>
        </w:rPr>
        <w:t>b)  postane trajno nezmožen za delo.</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18. člen</w:t>
      </w:r>
    </w:p>
    <w:p w:rsidR="00262B8D" w:rsidRDefault="00262B8D" w:rsidP="00262B8D">
      <w:pPr>
        <w:spacing w:after="0" w:line="240" w:lineRule="auto"/>
        <w:rPr>
          <w:rFonts w:ascii="Verdana" w:eastAsia="Times New Roman" w:hAnsi="Verdana" w:cs="Times New Roman"/>
          <w:lang w:eastAsia="sl-SI"/>
        </w:rPr>
      </w:pPr>
    </w:p>
    <w:p w:rsidR="00426DB5"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Komisija za štipendiranje lahko štipendistu določi obročno vračanje štipendije, če je materialno ogrožen.</w:t>
      </w: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lastRenderedPageBreak/>
        <w:t>Odločitev komisije z obrazložitvijo se predloži v potrditev županu.</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19.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Komisija za štipendiranje mora vsak primer posebej obravnavati in odločiti o obveznosti štipendista.</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20.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Štipendistu, ki predčasno uspešno konča šolanje, se izplača štipendija v enkratnem znesku za čas, ko bi mu ta pripadala in v višini štipendije za mesec, v katerem je zaključil šolanje. Pri tej odločitvi se upošteva redni absolventski staž.</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21.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Štipendist ima pravico do ugovora zoper odločitev o njegovih pravicah in dolžnostih iz štipendijskega razmerja na župana Občine Radenci.</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Rok ugovora je 8 dni od vročitve pismenega odpravka.</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Župan mora v 30 dneh sporočiti štipendistu svojo odločitev, ki je dokončna.</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22.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Poročilo o izpolnjevanju pogodbenih obveznosti štipendistov in o morebitni drugi problematiki v zvezi s štipendiranjem se pripravi enkrat letno in se predloži županu Občine Radenci.</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Ob poročilu se analizirajo predloženi letni kadrovski plani in pripravi predlog za razpis štipendij za novo študijsko leto.</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Sklep o razpisu sprejme župan.</w:t>
      </w:r>
    </w:p>
    <w:p w:rsidR="00262B8D" w:rsidRDefault="00262B8D" w:rsidP="00262B8D">
      <w:pPr>
        <w:spacing w:after="0" w:line="240" w:lineRule="auto"/>
        <w:jc w:val="both"/>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b/>
          <w:lang w:eastAsia="sl-SI"/>
        </w:rPr>
      </w:pPr>
      <w:r>
        <w:rPr>
          <w:rFonts w:ascii="Verdana" w:eastAsia="Times New Roman" w:hAnsi="Verdana" w:cs="Times New Roman"/>
          <w:b/>
          <w:lang w:eastAsia="sl-SI"/>
        </w:rPr>
        <w:t>V. PREHODNE IN KONČNE DOLOČBE</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23.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Nasledniki umrlega štipendista niso odgovorni za izpolnitev obveznosti iz pogodbe o štipendiranju.</w:t>
      </w:r>
    </w:p>
    <w:p w:rsidR="00262B8D" w:rsidRDefault="00262B8D" w:rsidP="00262B8D">
      <w:pPr>
        <w:spacing w:after="0" w:line="240" w:lineRule="auto"/>
        <w:jc w:val="center"/>
        <w:rPr>
          <w:rFonts w:ascii="Verdana" w:eastAsia="Times New Roman" w:hAnsi="Verdana" w:cs="Times New Roman"/>
          <w:lang w:eastAsia="sl-SI"/>
        </w:rPr>
      </w:pPr>
      <w:r>
        <w:rPr>
          <w:rFonts w:ascii="Verdana" w:eastAsia="Times New Roman" w:hAnsi="Verdana" w:cs="Times New Roman"/>
          <w:lang w:eastAsia="sl-SI"/>
        </w:rPr>
        <w:t>24. člen</w:t>
      </w:r>
    </w:p>
    <w:p w:rsidR="00262B8D" w:rsidRDefault="00262B8D" w:rsidP="00262B8D">
      <w:pPr>
        <w:spacing w:after="0" w:line="240" w:lineRule="auto"/>
        <w:rPr>
          <w:rFonts w:ascii="Verdana" w:eastAsia="Times New Roman" w:hAnsi="Verdana" w:cs="Times New Roman"/>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Times New Roman"/>
          <w:lang w:eastAsia="sl-SI"/>
        </w:rPr>
        <w:t xml:space="preserve">S potrditvijo tega Pravilnika o štipendiranju študentov v Občini Radenci preneha veljati Pravilnik  </w:t>
      </w:r>
      <w:r>
        <w:rPr>
          <w:rFonts w:ascii="Verdana" w:eastAsia="Times New Roman" w:hAnsi="Verdana" w:cs="Arial"/>
          <w:lang w:eastAsia="sl-SI"/>
        </w:rPr>
        <w:t xml:space="preserve">o štipendiranju dijakov in študentov v Občini Radenci (Ur. l. RS, 2/1996).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Ta pravilnik začne veljati z dnem objave v Uradnem glasilu slovenskih občin.</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Štev.: ………………………..</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Radenci, ……………………..</w:t>
      </w:r>
    </w:p>
    <w:p w:rsidR="00262B8D" w:rsidRDefault="00262B8D" w:rsidP="00262B8D">
      <w:pPr>
        <w:spacing w:after="0" w:line="240" w:lineRule="auto"/>
        <w:ind w:left="4956" w:firstLine="708"/>
        <w:jc w:val="both"/>
        <w:rPr>
          <w:rFonts w:ascii="Verdana" w:eastAsia="Times New Roman" w:hAnsi="Verdana" w:cs="Arial"/>
          <w:lang w:eastAsia="sl-SI"/>
        </w:rPr>
      </w:pPr>
    </w:p>
    <w:p w:rsidR="00262B8D" w:rsidRDefault="00262B8D" w:rsidP="00262B8D">
      <w:pPr>
        <w:spacing w:after="0" w:line="240" w:lineRule="auto"/>
        <w:ind w:left="4956" w:firstLine="708"/>
        <w:jc w:val="both"/>
        <w:rPr>
          <w:rFonts w:ascii="Verdana" w:eastAsia="Times New Roman" w:hAnsi="Verdana" w:cs="Arial"/>
          <w:lang w:eastAsia="sl-SI"/>
        </w:rPr>
      </w:pPr>
      <w:r>
        <w:rPr>
          <w:rFonts w:ascii="Verdana" w:eastAsia="Times New Roman" w:hAnsi="Verdana" w:cs="Arial"/>
          <w:lang w:eastAsia="sl-SI"/>
        </w:rPr>
        <w:t xml:space="preserve">    Janez RIHTARIČ,</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lang w:eastAsia="sl-SI"/>
        </w:rPr>
        <w:t xml:space="preserve">    župan Občine Radenci</w:t>
      </w:r>
    </w:p>
    <w:p w:rsidR="00426DB5" w:rsidRDefault="00426DB5"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both"/>
        <w:rPr>
          <w:rFonts w:ascii="Verdana" w:eastAsia="Times New Roman" w:hAnsi="Verdana" w:cs="Arial"/>
          <w:b/>
          <w:lang w:eastAsia="sl-SI"/>
        </w:rPr>
      </w:pPr>
      <w:r>
        <w:rPr>
          <w:rFonts w:ascii="Verdana" w:eastAsia="Times New Roman" w:hAnsi="Verdana" w:cs="Arial"/>
          <w:b/>
          <w:lang w:eastAsia="sl-SI"/>
        </w:rPr>
        <w:lastRenderedPageBreak/>
        <w:t>III. OBRAZLOŽITEV</w:t>
      </w:r>
    </w:p>
    <w:p w:rsidR="00262B8D" w:rsidRDefault="00262B8D"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both"/>
        <w:rPr>
          <w:rFonts w:ascii="Verdana" w:eastAsia="Calibri" w:hAnsi="Verdana" w:cs="Arial"/>
        </w:rPr>
      </w:pPr>
      <w:r>
        <w:rPr>
          <w:rFonts w:ascii="Verdana" w:eastAsia="Calibri" w:hAnsi="Verdana" w:cs="Arial"/>
        </w:rPr>
        <w:t>Članice Odbora za družbene dejavnosti ugotavljajo, da sedaj veljavni pravilnik o štipendiranju v naši občini izhaja že izpred 17. let, zato ga je nujno uskladiti z zakonodajo ter ga ažurirati. Na svoji 8. redni seji, dne 17. 9. 2012, so pripravile predlog novega pravilnika, ki ga dajejo v razpravo še članom Občinskega sveta.</w:t>
      </w:r>
    </w:p>
    <w:p w:rsidR="00262B8D" w:rsidRDefault="00262B8D" w:rsidP="00262B8D">
      <w:pPr>
        <w:spacing w:after="0" w:line="240" w:lineRule="auto"/>
        <w:jc w:val="both"/>
        <w:rPr>
          <w:rFonts w:ascii="Verdana" w:eastAsia="Calibri" w:hAnsi="Verdana" w:cs="Arial"/>
        </w:rPr>
      </w:pPr>
    </w:p>
    <w:p w:rsidR="00262B8D" w:rsidRDefault="00262B8D" w:rsidP="00262B8D">
      <w:pPr>
        <w:spacing w:after="0" w:line="240" w:lineRule="auto"/>
        <w:jc w:val="both"/>
        <w:rPr>
          <w:rFonts w:ascii="Verdana" w:eastAsia="Calibri" w:hAnsi="Verdana" w:cs="Arial"/>
        </w:rPr>
      </w:pPr>
      <w:r>
        <w:rPr>
          <w:rFonts w:ascii="Verdana" w:eastAsia="Calibri" w:hAnsi="Verdana" w:cs="Arial"/>
        </w:rPr>
        <w:t xml:space="preserve">Sedaj veljavni pravilnik vsebuje določila, ki jih je nujno uskladiti z veljavno zakonodajo – npr. štipendiranje dijakov in študentov, nekatera določila je potrebno uskladiti tudi z novimi zakoni – Zakon o uveljavljanju pravic iz javnih sredstev, Zakon za uravnoteženje javnih financ … ;  </w:t>
      </w:r>
    </w:p>
    <w:p w:rsidR="00262B8D" w:rsidRDefault="00262B8D" w:rsidP="00262B8D">
      <w:pPr>
        <w:spacing w:after="0" w:line="240" w:lineRule="auto"/>
        <w:jc w:val="both"/>
        <w:rPr>
          <w:rFonts w:ascii="Verdana" w:eastAsia="Times New Roman" w:hAnsi="Verdana" w:cs="Arial"/>
          <w:b/>
          <w:lang w:eastAsia="sl-SI"/>
        </w:rPr>
      </w:pPr>
    </w:p>
    <w:p w:rsidR="00262B8D" w:rsidRDefault="00262B8D" w:rsidP="00262B8D">
      <w:pPr>
        <w:spacing w:after="0" w:line="240" w:lineRule="auto"/>
        <w:jc w:val="both"/>
        <w:rPr>
          <w:rFonts w:ascii="Verdana" w:eastAsia="Times New Roman" w:hAnsi="Verdana" w:cs="Arial"/>
          <w:b/>
          <w:lang w:eastAsia="sl-SI"/>
        </w:rPr>
      </w:pPr>
      <w:r>
        <w:rPr>
          <w:rFonts w:ascii="Verdana" w:eastAsia="Times New Roman" w:hAnsi="Verdana" w:cs="Arial"/>
          <w:b/>
          <w:lang w:eastAsia="sl-SI"/>
        </w:rPr>
        <w:t xml:space="preserve">Pravne podlage: </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Zakon o lokalni samoupravi (UPB2, Ur. l., št. 76/08, 100/08, 79/09)</w:t>
      </w:r>
    </w:p>
    <w:p w:rsidR="00262B8D" w:rsidRPr="00FB292E"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Arial"/>
          <w:lang w:eastAsia="sl-SI"/>
        </w:rPr>
        <w:t>Zakon o štipendiranju (</w:t>
      </w:r>
      <w:r>
        <w:rPr>
          <w:rFonts w:ascii="Verdana" w:eastAsia="Times New Roman" w:hAnsi="Verdana" w:cs="Times New Roman"/>
          <w:lang w:eastAsia="sl-SI"/>
        </w:rPr>
        <w:t xml:space="preserve">Ur.l. RS, št. </w:t>
      </w:r>
      <w:hyperlink r:id="rId10" w:tgtFrame="_blank" w:history="1">
        <w:r w:rsidRPr="00FB292E">
          <w:rPr>
            <w:rStyle w:val="Hiperpovezava"/>
            <w:rFonts w:ascii="Verdana" w:eastAsia="Times New Roman" w:hAnsi="Verdana" w:cs="Times New Roman"/>
            <w:color w:val="auto"/>
            <w:u w:val="none"/>
            <w:lang w:eastAsia="sl-SI"/>
          </w:rPr>
          <w:t>59/2007</w:t>
        </w:r>
      </w:hyperlink>
      <w:r w:rsidRPr="00FB292E">
        <w:rPr>
          <w:rFonts w:ascii="Verdana" w:eastAsia="Times New Roman" w:hAnsi="Verdana" w:cs="Times New Roman"/>
          <w:lang w:eastAsia="sl-SI"/>
        </w:rPr>
        <w:t xml:space="preserve"> (</w:t>
      </w:r>
      <w:hyperlink r:id="rId11" w:tgtFrame="_blank" w:history="1">
        <w:r w:rsidRPr="00FB292E">
          <w:rPr>
            <w:rStyle w:val="Hiperpovezava"/>
            <w:rFonts w:ascii="Verdana" w:eastAsia="Times New Roman" w:hAnsi="Verdana" w:cs="Times New Roman"/>
            <w:color w:val="auto"/>
            <w:u w:val="none"/>
            <w:lang w:eastAsia="sl-SI"/>
          </w:rPr>
          <w:t>63/2007</w:t>
        </w:r>
      </w:hyperlink>
      <w:r w:rsidRPr="00FB292E">
        <w:rPr>
          <w:rFonts w:ascii="Verdana" w:eastAsia="Times New Roman" w:hAnsi="Verdana" w:cs="Times New Roman"/>
          <w:lang w:eastAsia="sl-SI"/>
        </w:rPr>
        <w:t xml:space="preserve"> </w:t>
      </w:r>
      <w:proofErr w:type="spellStart"/>
      <w:r w:rsidRPr="00FB292E">
        <w:rPr>
          <w:rFonts w:ascii="Verdana" w:eastAsia="Times New Roman" w:hAnsi="Verdana" w:cs="Times New Roman"/>
          <w:lang w:eastAsia="sl-SI"/>
        </w:rPr>
        <w:t>popr</w:t>
      </w:r>
      <w:proofErr w:type="spellEnd"/>
      <w:r w:rsidRPr="00FB292E">
        <w:rPr>
          <w:rFonts w:ascii="Verdana" w:eastAsia="Times New Roman" w:hAnsi="Verdana" w:cs="Times New Roman"/>
          <w:lang w:eastAsia="sl-SI"/>
        </w:rPr>
        <w:t xml:space="preserve">., </w:t>
      </w:r>
      <w:hyperlink r:id="rId12" w:tgtFrame="_blank" w:history="1">
        <w:r w:rsidRPr="00FB292E">
          <w:rPr>
            <w:rStyle w:val="Hiperpovezava"/>
            <w:rFonts w:ascii="Verdana" w:eastAsia="Times New Roman" w:hAnsi="Verdana" w:cs="Times New Roman"/>
            <w:color w:val="auto"/>
            <w:u w:val="none"/>
            <w:lang w:eastAsia="sl-SI"/>
          </w:rPr>
          <w:t>40/2009</w:t>
        </w:r>
      </w:hyperlink>
      <w:r w:rsidRPr="00FB292E">
        <w:rPr>
          <w:rFonts w:ascii="Verdana" w:eastAsia="Times New Roman" w:hAnsi="Verdana" w:cs="Times New Roman"/>
          <w:lang w:eastAsia="sl-SI"/>
        </w:rPr>
        <w:t>)</w:t>
      </w:r>
    </w:p>
    <w:p w:rsidR="00262B8D" w:rsidRDefault="00262B8D" w:rsidP="00262B8D">
      <w:pPr>
        <w:spacing w:after="0" w:line="240" w:lineRule="auto"/>
        <w:jc w:val="both"/>
        <w:rPr>
          <w:rFonts w:ascii="Verdana" w:hAnsi="Verdana"/>
        </w:rPr>
      </w:pPr>
      <w:r w:rsidRPr="00FB292E">
        <w:rPr>
          <w:rFonts w:ascii="Verdana" w:eastAsia="Times New Roman" w:hAnsi="Verdana" w:cs="Times New Roman"/>
          <w:lang w:eastAsia="sl-SI"/>
        </w:rPr>
        <w:t xml:space="preserve">Zakon o uveljavljanju pravic iz javnih sredstev (Ur. l. RS, št. 62/2010, </w:t>
      </w:r>
      <w:hyperlink r:id="rId13" w:tgtFrame="_blank" w:history="1">
        <w:r w:rsidRPr="00FB292E">
          <w:rPr>
            <w:rStyle w:val="Hiperpovezava"/>
            <w:rFonts w:ascii="Verdana" w:hAnsi="Verdana"/>
            <w:color w:val="auto"/>
            <w:u w:val="none"/>
          </w:rPr>
          <w:t>40/2011</w:t>
        </w:r>
      </w:hyperlink>
      <w:r>
        <w:rPr>
          <w:rFonts w:ascii="Verdana" w:hAnsi="Verdana"/>
        </w:rPr>
        <w:t>)</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Zakon za uravnoteženje javnih financ (Ur. l. RS, št. 40/2012) </w:t>
      </w:r>
    </w:p>
    <w:p w:rsidR="00426DB5" w:rsidRDefault="00426DB5" w:rsidP="00262B8D">
      <w:pPr>
        <w:spacing w:after="0" w:line="240" w:lineRule="auto"/>
        <w:jc w:val="both"/>
        <w:rPr>
          <w:rFonts w:ascii="Verdana" w:eastAsia="Times New Roman" w:hAnsi="Verdana" w:cs="Times New Roman"/>
          <w:color w:val="FF0000"/>
          <w:lang w:eastAsia="sl-SI"/>
        </w:rPr>
      </w:pPr>
      <w:r w:rsidRPr="00CC4C74">
        <w:rPr>
          <w:rFonts w:ascii="Verdana" w:eastAsia="Times New Roman" w:hAnsi="Verdana" w:cs="Times New Roman"/>
          <w:lang w:eastAsia="sl-SI"/>
        </w:rPr>
        <w:t>Statut Občine Radenci (</w:t>
      </w:r>
      <w:r w:rsidRPr="00CC4C74">
        <w:rPr>
          <w:rFonts w:ascii="Verdana" w:eastAsia="Times New Roman" w:hAnsi="Verdana" w:cs="Tahoma"/>
          <w:lang w:eastAsia="sl-SI"/>
        </w:rPr>
        <w:t xml:space="preserve">Uradno glasilo slovenskih občin, </w:t>
      </w:r>
      <w:proofErr w:type="spellStart"/>
      <w:r w:rsidRPr="00CC4C74">
        <w:rPr>
          <w:rFonts w:ascii="Verdana" w:hAnsi="Verdana" w:cs="Arial"/>
        </w:rPr>
        <w:t>Lex</w:t>
      </w:r>
      <w:proofErr w:type="spellEnd"/>
      <w:r w:rsidRPr="00CC4C74">
        <w:rPr>
          <w:rFonts w:ascii="Verdana" w:hAnsi="Verdana" w:cs="Arial"/>
        </w:rPr>
        <w:t xml:space="preserve"> </w:t>
      </w:r>
      <w:proofErr w:type="spellStart"/>
      <w:r w:rsidRPr="00CC4C74">
        <w:rPr>
          <w:rFonts w:ascii="Verdana" w:hAnsi="Verdana" w:cs="Arial"/>
        </w:rPr>
        <w:t>lokalis</w:t>
      </w:r>
      <w:proofErr w:type="spellEnd"/>
      <w:r w:rsidRPr="00CC4C74">
        <w:rPr>
          <w:rFonts w:ascii="Verdana" w:hAnsi="Verdana" w:cs="Arial"/>
        </w:rPr>
        <w:t>, št. 2/2011, z dne 31. 1. 2011)</w:t>
      </w:r>
      <w:r w:rsidRPr="005F18C0">
        <w:rPr>
          <w:rFonts w:ascii="Verdana" w:eastAsia="Times New Roman" w:hAnsi="Verdana" w:cs="Times New Roman"/>
          <w:color w:val="FF0000"/>
          <w:lang w:eastAsia="sl-SI"/>
        </w:rPr>
        <w:t xml:space="preserve"> </w:t>
      </w:r>
    </w:p>
    <w:p w:rsidR="00426DB5" w:rsidRDefault="00426DB5" w:rsidP="00262B8D">
      <w:pPr>
        <w:spacing w:after="0" w:line="240" w:lineRule="auto"/>
        <w:jc w:val="both"/>
        <w:rPr>
          <w:rFonts w:ascii="Verdana" w:eastAsia="Times New Roman" w:hAnsi="Verdana" w:cs="Times New Roman"/>
          <w:color w:val="FF0000"/>
          <w:lang w:eastAsia="sl-SI"/>
        </w:rPr>
      </w:pPr>
    </w:p>
    <w:p w:rsidR="00262B8D" w:rsidRDefault="00262B8D" w:rsidP="00262B8D">
      <w:pPr>
        <w:spacing w:after="0" w:line="240" w:lineRule="auto"/>
        <w:jc w:val="both"/>
        <w:rPr>
          <w:rFonts w:ascii="Verdana" w:eastAsia="Times New Roman" w:hAnsi="Verdana" w:cs="Times New Roman"/>
          <w:lang w:eastAsia="sl-SI"/>
        </w:rPr>
      </w:pPr>
      <w:r>
        <w:rPr>
          <w:rFonts w:ascii="Verdana" w:eastAsia="Times New Roman" w:hAnsi="Verdana" w:cs="Times New Roman"/>
          <w:lang w:eastAsia="sl-SI"/>
        </w:rPr>
        <w:t>Tabela – izračuni zneskov štipendijo po določilih iz predlaganega pravilnika:</w:t>
      </w:r>
    </w:p>
    <w:p w:rsidR="00262B8D" w:rsidRDefault="00262B8D" w:rsidP="00262B8D">
      <w:pPr>
        <w:spacing w:after="0" w:line="240" w:lineRule="auto"/>
        <w:jc w:val="both"/>
        <w:rPr>
          <w:rFonts w:ascii="Verdana" w:eastAsia="Times New Roman" w:hAnsi="Verdana" w:cs="Arial"/>
          <w:b/>
          <w:lang w:eastAsia="sl-SI"/>
        </w:rPr>
      </w:pPr>
    </w:p>
    <w:tbl>
      <w:tblPr>
        <w:tblW w:w="8034" w:type="dxa"/>
        <w:tblInd w:w="55" w:type="dxa"/>
        <w:tblCellMar>
          <w:left w:w="70" w:type="dxa"/>
          <w:right w:w="70" w:type="dxa"/>
        </w:tblCellMar>
        <w:tblLook w:val="04A0" w:firstRow="1" w:lastRow="0" w:firstColumn="1" w:lastColumn="0" w:noHBand="0" w:noVBand="1"/>
      </w:tblPr>
      <w:tblGrid>
        <w:gridCol w:w="1595"/>
        <w:gridCol w:w="663"/>
        <w:gridCol w:w="160"/>
        <w:gridCol w:w="574"/>
        <w:gridCol w:w="1083"/>
        <w:gridCol w:w="799"/>
        <w:gridCol w:w="1520"/>
        <w:gridCol w:w="425"/>
        <w:gridCol w:w="1215"/>
      </w:tblGrid>
      <w:tr w:rsidR="00262B8D" w:rsidTr="00426DB5">
        <w:trPr>
          <w:trHeight w:val="300"/>
        </w:trPr>
        <w:tc>
          <w:tcPr>
            <w:tcW w:w="4874" w:type="dxa"/>
            <w:gridSpan w:val="6"/>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rPr>
                <w:rFonts w:ascii="Verdana" w:eastAsia="Times New Roman" w:hAnsi="Verdana" w:cs="Calibri"/>
                <w:b/>
                <w:bCs/>
                <w:color w:val="000000"/>
                <w:lang w:eastAsia="sl-SI"/>
              </w:rPr>
            </w:pPr>
            <w:r>
              <w:rPr>
                <w:rFonts w:ascii="Verdana" w:eastAsia="Times New Roman" w:hAnsi="Verdana" w:cs="Calibri"/>
                <w:b/>
                <w:bCs/>
                <w:color w:val="000000"/>
                <w:lang w:eastAsia="sl-SI"/>
              </w:rPr>
              <w:t>IZRAČUN VIŠINE ŠTIPENDIJE (po predlogu pravilnika 2012)</w:t>
            </w:r>
          </w:p>
        </w:tc>
        <w:tc>
          <w:tcPr>
            <w:tcW w:w="1520" w:type="dxa"/>
            <w:tcBorders>
              <w:top w:val="single" w:sz="4" w:space="0" w:color="auto"/>
              <w:left w:val="nil"/>
              <w:bottom w:val="single" w:sz="4" w:space="0" w:color="auto"/>
              <w:right w:val="nil"/>
            </w:tcBorders>
            <w:noWrap/>
            <w:vAlign w:val="bottom"/>
            <w:hideMark/>
          </w:tcPr>
          <w:p w:rsidR="00262B8D" w:rsidRDefault="00262B8D">
            <w:pPr>
              <w:spacing w:after="0"/>
            </w:pPr>
          </w:p>
        </w:tc>
        <w:tc>
          <w:tcPr>
            <w:tcW w:w="1640" w:type="dxa"/>
            <w:gridSpan w:val="2"/>
            <w:tcBorders>
              <w:top w:val="single" w:sz="4" w:space="0" w:color="auto"/>
              <w:left w:val="nil"/>
              <w:bottom w:val="single" w:sz="4" w:space="0" w:color="auto"/>
              <w:right w:val="single" w:sz="4" w:space="0" w:color="auto"/>
            </w:tcBorders>
            <w:noWrap/>
            <w:vAlign w:val="bottom"/>
            <w:hideMark/>
          </w:tcPr>
          <w:p w:rsidR="00262B8D" w:rsidRDefault="00262B8D">
            <w:pPr>
              <w:spacing w:after="0"/>
            </w:pPr>
          </w:p>
        </w:tc>
      </w:tr>
      <w:tr w:rsidR="00426DB5" w:rsidTr="00426DB5">
        <w:trPr>
          <w:trHeight w:val="300"/>
        </w:trPr>
        <w:tc>
          <w:tcPr>
            <w:tcW w:w="1595" w:type="dxa"/>
            <w:tcBorders>
              <w:top w:val="single" w:sz="4" w:space="0" w:color="auto"/>
              <w:left w:val="single" w:sz="4" w:space="0" w:color="auto"/>
              <w:bottom w:val="nil"/>
              <w:right w:val="nil"/>
            </w:tcBorders>
            <w:noWrap/>
            <w:vAlign w:val="bottom"/>
            <w:hideMark/>
          </w:tcPr>
          <w:p w:rsidR="00426DB5" w:rsidRDefault="00426DB5">
            <w:pPr>
              <w:spacing w:after="0"/>
            </w:pPr>
          </w:p>
        </w:tc>
        <w:tc>
          <w:tcPr>
            <w:tcW w:w="823" w:type="dxa"/>
            <w:gridSpan w:val="2"/>
            <w:tcBorders>
              <w:top w:val="single" w:sz="4" w:space="0" w:color="auto"/>
              <w:left w:val="nil"/>
              <w:bottom w:val="nil"/>
              <w:right w:val="nil"/>
            </w:tcBorders>
            <w:noWrap/>
            <w:vAlign w:val="bottom"/>
            <w:hideMark/>
          </w:tcPr>
          <w:p w:rsidR="00426DB5" w:rsidRDefault="00426DB5">
            <w:pPr>
              <w:spacing w:after="0"/>
            </w:pPr>
          </w:p>
        </w:tc>
        <w:tc>
          <w:tcPr>
            <w:tcW w:w="574" w:type="dxa"/>
            <w:tcBorders>
              <w:top w:val="single" w:sz="4" w:space="0" w:color="auto"/>
              <w:left w:val="nil"/>
              <w:bottom w:val="nil"/>
              <w:right w:val="single" w:sz="4" w:space="0" w:color="auto"/>
            </w:tcBorders>
            <w:noWrap/>
            <w:vAlign w:val="bottom"/>
            <w:hideMark/>
          </w:tcPr>
          <w:p w:rsidR="00426DB5" w:rsidRDefault="00426DB5">
            <w:pPr>
              <w:spacing w:after="0"/>
            </w:pPr>
          </w:p>
        </w:tc>
        <w:tc>
          <w:tcPr>
            <w:tcW w:w="1083" w:type="dxa"/>
            <w:tcBorders>
              <w:top w:val="single" w:sz="4" w:space="0" w:color="auto"/>
              <w:left w:val="single" w:sz="4" w:space="0" w:color="auto"/>
              <w:bottom w:val="nil"/>
              <w:right w:val="nil"/>
            </w:tcBorders>
            <w:noWrap/>
            <w:vAlign w:val="bottom"/>
            <w:hideMark/>
          </w:tcPr>
          <w:p w:rsidR="00426DB5" w:rsidRDefault="00426DB5">
            <w:pPr>
              <w:spacing w:after="0"/>
            </w:pPr>
          </w:p>
        </w:tc>
        <w:tc>
          <w:tcPr>
            <w:tcW w:w="799" w:type="dxa"/>
            <w:tcBorders>
              <w:top w:val="single" w:sz="4" w:space="0" w:color="auto"/>
              <w:left w:val="nil"/>
              <w:bottom w:val="nil"/>
              <w:right w:val="single" w:sz="4" w:space="0" w:color="auto"/>
            </w:tcBorders>
            <w:noWrap/>
            <w:vAlign w:val="bottom"/>
            <w:hideMark/>
          </w:tcPr>
          <w:p w:rsidR="00426DB5" w:rsidRDefault="00426DB5">
            <w:pPr>
              <w:spacing w:after="0"/>
            </w:pPr>
          </w:p>
        </w:tc>
        <w:tc>
          <w:tcPr>
            <w:tcW w:w="3160" w:type="dxa"/>
            <w:gridSpan w:val="3"/>
            <w:vMerge w:val="restart"/>
            <w:tcBorders>
              <w:top w:val="single" w:sz="4" w:space="0" w:color="auto"/>
              <w:left w:val="single" w:sz="4" w:space="0" w:color="auto"/>
              <w:right w:val="single" w:sz="4" w:space="0" w:color="auto"/>
            </w:tcBorders>
            <w:noWrap/>
            <w:vAlign w:val="bottom"/>
            <w:hideMark/>
          </w:tcPr>
          <w:p w:rsidR="00426DB5" w:rsidRDefault="00426DB5" w:rsidP="00426DB5">
            <w:pPr>
              <w:spacing w:after="0" w:line="240" w:lineRule="auto"/>
              <w:jc w:val="center"/>
              <w:rPr>
                <w:rFonts w:ascii="Verdana" w:eastAsia="Times New Roman" w:hAnsi="Verdana" w:cs="Calibri"/>
                <w:b/>
                <w:bCs/>
                <w:color w:val="000000"/>
                <w:lang w:eastAsia="sl-SI"/>
              </w:rPr>
            </w:pPr>
            <w:r>
              <w:rPr>
                <w:rFonts w:ascii="Verdana" w:eastAsia="Times New Roman" w:hAnsi="Verdana" w:cs="Calibri"/>
                <w:b/>
                <w:bCs/>
                <w:color w:val="000000"/>
                <w:lang w:eastAsia="sl-SI"/>
              </w:rPr>
              <w:t>ZNESEK</w:t>
            </w:r>
          </w:p>
          <w:p w:rsidR="00426DB5" w:rsidRDefault="00426DB5" w:rsidP="00426DB5">
            <w:pPr>
              <w:spacing w:after="0" w:line="240" w:lineRule="auto"/>
              <w:jc w:val="center"/>
              <w:rPr>
                <w:rFonts w:ascii="Verdana" w:eastAsia="Times New Roman" w:hAnsi="Verdana" w:cs="Calibri"/>
                <w:b/>
                <w:color w:val="000000"/>
                <w:lang w:eastAsia="sl-SI"/>
              </w:rPr>
            </w:pPr>
            <w:r>
              <w:rPr>
                <w:rFonts w:ascii="Verdana" w:eastAsia="Times New Roman" w:hAnsi="Verdana" w:cs="Calibri"/>
                <w:b/>
                <w:color w:val="000000"/>
                <w:lang w:eastAsia="sl-SI"/>
              </w:rPr>
              <w:t>ŠTIPENDIJE</w:t>
            </w:r>
          </w:p>
        </w:tc>
      </w:tr>
      <w:tr w:rsidR="00426DB5" w:rsidTr="00426DB5">
        <w:trPr>
          <w:trHeight w:val="300"/>
        </w:trPr>
        <w:tc>
          <w:tcPr>
            <w:tcW w:w="2992" w:type="dxa"/>
            <w:gridSpan w:val="4"/>
            <w:tcBorders>
              <w:top w:val="nil"/>
              <w:left w:val="single" w:sz="4" w:space="0" w:color="auto"/>
              <w:bottom w:val="nil"/>
              <w:right w:val="single" w:sz="4" w:space="0" w:color="auto"/>
            </w:tcBorders>
            <w:noWrap/>
            <w:vAlign w:val="bottom"/>
            <w:hideMark/>
          </w:tcPr>
          <w:p w:rsidR="00426DB5" w:rsidRDefault="00426DB5" w:rsidP="00426DB5">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minimalna bruto plača:</w:t>
            </w:r>
          </w:p>
        </w:tc>
        <w:tc>
          <w:tcPr>
            <w:tcW w:w="1083" w:type="dxa"/>
            <w:tcBorders>
              <w:left w:val="single" w:sz="4" w:space="0" w:color="auto"/>
            </w:tcBorders>
            <w:noWrap/>
            <w:vAlign w:val="bottom"/>
            <w:hideMark/>
          </w:tcPr>
          <w:p w:rsidR="00426DB5" w:rsidRDefault="00426DB5">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763,06</w:t>
            </w:r>
          </w:p>
        </w:tc>
        <w:tc>
          <w:tcPr>
            <w:tcW w:w="799" w:type="dxa"/>
            <w:tcBorders>
              <w:top w:val="nil"/>
              <w:left w:val="nil"/>
              <w:bottom w:val="nil"/>
              <w:right w:val="single" w:sz="4" w:space="0" w:color="auto"/>
            </w:tcBorders>
            <w:noWrap/>
            <w:vAlign w:val="bottom"/>
            <w:hideMark/>
          </w:tcPr>
          <w:p w:rsidR="00426DB5" w:rsidRDefault="00426DB5">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3160" w:type="dxa"/>
            <w:gridSpan w:val="3"/>
            <w:vMerge/>
            <w:tcBorders>
              <w:left w:val="single" w:sz="4" w:space="0" w:color="auto"/>
              <w:bottom w:val="nil"/>
              <w:right w:val="single" w:sz="4" w:space="0" w:color="auto"/>
            </w:tcBorders>
            <w:noWrap/>
            <w:vAlign w:val="bottom"/>
            <w:hideMark/>
          </w:tcPr>
          <w:p w:rsidR="00426DB5" w:rsidRDefault="00426DB5">
            <w:pPr>
              <w:spacing w:after="0"/>
            </w:pPr>
          </w:p>
        </w:tc>
      </w:tr>
      <w:tr w:rsidR="00262B8D" w:rsidTr="00426DB5">
        <w:trPr>
          <w:trHeight w:val="300"/>
        </w:trPr>
        <w:tc>
          <w:tcPr>
            <w:tcW w:w="2418" w:type="dxa"/>
            <w:gridSpan w:val="3"/>
            <w:tcBorders>
              <w:top w:val="nil"/>
              <w:left w:val="single" w:sz="4" w:space="0" w:color="auto"/>
              <w:bottom w:val="single" w:sz="4" w:space="0" w:color="auto"/>
              <w:right w:val="nil"/>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(od 1. 1. 2012)</w:t>
            </w:r>
          </w:p>
        </w:tc>
        <w:tc>
          <w:tcPr>
            <w:tcW w:w="574" w:type="dxa"/>
            <w:tcBorders>
              <w:top w:val="nil"/>
              <w:left w:val="nil"/>
              <w:bottom w:val="single" w:sz="4" w:space="0" w:color="auto"/>
              <w:right w:val="single" w:sz="4" w:space="0" w:color="auto"/>
            </w:tcBorders>
            <w:noWrap/>
            <w:vAlign w:val="bottom"/>
            <w:hideMark/>
          </w:tcPr>
          <w:p w:rsidR="00262B8D" w:rsidRDefault="00262B8D">
            <w:pPr>
              <w:spacing w:after="0"/>
            </w:pPr>
          </w:p>
        </w:tc>
        <w:tc>
          <w:tcPr>
            <w:tcW w:w="1083" w:type="dxa"/>
            <w:tcBorders>
              <w:top w:val="nil"/>
              <w:left w:val="single" w:sz="4" w:space="0" w:color="auto"/>
              <w:bottom w:val="single" w:sz="4" w:space="0" w:color="auto"/>
              <w:right w:val="nil"/>
            </w:tcBorders>
            <w:noWrap/>
            <w:vAlign w:val="bottom"/>
            <w:hideMark/>
          </w:tcPr>
          <w:p w:rsidR="00262B8D" w:rsidRDefault="00262B8D">
            <w:pPr>
              <w:spacing w:after="0"/>
            </w:pPr>
          </w:p>
        </w:tc>
        <w:tc>
          <w:tcPr>
            <w:tcW w:w="799" w:type="dxa"/>
            <w:tcBorders>
              <w:top w:val="nil"/>
              <w:left w:val="nil"/>
              <w:bottom w:val="single" w:sz="4" w:space="0" w:color="auto"/>
              <w:right w:val="single" w:sz="4" w:space="0" w:color="auto"/>
            </w:tcBorders>
            <w:noWrap/>
            <w:vAlign w:val="bottom"/>
            <w:hideMark/>
          </w:tcPr>
          <w:p w:rsidR="00262B8D" w:rsidRDefault="00262B8D">
            <w:pPr>
              <w:spacing w:after="0"/>
            </w:pPr>
          </w:p>
        </w:tc>
        <w:tc>
          <w:tcPr>
            <w:tcW w:w="1945" w:type="dxa"/>
            <w:gridSpan w:val="2"/>
            <w:tcBorders>
              <w:top w:val="nil"/>
              <w:left w:val="single" w:sz="4" w:space="0" w:color="auto"/>
              <w:bottom w:val="single" w:sz="4" w:space="0" w:color="auto"/>
              <w:right w:val="nil"/>
            </w:tcBorders>
            <w:noWrap/>
            <w:vAlign w:val="bottom"/>
            <w:hideMark/>
          </w:tcPr>
          <w:p w:rsidR="00262B8D" w:rsidRDefault="00262B8D">
            <w:pPr>
              <w:spacing w:after="0"/>
            </w:pPr>
          </w:p>
        </w:tc>
        <w:tc>
          <w:tcPr>
            <w:tcW w:w="1215" w:type="dxa"/>
            <w:tcBorders>
              <w:top w:val="nil"/>
              <w:left w:val="nil"/>
              <w:bottom w:val="single" w:sz="4" w:space="0" w:color="auto"/>
              <w:right w:val="single" w:sz="4" w:space="0" w:color="auto"/>
            </w:tcBorders>
            <w:noWrap/>
            <w:vAlign w:val="bottom"/>
            <w:hideMark/>
          </w:tcPr>
          <w:p w:rsidR="00262B8D" w:rsidRDefault="00262B8D">
            <w:pPr>
              <w:spacing w:after="0"/>
            </w:pPr>
          </w:p>
        </w:tc>
      </w:tr>
      <w:tr w:rsidR="00262B8D" w:rsidTr="00426DB5">
        <w:trPr>
          <w:trHeight w:val="300"/>
        </w:trPr>
        <w:tc>
          <w:tcPr>
            <w:tcW w:w="1595" w:type="dxa"/>
            <w:tcBorders>
              <w:top w:val="single" w:sz="4" w:space="0" w:color="auto"/>
              <w:left w:val="single" w:sz="4" w:space="0" w:color="auto"/>
              <w:bottom w:val="nil"/>
              <w:right w:val="nil"/>
            </w:tcBorders>
            <w:noWrap/>
            <w:vAlign w:val="bottom"/>
            <w:hideMark/>
          </w:tcPr>
          <w:p w:rsidR="00262B8D" w:rsidRDefault="00262B8D">
            <w:pPr>
              <w:spacing w:after="0"/>
            </w:pPr>
          </w:p>
        </w:tc>
        <w:tc>
          <w:tcPr>
            <w:tcW w:w="823" w:type="dxa"/>
            <w:gridSpan w:val="2"/>
            <w:tcBorders>
              <w:top w:val="single" w:sz="4" w:space="0" w:color="auto"/>
              <w:left w:val="nil"/>
              <w:bottom w:val="nil"/>
              <w:right w:val="nil"/>
            </w:tcBorders>
            <w:noWrap/>
            <w:vAlign w:val="bottom"/>
            <w:hideMark/>
          </w:tcPr>
          <w:p w:rsidR="00262B8D" w:rsidRDefault="00262B8D">
            <w:pPr>
              <w:spacing w:after="0"/>
            </w:pPr>
          </w:p>
        </w:tc>
        <w:tc>
          <w:tcPr>
            <w:tcW w:w="574" w:type="dxa"/>
            <w:tcBorders>
              <w:top w:val="single" w:sz="4" w:space="0" w:color="auto"/>
              <w:left w:val="nil"/>
              <w:bottom w:val="nil"/>
              <w:right w:val="single" w:sz="4" w:space="0" w:color="auto"/>
            </w:tcBorders>
            <w:noWrap/>
            <w:vAlign w:val="bottom"/>
            <w:hideMark/>
          </w:tcPr>
          <w:p w:rsidR="00262B8D" w:rsidRDefault="00262B8D">
            <w:pPr>
              <w:spacing w:after="0"/>
            </w:pPr>
          </w:p>
        </w:tc>
        <w:tc>
          <w:tcPr>
            <w:tcW w:w="1083" w:type="dxa"/>
            <w:tcBorders>
              <w:top w:val="single" w:sz="4" w:space="0" w:color="auto"/>
              <w:left w:val="single" w:sz="4" w:space="0" w:color="auto"/>
              <w:bottom w:val="nil"/>
              <w:right w:val="nil"/>
            </w:tcBorders>
            <w:noWrap/>
            <w:vAlign w:val="bottom"/>
            <w:hideMark/>
          </w:tcPr>
          <w:p w:rsidR="00262B8D" w:rsidRDefault="00262B8D">
            <w:pPr>
              <w:spacing w:after="0"/>
            </w:pPr>
          </w:p>
        </w:tc>
        <w:tc>
          <w:tcPr>
            <w:tcW w:w="799" w:type="dxa"/>
            <w:tcBorders>
              <w:top w:val="single" w:sz="4" w:space="0" w:color="auto"/>
              <w:left w:val="nil"/>
              <w:bottom w:val="nil"/>
              <w:right w:val="single" w:sz="4" w:space="0" w:color="auto"/>
            </w:tcBorders>
            <w:noWrap/>
            <w:vAlign w:val="bottom"/>
            <w:hideMark/>
          </w:tcPr>
          <w:p w:rsidR="00262B8D" w:rsidRDefault="00262B8D">
            <w:pPr>
              <w:spacing w:after="0"/>
            </w:pPr>
          </w:p>
        </w:tc>
        <w:tc>
          <w:tcPr>
            <w:tcW w:w="1945" w:type="dxa"/>
            <w:gridSpan w:val="2"/>
            <w:tcBorders>
              <w:top w:val="single" w:sz="4" w:space="0" w:color="auto"/>
              <w:left w:val="single" w:sz="4" w:space="0" w:color="auto"/>
              <w:bottom w:val="nil"/>
              <w:right w:val="nil"/>
            </w:tcBorders>
            <w:noWrap/>
            <w:vAlign w:val="bottom"/>
            <w:hideMark/>
          </w:tcPr>
          <w:p w:rsidR="00262B8D" w:rsidRDefault="00262B8D">
            <w:pPr>
              <w:spacing w:after="0"/>
            </w:pPr>
          </w:p>
        </w:tc>
        <w:tc>
          <w:tcPr>
            <w:tcW w:w="1215" w:type="dxa"/>
            <w:tcBorders>
              <w:top w:val="single" w:sz="4" w:space="0" w:color="auto"/>
              <w:left w:val="nil"/>
              <w:bottom w:val="nil"/>
              <w:right w:val="single" w:sz="4" w:space="0" w:color="auto"/>
            </w:tcBorders>
            <w:noWrap/>
            <w:vAlign w:val="bottom"/>
            <w:hideMark/>
          </w:tcPr>
          <w:p w:rsidR="00262B8D" w:rsidRDefault="00262B8D">
            <w:pPr>
              <w:spacing w:after="0"/>
            </w:pPr>
          </w:p>
        </w:tc>
      </w:tr>
      <w:tr w:rsidR="00262B8D" w:rsidTr="00426DB5">
        <w:trPr>
          <w:trHeight w:val="300"/>
        </w:trPr>
        <w:tc>
          <w:tcPr>
            <w:tcW w:w="1595" w:type="dxa"/>
            <w:tcBorders>
              <w:top w:val="nil"/>
              <w:left w:val="single" w:sz="4" w:space="0" w:color="auto"/>
              <w:bottom w:val="single" w:sz="4" w:space="0" w:color="auto"/>
              <w:right w:val="nil"/>
            </w:tcBorders>
            <w:noWrap/>
            <w:vAlign w:val="bottom"/>
            <w:hideMark/>
          </w:tcPr>
          <w:p w:rsidR="00262B8D" w:rsidRDefault="00262B8D">
            <w:pPr>
              <w:spacing w:after="0" w:line="240" w:lineRule="auto"/>
              <w:rPr>
                <w:rFonts w:ascii="Verdana" w:eastAsia="Times New Roman" w:hAnsi="Verdana" w:cs="Calibri"/>
                <w:b/>
                <w:bCs/>
                <w:color w:val="000000"/>
                <w:lang w:eastAsia="sl-SI"/>
              </w:rPr>
            </w:pPr>
            <w:r>
              <w:rPr>
                <w:rFonts w:ascii="Verdana" w:eastAsia="Times New Roman" w:hAnsi="Verdana" w:cs="Calibri"/>
                <w:b/>
                <w:bCs/>
                <w:color w:val="000000"/>
                <w:lang w:eastAsia="sl-SI"/>
              </w:rPr>
              <w:t>osnova :</w:t>
            </w:r>
          </w:p>
        </w:tc>
        <w:tc>
          <w:tcPr>
            <w:tcW w:w="823" w:type="dxa"/>
            <w:gridSpan w:val="2"/>
            <w:tcBorders>
              <w:top w:val="nil"/>
              <w:left w:val="nil"/>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25%</w:t>
            </w:r>
          </w:p>
        </w:tc>
        <w:tc>
          <w:tcPr>
            <w:tcW w:w="574" w:type="dxa"/>
            <w:tcBorders>
              <w:top w:val="nil"/>
              <w:left w:val="nil"/>
              <w:bottom w:val="single" w:sz="4" w:space="0" w:color="auto"/>
              <w:right w:val="single" w:sz="4" w:space="0" w:color="auto"/>
            </w:tcBorders>
            <w:noWrap/>
            <w:vAlign w:val="bottom"/>
            <w:hideMark/>
          </w:tcPr>
          <w:p w:rsidR="00262B8D" w:rsidRDefault="00262B8D">
            <w:pPr>
              <w:spacing w:after="0"/>
            </w:pPr>
          </w:p>
        </w:tc>
        <w:tc>
          <w:tcPr>
            <w:tcW w:w="1083" w:type="dxa"/>
            <w:tcBorders>
              <w:top w:val="nil"/>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190,765</w:t>
            </w:r>
          </w:p>
        </w:tc>
        <w:tc>
          <w:tcPr>
            <w:tcW w:w="799" w:type="dxa"/>
            <w:tcBorders>
              <w:top w:val="nil"/>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1945" w:type="dxa"/>
            <w:gridSpan w:val="2"/>
            <w:tcBorders>
              <w:top w:val="nil"/>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190,765</w:t>
            </w:r>
          </w:p>
        </w:tc>
        <w:tc>
          <w:tcPr>
            <w:tcW w:w="1215" w:type="dxa"/>
            <w:tcBorders>
              <w:top w:val="nil"/>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r>
      <w:tr w:rsidR="00262B8D" w:rsidTr="00426DB5">
        <w:trPr>
          <w:trHeight w:val="300"/>
        </w:trPr>
        <w:tc>
          <w:tcPr>
            <w:tcW w:w="1595" w:type="dxa"/>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rPr>
                <w:rFonts w:ascii="Verdana" w:eastAsia="Times New Roman" w:hAnsi="Verdana" w:cs="Calibri"/>
                <w:b/>
                <w:bCs/>
                <w:color w:val="000000"/>
                <w:lang w:eastAsia="sl-SI"/>
              </w:rPr>
            </w:pPr>
            <w:r>
              <w:rPr>
                <w:rFonts w:ascii="Verdana" w:eastAsia="Times New Roman" w:hAnsi="Verdana" w:cs="Calibri"/>
                <w:b/>
                <w:bCs/>
                <w:color w:val="000000"/>
                <w:lang w:eastAsia="sl-SI"/>
              </w:rPr>
              <w:t>dodatki:</w:t>
            </w:r>
          </w:p>
        </w:tc>
        <w:tc>
          <w:tcPr>
            <w:tcW w:w="823" w:type="dxa"/>
            <w:gridSpan w:val="2"/>
            <w:tcBorders>
              <w:top w:val="single" w:sz="4" w:space="0" w:color="auto"/>
              <w:left w:val="nil"/>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0%</w:t>
            </w:r>
          </w:p>
        </w:tc>
        <w:tc>
          <w:tcPr>
            <w:tcW w:w="574" w:type="dxa"/>
            <w:tcBorders>
              <w:top w:val="single" w:sz="4" w:space="0" w:color="auto"/>
              <w:left w:val="nil"/>
              <w:bottom w:val="single" w:sz="4" w:space="0" w:color="auto"/>
              <w:right w:val="single" w:sz="4" w:space="0" w:color="auto"/>
            </w:tcBorders>
            <w:noWrap/>
            <w:vAlign w:val="bottom"/>
            <w:hideMark/>
          </w:tcPr>
          <w:p w:rsidR="00262B8D" w:rsidRDefault="00262B8D">
            <w:pPr>
              <w:spacing w:after="0"/>
            </w:pPr>
          </w:p>
        </w:tc>
        <w:tc>
          <w:tcPr>
            <w:tcW w:w="1083" w:type="dxa"/>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0</w:t>
            </w:r>
          </w:p>
        </w:tc>
        <w:tc>
          <w:tcPr>
            <w:tcW w:w="799"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1945" w:type="dxa"/>
            <w:gridSpan w:val="2"/>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190,765</w:t>
            </w:r>
          </w:p>
        </w:tc>
        <w:tc>
          <w:tcPr>
            <w:tcW w:w="1215"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r>
      <w:tr w:rsidR="00262B8D" w:rsidTr="00426DB5">
        <w:trPr>
          <w:trHeight w:val="300"/>
        </w:trPr>
        <w:tc>
          <w:tcPr>
            <w:tcW w:w="1595" w:type="dxa"/>
            <w:tcBorders>
              <w:top w:val="single" w:sz="4" w:space="0" w:color="auto"/>
              <w:left w:val="single" w:sz="4" w:space="0" w:color="auto"/>
              <w:bottom w:val="single" w:sz="4" w:space="0" w:color="auto"/>
              <w:right w:val="nil"/>
            </w:tcBorders>
            <w:noWrap/>
            <w:vAlign w:val="bottom"/>
            <w:hideMark/>
          </w:tcPr>
          <w:p w:rsidR="00262B8D" w:rsidRDefault="00262B8D">
            <w:pPr>
              <w:spacing w:after="0"/>
            </w:pPr>
          </w:p>
        </w:tc>
        <w:tc>
          <w:tcPr>
            <w:tcW w:w="823" w:type="dxa"/>
            <w:gridSpan w:val="2"/>
            <w:tcBorders>
              <w:top w:val="single" w:sz="4" w:space="0" w:color="auto"/>
              <w:left w:val="nil"/>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5%</w:t>
            </w:r>
          </w:p>
        </w:tc>
        <w:tc>
          <w:tcPr>
            <w:tcW w:w="574" w:type="dxa"/>
            <w:tcBorders>
              <w:top w:val="single" w:sz="4" w:space="0" w:color="auto"/>
              <w:left w:val="nil"/>
              <w:bottom w:val="single" w:sz="4" w:space="0" w:color="auto"/>
              <w:right w:val="single" w:sz="4" w:space="0" w:color="auto"/>
            </w:tcBorders>
            <w:noWrap/>
            <w:vAlign w:val="bottom"/>
            <w:hideMark/>
          </w:tcPr>
          <w:p w:rsidR="00262B8D" w:rsidRDefault="00262B8D">
            <w:pPr>
              <w:spacing w:after="0"/>
            </w:pPr>
          </w:p>
        </w:tc>
        <w:tc>
          <w:tcPr>
            <w:tcW w:w="1083" w:type="dxa"/>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38,153</w:t>
            </w:r>
          </w:p>
        </w:tc>
        <w:tc>
          <w:tcPr>
            <w:tcW w:w="799"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1945" w:type="dxa"/>
            <w:gridSpan w:val="2"/>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228,918</w:t>
            </w:r>
          </w:p>
        </w:tc>
        <w:tc>
          <w:tcPr>
            <w:tcW w:w="1215"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r>
      <w:tr w:rsidR="00262B8D" w:rsidTr="00426DB5">
        <w:trPr>
          <w:trHeight w:val="300"/>
        </w:trPr>
        <w:tc>
          <w:tcPr>
            <w:tcW w:w="1595" w:type="dxa"/>
            <w:tcBorders>
              <w:top w:val="single" w:sz="4" w:space="0" w:color="auto"/>
              <w:left w:val="single" w:sz="4" w:space="0" w:color="auto"/>
              <w:bottom w:val="single" w:sz="4" w:space="0" w:color="auto"/>
              <w:right w:val="nil"/>
            </w:tcBorders>
            <w:noWrap/>
            <w:vAlign w:val="bottom"/>
            <w:hideMark/>
          </w:tcPr>
          <w:p w:rsidR="00262B8D" w:rsidRDefault="00262B8D">
            <w:pPr>
              <w:spacing w:after="0"/>
            </w:pPr>
          </w:p>
        </w:tc>
        <w:tc>
          <w:tcPr>
            <w:tcW w:w="823" w:type="dxa"/>
            <w:gridSpan w:val="2"/>
            <w:tcBorders>
              <w:top w:val="single" w:sz="4" w:space="0" w:color="auto"/>
              <w:left w:val="nil"/>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10%</w:t>
            </w:r>
          </w:p>
        </w:tc>
        <w:tc>
          <w:tcPr>
            <w:tcW w:w="574" w:type="dxa"/>
            <w:tcBorders>
              <w:top w:val="single" w:sz="4" w:space="0" w:color="auto"/>
              <w:left w:val="nil"/>
              <w:bottom w:val="single" w:sz="4" w:space="0" w:color="auto"/>
              <w:right w:val="single" w:sz="4" w:space="0" w:color="auto"/>
            </w:tcBorders>
            <w:noWrap/>
            <w:vAlign w:val="bottom"/>
            <w:hideMark/>
          </w:tcPr>
          <w:p w:rsidR="00262B8D" w:rsidRDefault="00262B8D">
            <w:pPr>
              <w:spacing w:after="0"/>
            </w:pPr>
          </w:p>
        </w:tc>
        <w:tc>
          <w:tcPr>
            <w:tcW w:w="1083" w:type="dxa"/>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76,306</w:t>
            </w:r>
          </w:p>
        </w:tc>
        <w:tc>
          <w:tcPr>
            <w:tcW w:w="799"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1945" w:type="dxa"/>
            <w:gridSpan w:val="2"/>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267,071</w:t>
            </w:r>
          </w:p>
        </w:tc>
        <w:tc>
          <w:tcPr>
            <w:tcW w:w="1215"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r>
      <w:tr w:rsidR="00262B8D" w:rsidTr="00426DB5">
        <w:trPr>
          <w:trHeight w:val="300"/>
        </w:trPr>
        <w:tc>
          <w:tcPr>
            <w:tcW w:w="1595" w:type="dxa"/>
            <w:tcBorders>
              <w:top w:val="single" w:sz="4" w:space="0" w:color="auto"/>
              <w:left w:val="single" w:sz="4" w:space="0" w:color="auto"/>
              <w:bottom w:val="single" w:sz="4" w:space="0" w:color="auto"/>
              <w:right w:val="nil"/>
            </w:tcBorders>
            <w:noWrap/>
            <w:vAlign w:val="bottom"/>
            <w:hideMark/>
          </w:tcPr>
          <w:p w:rsidR="00262B8D" w:rsidRDefault="00262B8D">
            <w:pPr>
              <w:spacing w:after="0"/>
            </w:pPr>
          </w:p>
        </w:tc>
        <w:tc>
          <w:tcPr>
            <w:tcW w:w="823" w:type="dxa"/>
            <w:gridSpan w:val="2"/>
            <w:tcBorders>
              <w:top w:val="single" w:sz="4" w:space="0" w:color="auto"/>
              <w:left w:val="nil"/>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15%</w:t>
            </w:r>
          </w:p>
        </w:tc>
        <w:tc>
          <w:tcPr>
            <w:tcW w:w="574" w:type="dxa"/>
            <w:tcBorders>
              <w:top w:val="single" w:sz="4" w:space="0" w:color="auto"/>
              <w:left w:val="nil"/>
              <w:bottom w:val="single" w:sz="4" w:space="0" w:color="auto"/>
              <w:right w:val="single" w:sz="4" w:space="0" w:color="auto"/>
            </w:tcBorders>
            <w:noWrap/>
            <w:vAlign w:val="bottom"/>
            <w:hideMark/>
          </w:tcPr>
          <w:p w:rsidR="00262B8D" w:rsidRDefault="00262B8D">
            <w:pPr>
              <w:spacing w:after="0"/>
            </w:pPr>
          </w:p>
        </w:tc>
        <w:tc>
          <w:tcPr>
            <w:tcW w:w="1083" w:type="dxa"/>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114,459</w:t>
            </w:r>
          </w:p>
        </w:tc>
        <w:tc>
          <w:tcPr>
            <w:tcW w:w="799"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c>
          <w:tcPr>
            <w:tcW w:w="1945" w:type="dxa"/>
            <w:gridSpan w:val="2"/>
            <w:tcBorders>
              <w:top w:val="single" w:sz="4" w:space="0" w:color="auto"/>
              <w:left w:val="single" w:sz="4" w:space="0" w:color="auto"/>
              <w:bottom w:val="single" w:sz="4" w:space="0" w:color="auto"/>
              <w:right w:val="nil"/>
            </w:tcBorders>
            <w:noWrap/>
            <w:vAlign w:val="bottom"/>
            <w:hideMark/>
          </w:tcPr>
          <w:p w:rsidR="00262B8D" w:rsidRDefault="00262B8D">
            <w:pPr>
              <w:spacing w:after="0" w:line="240" w:lineRule="auto"/>
              <w:jc w:val="right"/>
              <w:rPr>
                <w:rFonts w:ascii="Verdana" w:eastAsia="Times New Roman" w:hAnsi="Verdana" w:cs="Calibri"/>
                <w:color w:val="000000"/>
                <w:lang w:eastAsia="sl-SI"/>
              </w:rPr>
            </w:pPr>
            <w:r>
              <w:rPr>
                <w:rFonts w:ascii="Verdana" w:eastAsia="Times New Roman" w:hAnsi="Verdana" w:cs="Calibri"/>
                <w:color w:val="000000"/>
                <w:lang w:eastAsia="sl-SI"/>
              </w:rPr>
              <w:t>305,224</w:t>
            </w:r>
          </w:p>
        </w:tc>
        <w:tc>
          <w:tcPr>
            <w:tcW w:w="1215" w:type="dxa"/>
            <w:tcBorders>
              <w:top w:val="single" w:sz="4" w:space="0" w:color="auto"/>
              <w:left w:val="nil"/>
              <w:bottom w:val="single" w:sz="4" w:space="0" w:color="auto"/>
              <w:right w:val="single" w:sz="4" w:space="0" w:color="auto"/>
            </w:tcBorders>
            <w:noWrap/>
            <w:vAlign w:val="bottom"/>
            <w:hideMark/>
          </w:tcPr>
          <w:p w:rsidR="00262B8D" w:rsidRDefault="00262B8D">
            <w:pPr>
              <w:spacing w:after="0" w:line="240" w:lineRule="auto"/>
              <w:rPr>
                <w:rFonts w:ascii="Verdana" w:eastAsia="Times New Roman" w:hAnsi="Verdana" w:cs="Calibri"/>
                <w:color w:val="000000"/>
                <w:lang w:eastAsia="sl-SI"/>
              </w:rPr>
            </w:pPr>
            <w:r>
              <w:rPr>
                <w:rFonts w:ascii="Verdana" w:eastAsia="Times New Roman" w:hAnsi="Verdana" w:cs="Calibri"/>
                <w:color w:val="000000"/>
                <w:lang w:eastAsia="sl-SI"/>
              </w:rPr>
              <w:t>EUR</w:t>
            </w:r>
          </w:p>
        </w:tc>
      </w:tr>
      <w:tr w:rsidR="00262B8D" w:rsidTr="00426DB5">
        <w:trPr>
          <w:trHeight w:val="300"/>
        </w:trPr>
        <w:tc>
          <w:tcPr>
            <w:tcW w:w="2258" w:type="dxa"/>
            <w:gridSpan w:val="2"/>
            <w:tcBorders>
              <w:top w:val="single" w:sz="4" w:space="0" w:color="auto"/>
              <w:left w:val="nil"/>
              <w:bottom w:val="nil"/>
              <w:right w:val="nil"/>
            </w:tcBorders>
            <w:noWrap/>
            <w:vAlign w:val="bottom"/>
          </w:tcPr>
          <w:p w:rsidR="00262B8D" w:rsidRDefault="00262B8D">
            <w:pPr>
              <w:spacing w:after="0" w:line="240" w:lineRule="auto"/>
              <w:rPr>
                <w:rFonts w:ascii="Verdana" w:eastAsia="Times New Roman" w:hAnsi="Verdana" w:cs="Calibri"/>
                <w:color w:val="000000"/>
                <w:lang w:eastAsia="sl-SI"/>
              </w:rPr>
            </w:pPr>
          </w:p>
        </w:tc>
        <w:tc>
          <w:tcPr>
            <w:tcW w:w="160" w:type="dxa"/>
            <w:tcBorders>
              <w:top w:val="single" w:sz="4" w:space="0" w:color="auto"/>
              <w:left w:val="nil"/>
              <w:bottom w:val="nil"/>
              <w:right w:val="nil"/>
            </w:tcBorders>
            <w:noWrap/>
            <w:vAlign w:val="bottom"/>
            <w:hideMark/>
          </w:tcPr>
          <w:p w:rsidR="00262B8D" w:rsidRDefault="00262B8D">
            <w:pPr>
              <w:spacing w:after="0"/>
            </w:pPr>
          </w:p>
        </w:tc>
        <w:tc>
          <w:tcPr>
            <w:tcW w:w="574" w:type="dxa"/>
            <w:tcBorders>
              <w:top w:val="single" w:sz="4" w:space="0" w:color="auto"/>
              <w:left w:val="nil"/>
              <w:bottom w:val="nil"/>
              <w:right w:val="nil"/>
            </w:tcBorders>
            <w:noWrap/>
            <w:vAlign w:val="bottom"/>
            <w:hideMark/>
          </w:tcPr>
          <w:p w:rsidR="00262B8D" w:rsidRDefault="00262B8D">
            <w:pPr>
              <w:spacing w:after="0"/>
            </w:pPr>
          </w:p>
        </w:tc>
        <w:tc>
          <w:tcPr>
            <w:tcW w:w="1083" w:type="dxa"/>
            <w:tcBorders>
              <w:top w:val="single" w:sz="4" w:space="0" w:color="auto"/>
              <w:left w:val="nil"/>
              <w:bottom w:val="nil"/>
              <w:right w:val="nil"/>
            </w:tcBorders>
            <w:noWrap/>
            <w:vAlign w:val="bottom"/>
            <w:hideMark/>
          </w:tcPr>
          <w:p w:rsidR="00262B8D" w:rsidRDefault="00262B8D">
            <w:pPr>
              <w:spacing w:after="0"/>
            </w:pPr>
          </w:p>
        </w:tc>
        <w:tc>
          <w:tcPr>
            <w:tcW w:w="799" w:type="dxa"/>
            <w:tcBorders>
              <w:top w:val="single" w:sz="4" w:space="0" w:color="auto"/>
              <w:left w:val="nil"/>
              <w:bottom w:val="nil"/>
              <w:right w:val="nil"/>
            </w:tcBorders>
            <w:noWrap/>
            <w:vAlign w:val="bottom"/>
            <w:hideMark/>
          </w:tcPr>
          <w:p w:rsidR="00262B8D" w:rsidRDefault="00262B8D">
            <w:pPr>
              <w:spacing w:after="0"/>
            </w:pPr>
          </w:p>
        </w:tc>
        <w:tc>
          <w:tcPr>
            <w:tcW w:w="1945" w:type="dxa"/>
            <w:gridSpan w:val="2"/>
            <w:tcBorders>
              <w:top w:val="single" w:sz="4" w:space="0" w:color="auto"/>
              <w:left w:val="nil"/>
              <w:bottom w:val="nil"/>
              <w:right w:val="nil"/>
            </w:tcBorders>
            <w:noWrap/>
            <w:vAlign w:val="bottom"/>
            <w:hideMark/>
          </w:tcPr>
          <w:p w:rsidR="00262B8D" w:rsidRDefault="00262B8D">
            <w:pPr>
              <w:spacing w:after="0"/>
            </w:pPr>
          </w:p>
        </w:tc>
        <w:tc>
          <w:tcPr>
            <w:tcW w:w="1215" w:type="dxa"/>
            <w:tcBorders>
              <w:top w:val="single" w:sz="4" w:space="0" w:color="auto"/>
              <w:left w:val="nil"/>
              <w:bottom w:val="nil"/>
              <w:right w:val="nil"/>
            </w:tcBorders>
            <w:noWrap/>
            <w:vAlign w:val="bottom"/>
            <w:hideMark/>
          </w:tcPr>
          <w:p w:rsidR="00262B8D" w:rsidRDefault="00262B8D">
            <w:pPr>
              <w:spacing w:after="0"/>
            </w:pPr>
          </w:p>
        </w:tc>
      </w:tr>
    </w:tbl>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*dodatki se ocenijo na podlagi povprečne ocene, ki jo je študent/</w:t>
      </w:r>
      <w:proofErr w:type="spellStart"/>
      <w:r>
        <w:rPr>
          <w:rFonts w:ascii="Verdana" w:eastAsia="Times New Roman" w:hAnsi="Verdana" w:cs="Arial"/>
          <w:lang w:eastAsia="sl-SI"/>
        </w:rPr>
        <w:t>ka</w:t>
      </w:r>
      <w:proofErr w:type="spellEnd"/>
      <w:r>
        <w:rPr>
          <w:rFonts w:ascii="Verdana" w:eastAsia="Times New Roman" w:hAnsi="Verdana" w:cs="Arial"/>
          <w:lang w:eastAsia="sl-SI"/>
        </w:rPr>
        <w:t xml:space="preserve"> osvojil/la v preteklem študijskem letu.</w:t>
      </w:r>
    </w:p>
    <w:p w:rsidR="00262B8D" w:rsidRDefault="00262B8D" w:rsidP="00262B8D">
      <w:pPr>
        <w:pStyle w:val="Odstavekseznama"/>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Članice Odbora za družbene dejavnosti  predlagajo, da Občinski svet predlog  pravilnika obravnava, dopolni, spremeni ali ga v predlagani vsebini po skrajšanem postopku potrdi.  </w:t>
      </w:r>
    </w:p>
    <w:p w:rsidR="00262B8D" w:rsidRDefault="00262B8D" w:rsidP="00262B8D">
      <w:pPr>
        <w:spacing w:after="0" w:line="240" w:lineRule="auto"/>
        <w:jc w:val="both"/>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b/>
          <w:u w:val="single"/>
          <w:lang w:eastAsia="sl-SI"/>
        </w:rPr>
      </w:pPr>
      <w:r>
        <w:rPr>
          <w:rFonts w:ascii="Verdana" w:eastAsia="Times New Roman" w:hAnsi="Verdana" w:cs="Arial"/>
          <w:b/>
          <w:u w:val="single"/>
          <w:lang w:eastAsia="sl-SI"/>
        </w:rPr>
        <w:t>PREDLOG SKLEPA:</w:t>
      </w:r>
    </w:p>
    <w:p w:rsidR="00262B8D" w:rsidRDefault="00262B8D" w:rsidP="00262B8D">
      <w:pPr>
        <w:keepNext/>
        <w:spacing w:after="0" w:line="240" w:lineRule="auto"/>
        <w:jc w:val="both"/>
        <w:outlineLvl w:val="0"/>
        <w:rPr>
          <w:rFonts w:ascii="Verdana" w:eastAsia="Times New Roman" w:hAnsi="Verdana" w:cs="Arial"/>
          <w:b/>
          <w:lang w:eastAsia="sl-SI"/>
        </w:rPr>
      </w:pPr>
      <w:r>
        <w:rPr>
          <w:rFonts w:ascii="Verdana" w:eastAsia="Times New Roman" w:hAnsi="Verdana" w:cs="Arial"/>
          <w:b/>
          <w:lang w:eastAsia="sl-SI"/>
        </w:rPr>
        <w:t xml:space="preserve">Občinski svet Občine Radenci potrjuje predlog Pravilnika o  štipendiranju študentov v Občini Radenci po skrajšanem postopku. </w:t>
      </w:r>
    </w:p>
    <w:p w:rsidR="00262B8D" w:rsidRDefault="00262B8D" w:rsidP="00262B8D">
      <w:pPr>
        <w:spacing w:after="0" w:line="240" w:lineRule="auto"/>
        <w:rPr>
          <w:rFonts w:ascii="Verdana" w:eastAsia="Times New Roman" w:hAnsi="Verdana" w:cs="Arial"/>
          <w:lang w:eastAsia="sl-SI"/>
        </w:rPr>
      </w:pP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Pripravila:</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Vera SEVER, družbene dejavnosti</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Občinska uprava Občine Radenci</w:t>
      </w:r>
    </w:p>
    <w:p w:rsidR="00262B8D" w:rsidRDefault="00262B8D" w:rsidP="00262B8D">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ŽUPAN OBČINE RADENCI</w:t>
      </w:r>
    </w:p>
    <w:p w:rsidR="001D43E0" w:rsidRPr="00426DB5" w:rsidRDefault="00262B8D" w:rsidP="00426DB5">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Janez RIHTARIČ</w:t>
      </w:r>
    </w:p>
    <w:sectPr w:rsidR="001D43E0" w:rsidRPr="00426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B47"/>
    <w:multiLevelType w:val="hybridMultilevel"/>
    <w:tmpl w:val="0B68EEAC"/>
    <w:lvl w:ilvl="0" w:tplc="D9E6FC42">
      <w:start w:val="2"/>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29735123"/>
    <w:multiLevelType w:val="hybridMultilevel"/>
    <w:tmpl w:val="E48458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62CA39F6"/>
    <w:multiLevelType w:val="hybridMultilevel"/>
    <w:tmpl w:val="192E79AC"/>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79811D85"/>
    <w:multiLevelType w:val="hybridMultilevel"/>
    <w:tmpl w:val="85DE257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36"/>
    <w:rsid w:val="001D43E0"/>
    <w:rsid w:val="00262B8D"/>
    <w:rsid w:val="00273A1A"/>
    <w:rsid w:val="00426DB5"/>
    <w:rsid w:val="005F18C0"/>
    <w:rsid w:val="006F23CE"/>
    <w:rsid w:val="00C52536"/>
    <w:rsid w:val="00CC4C74"/>
    <w:rsid w:val="00D102BB"/>
    <w:rsid w:val="00EC6AE1"/>
    <w:rsid w:val="00FB2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2B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2B8D"/>
    <w:pPr>
      <w:ind w:left="720"/>
      <w:contextualSpacing/>
    </w:pPr>
  </w:style>
  <w:style w:type="paragraph" w:customStyle="1" w:styleId="Default">
    <w:name w:val="Default"/>
    <w:rsid w:val="00262B8D"/>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iPriority w:val="99"/>
    <w:semiHidden/>
    <w:unhideWhenUsed/>
    <w:rsid w:val="00262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2B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2B8D"/>
    <w:pPr>
      <w:ind w:left="720"/>
      <w:contextualSpacing/>
    </w:pPr>
  </w:style>
  <w:style w:type="paragraph" w:customStyle="1" w:styleId="Default">
    <w:name w:val="Default"/>
    <w:rsid w:val="00262B8D"/>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iPriority w:val="99"/>
    <w:semiHidden/>
    <w:unhideWhenUsed/>
    <w:rsid w:val="00262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40&amp;stevilka=1924" TargetMode="External"/><Relationship Id="rId13" Type="http://schemas.openxmlformats.org/officeDocument/2006/relationships/hyperlink" Target="http://www.uradni-list.si/1/objava.jsp?urlid=201140&amp;stevilka=1910" TargetMode="External"/><Relationship Id="rId3" Type="http://schemas.microsoft.com/office/2007/relationships/stylesWithEffects" Target="stylesWithEffects.xml"/><Relationship Id="rId7" Type="http://schemas.openxmlformats.org/officeDocument/2006/relationships/hyperlink" Target="http://www.uradni-list.si/1/objava.jsp?urlurid=20073462" TargetMode="External"/><Relationship Id="rId12" Type="http://schemas.openxmlformats.org/officeDocument/2006/relationships/hyperlink" Target="http://www.uradni-list.si/1/objava.jsp?urlid=200940&amp;stevilka=1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59&amp;stevilka=3157" TargetMode="External"/><Relationship Id="rId11" Type="http://schemas.openxmlformats.org/officeDocument/2006/relationships/hyperlink" Target="http://www.uradni-list.si/1/objava.jsp?urlurid=200734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id=200759&amp;stevilka=3157" TargetMode="External"/><Relationship Id="rId4" Type="http://schemas.openxmlformats.org/officeDocument/2006/relationships/settings" Target="settings.xml"/><Relationship Id="rId9" Type="http://schemas.openxmlformats.org/officeDocument/2006/relationships/hyperlink" Target="http://www.uradni-list.si/1/objava.jsp?urlid=201140&amp;stevilka=191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2084</Words>
  <Characters>11881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Podzupan</dc:creator>
  <cp:lastModifiedBy>Zdenka ZADRAVEC</cp:lastModifiedBy>
  <cp:revision>3</cp:revision>
  <cp:lastPrinted>2012-10-09T06:26:00Z</cp:lastPrinted>
  <dcterms:created xsi:type="dcterms:W3CDTF">2012-10-04T10:31:00Z</dcterms:created>
  <dcterms:modified xsi:type="dcterms:W3CDTF">2012-10-09T06:32:00Z</dcterms:modified>
</cp:coreProperties>
</file>