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A" w:rsidRDefault="00EB426A" w:rsidP="00EB426A">
      <w:pPr>
        <w:pStyle w:val="Brezrazmikov"/>
        <w:rPr>
          <w:rFonts w:ascii="Verdana" w:hAnsi="Verdana"/>
        </w:rPr>
      </w:pPr>
      <w:r>
        <w:rPr>
          <w:rFonts w:ascii="Verdana" w:hAnsi="Verdana"/>
        </w:rPr>
        <w:t xml:space="preserve">OBČINA RADENCI                                                                             </w:t>
      </w:r>
      <w:r w:rsidRPr="003F7CAD">
        <w:rPr>
          <w:rFonts w:ascii="Verdana" w:hAnsi="Verdana"/>
        </w:rPr>
        <w:t>PREDLOG</w:t>
      </w:r>
    </w:p>
    <w:p w:rsidR="003957FE" w:rsidRPr="003F7CAD" w:rsidRDefault="003957FE" w:rsidP="00EB426A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>OBČINSKI SVET</w:t>
      </w:r>
    </w:p>
    <w:p w:rsidR="003957FE" w:rsidRPr="003F7CAD" w:rsidRDefault="003957FE" w:rsidP="003957FE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26"/>
        <w:gridCol w:w="14"/>
      </w:tblGrid>
      <w:tr w:rsidR="003F7CAD" w:rsidRPr="003F7CAD" w:rsidTr="00E14081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Na podlagi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. člena </w:t>
            </w:r>
            <w:hyperlink r:id="rId5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Zakon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a o stvarnem premoženju države</w:t>
              </w:r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 in 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samoupravnih lokalnih skupnosti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 xml:space="preserve"> (Ur. list RS št. 86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2010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), </w:t>
            </w:r>
            <w:proofErr w:type="spellStart"/>
            <w:r w:rsidR="003C61BE" w:rsidRPr="003F7CAD">
              <w:rPr>
                <w:rFonts w:ascii="Verdana" w:eastAsia="Times New Roman" w:hAnsi="Verdana" w:cs="Tahoma"/>
                <w:lang w:eastAsia="sl-SI"/>
              </w:rPr>
              <w:t>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.člena</w:t>
            </w:r>
            <w:proofErr w:type="spellEnd"/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hyperlink r:id="rId6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Uredbe o  stvarnem premoženju države in 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>samoupravnih lokalnih skupnosti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(Ur. list RS št.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34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 in 16. člena </w:t>
            </w:r>
            <w:hyperlink r:id="rId7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Statuta Občine Radenci</w:t>
              </w:r>
            </w:hyperlink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2/11) je Občinski svet Občine Radenci na svoji </w:t>
            </w:r>
            <w:r w:rsidR="003957FE" w:rsidRPr="003F7CAD">
              <w:rPr>
                <w:rFonts w:ascii="Verdana" w:eastAsia="Times New Roman" w:hAnsi="Verdana" w:cs="Tahoma"/>
                <w:lang w:eastAsia="sl-SI"/>
              </w:rPr>
              <w:t>____ redni seji dne ______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sprejel</w:t>
            </w:r>
          </w:p>
          <w:p w:rsidR="006E2364" w:rsidRPr="002748D0" w:rsidRDefault="006E2364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lang w:eastAsia="sl-SI"/>
              </w:rPr>
            </w:pPr>
          </w:p>
        </w:tc>
      </w:tr>
      <w:tr w:rsidR="00E14081" w:rsidRPr="003F7CAD" w:rsidTr="00E14081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81" w:rsidRPr="003F7CAD" w:rsidRDefault="00E14081" w:rsidP="00E87B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ODLOK</w:t>
            </w: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 O SPREMEMBAH IN DOPOLNITVAH ODLOKA</w:t>
            </w:r>
          </w:p>
        </w:tc>
      </w:tr>
      <w:tr w:rsidR="00E14081" w:rsidRPr="003F7CAD" w:rsidTr="00E14081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81" w:rsidRDefault="00E14081" w:rsidP="00E140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O LETNEM NAČRTU PRIDOBIVANJA NEPREMIČNEGA PREMOŽENJA OBČINE RADENCI ZA LETO 2012</w:t>
            </w:r>
          </w:p>
          <w:p w:rsidR="006E2364" w:rsidRPr="006E2364" w:rsidRDefault="006E2364" w:rsidP="00E140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sl-SI"/>
              </w:rPr>
            </w:pPr>
          </w:p>
        </w:tc>
      </w:tr>
      <w:tr w:rsidR="00E14081" w:rsidRPr="003F7CAD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3F7CAD" w:rsidRDefault="00E14081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1. člen</w:t>
            </w:r>
          </w:p>
        </w:tc>
      </w:tr>
      <w:tr w:rsidR="00E14081" w:rsidRPr="003F7CAD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Default="00E14081" w:rsidP="00E140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>S tem odlokom se sprejme</w:t>
            </w:r>
            <w:r>
              <w:rPr>
                <w:rFonts w:ascii="Verdana" w:eastAsia="Times New Roman" w:hAnsi="Verdana" w:cs="Tahoma"/>
                <w:lang w:eastAsia="sl-SI"/>
              </w:rPr>
              <w:t>jo spremembe in dopolnitve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letn</w:t>
            </w:r>
            <w:r>
              <w:rPr>
                <w:rFonts w:ascii="Verdana" w:eastAsia="Times New Roman" w:hAnsi="Verdana" w:cs="Tahoma"/>
                <w:lang w:eastAsia="sl-SI"/>
              </w:rPr>
              <w:t>ega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načrt</w:t>
            </w:r>
            <w:r>
              <w:rPr>
                <w:rFonts w:ascii="Verdana" w:eastAsia="Times New Roman" w:hAnsi="Verdana" w:cs="Tahoma"/>
                <w:lang w:eastAsia="sl-SI"/>
              </w:rPr>
              <w:t>a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pridobivanja nepremičnega premoženja Občine Radenci za leto 2012 (v nadaljevanju: letni načrt). </w:t>
            </w:r>
          </w:p>
          <w:p w:rsidR="006E2364" w:rsidRPr="006E2364" w:rsidRDefault="006E2364" w:rsidP="00E140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"/>
                <w:szCs w:val="2"/>
                <w:lang w:eastAsia="sl-SI"/>
              </w:rPr>
            </w:pPr>
          </w:p>
        </w:tc>
      </w:tr>
      <w:tr w:rsidR="00E14081" w:rsidRPr="003F7CA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3F7CAD" w:rsidRDefault="00E14081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2. člen</w:t>
            </w:r>
          </w:p>
        </w:tc>
      </w:tr>
      <w:tr w:rsidR="00E14081" w:rsidRPr="003F7CA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Default="00E14081" w:rsidP="00EE0444">
            <w:pPr>
              <w:pStyle w:val="Brezrazmikov"/>
              <w:rPr>
                <w:rFonts w:ascii="Verdana" w:hAnsi="Verdana"/>
                <w:lang w:eastAsia="sl-SI"/>
              </w:rPr>
            </w:pPr>
            <w:r w:rsidRPr="00EE0444">
              <w:rPr>
                <w:rFonts w:ascii="Verdana" w:hAnsi="Verdana"/>
                <w:lang w:eastAsia="sl-SI"/>
              </w:rPr>
              <w:t>Letni načrt iz prejšnjega člena odloka vsebuje naslednje nepremičnine:</w:t>
            </w:r>
          </w:p>
          <w:p w:rsidR="00E87B0A" w:rsidRPr="00EE0444" w:rsidRDefault="00E87B0A" w:rsidP="00EE0444">
            <w:pPr>
              <w:pStyle w:val="Brezrazmikov"/>
              <w:rPr>
                <w:rFonts w:ascii="Verdana" w:hAnsi="Verdana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1711"/>
              <w:gridCol w:w="1128"/>
              <w:gridCol w:w="2294"/>
              <w:gridCol w:w="1578"/>
              <w:gridCol w:w="1699"/>
            </w:tblGrid>
            <w:tr w:rsidR="00E14081" w:rsidRPr="003F7CAD" w:rsidTr="007C3F5D">
              <w:tc>
                <w:tcPr>
                  <w:tcW w:w="562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Zap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1843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Okvirna lokacija</w:t>
                  </w:r>
                </w:p>
              </w:tc>
              <w:tc>
                <w:tcPr>
                  <w:tcW w:w="1134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Okvirna velikost v m2</w:t>
                  </w:r>
                </w:p>
              </w:tc>
              <w:tc>
                <w:tcPr>
                  <w:tcW w:w="2410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Vrsta nepremičnine (</w:t>
                  </w:r>
                  <w:proofErr w:type="spellStart"/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parc</w:t>
                  </w:r>
                  <w:proofErr w:type="spellEnd"/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.št., k.o., vrsta rabe)</w:t>
                  </w:r>
                </w:p>
              </w:tc>
              <w:tc>
                <w:tcPr>
                  <w:tcW w:w="1598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Predvidena sredstva (v EUR)</w:t>
                  </w:r>
                </w:p>
              </w:tc>
              <w:tc>
                <w:tcPr>
                  <w:tcW w:w="1510" w:type="dxa"/>
                </w:tcPr>
                <w:p w:rsidR="00E14081" w:rsidRPr="00A139E7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Ekonomska utemeljenost</w:t>
                  </w:r>
                </w:p>
              </w:tc>
            </w:tr>
            <w:tr w:rsidR="00E14081" w:rsidRPr="003F7CAD" w:rsidTr="007C3F5D">
              <w:tc>
                <w:tcPr>
                  <w:tcW w:w="562" w:type="dxa"/>
                </w:tcPr>
                <w:p w:rsidR="00E14081" w:rsidRPr="00A973D2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  <w:r w:rsidRPr="00A973D2"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E14081" w:rsidRPr="007C3F5D" w:rsidRDefault="00E14081" w:rsidP="00A852D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 xml:space="preserve">Del ceste  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na Ulici Nikola Tesle </w:t>
                  </w:r>
                </w:p>
              </w:tc>
              <w:tc>
                <w:tcPr>
                  <w:tcW w:w="1134" w:type="dxa"/>
                </w:tcPr>
                <w:p w:rsidR="00E14081" w:rsidRPr="007C3F5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291</w:t>
                  </w:r>
                </w:p>
              </w:tc>
              <w:tc>
                <w:tcPr>
                  <w:tcW w:w="2410" w:type="dxa"/>
                </w:tcPr>
                <w:p w:rsidR="00E14081" w:rsidRPr="007C3F5D" w:rsidRDefault="00E14081" w:rsidP="00D33870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>Parc</w:t>
                  </w:r>
                  <w:proofErr w:type="spellEnd"/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 xml:space="preserve">.št. 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t>68/37</w:t>
                  </w:r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 xml:space="preserve"> </w:t>
                  </w:r>
                  <w:proofErr w:type="spellStart"/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 w:rsidRPr="007C3F5D">
                    <w:rPr>
                      <w:rFonts w:ascii="Verdana" w:eastAsia="Times New Roman" w:hAnsi="Verdana" w:cs="Tahoma"/>
                      <w:lang w:eastAsia="sl-SI"/>
                    </w:rPr>
                    <w:t xml:space="preserve"> (200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t>) cesta</w:t>
                  </w:r>
                </w:p>
              </w:tc>
              <w:tc>
                <w:tcPr>
                  <w:tcW w:w="1598" w:type="dxa"/>
                </w:tcPr>
                <w:p w:rsidR="00E14081" w:rsidRPr="007C3F5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 EUR/m2</w:t>
                  </w:r>
                </w:p>
              </w:tc>
              <w:tc>
                <w:tcPr>
                  <w:tcW w:w="1510" w:type="dxa"/>
                </w:tcPr>
                <w:p w:rsidR="00E14081" w:rsidRPr="007C3F5D" w:rsidRDefault="00E14081" w:rsidP="00D33870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</w:pPr>
                  <w:r w:rsidRPr="007C3F5D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Zakon o javnih cestah, Odlok o občinskih cestah</w:t>
                  </w:r>
                </w:p>
              </w:tc>
            </w:tr>
            <w:tr w:rsidR="00E14081" w:rsidRPr="003F7CAD" w:rsidTr="007C3F5D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E14081" w:rsidRPr="00A973D2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E14081" w:rsidRPr="003F7CAD" w:rsidRDefault="00E14081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 w:rsidRPr="003F7CAD">
                    <w:rPr>
                      <w:rFonts w:ascii="Verdana" w:eastAsia="Times New Roman" w:hAnsi="Verdana" w:cs="Tahoma"/>
                      <w:lang w:eastAsia="sl-SI"/>
                    </w:rPr>
                    <w:t>SKUPAJ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14081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E14081" w:rsidRPr="003F7CAD" w:rsidRDefault="00E14081" w:rsidP="00CF60FD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:rsidR="00E14081" w:rsidRPr="00B15BC4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</w:pPr>
                </w:p>
              </w:tc>
            </w:tr>
            <w:tr w:rsidR="00E14081" w:rsidRPr="003F7CAD" w:rsidTr="007C3F5D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E648AC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"/>
                      <w:szCs w:val="2"/>
                      <w:lang w:eastAsia="sl-SI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081" w:rsidRPr="003F7CAD" w:rsidRDefault="00E1408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</w:tbl>
          <w:p w:rsidR="00E14081" w:rsidRPr="003F7CAD" w:rsidRDefault="00E14081" w:rsidP="006E3B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E14081" w:rsidRPr="003F7CAD" w:rsidTr="006C1FE4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81" w:rsidRPr="003F7CAD" w:rsidRDefault="00E14081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3. člen</w:t>
            </w:r>
          </w:p>
        </w:tc>
      </w:tr>
      <w:tr w:rsidR="00E14081" w:rsidRPr="003F7CA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Default="00E14081" w:rsidP="006C1F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>Občinski Svet Občine Radenci pooblašča župana za sklenitev pogodb o pridobitvi nepremičnin in izvedbo dejanj v skladu z Uredbo o stvarnem premoženju države in samoupravnih lokalnih skupnosti (Ur. list RS št. 34/2011).</w:t>
            </w:r>
          </w:p>
          <w:p w:rsidR="00E14081" w:rsidRPr="00F15B4C" w:rsidRDefault="00E14081" w:rsidP="00F15B4C">
            <w:pPr>
              <w:pStyle w:val="Brezrazmikov"/>
              <w:jc w:val="center"/>
              <w:rPr>
                <w:rFonts w:ascii="Verdana" w:hAnsi="Verdana"/>
                <w:b/>
                <w:lang w:eastAsia="sl-SI"/>
              </w:rPr>
            </w:pPr>
            <w:r w:rsidRPr="00F15B4C">
              <w:rPr>
                <w:rFonts w:ascii="Verdana" w:hAnsi="Verdana"/>
                <w:b/>
                <w:lang w:eastAsia="sl-SI"/>
              </w:rPr>
              <w:t>4. člen</w:t>
            </w:r>
          </w:p>
          <w:p w:rsidR="00E14081" w:rsidRDefault="00E14081" w:rsidP="00F15B4C">
            <w:pPr>
              <w:pStyle w:val="Brezrazmikov"/>
              <w:jc w:val="both"/>
              <w:rPr>
                <w:rFonts w:ascii="Verdana" w:hAnsi="Verdana"/>
                <w:lang w:eastAsia="sl-SI"/>
              </w:rPr>
            </w:pPr>
            <w:r w:rsidRPr="00F15B4C">
              <w:rPr>
                <w:rFonts w:ascii="Verdana" w:hAnsi="Verdana"/>
                <w:bCs/>
                <w:lang w:eastAsia="sl-SI"/>
              </w:rPr>
              <w:t xml:space="preserve">V veljavi ostanejo vsi </w:t>
            </w:r>
            <w:r w:rsidRPr="00F15B4C">
              <w:rPr>
                <w:rFonts w:ascii="Verdana" w:hAnsi="Verdana"/>
                <w:lang w:eastAsia="sl-SI"/>
              </w:rPr>
              <w:t>Odloki o letnem načrtu pridobivanja nepremičnega premoženja Občine Radenci za leta 2010, 2011 in 2012 in njihove spremembe in dopolnitve s tem, da za posamezno nepremičnino velja zadnja sprejeta sprememba ali dopolnitev.</w:t>
            </w:r>
          </w:p>
          <w:p w:rsidR="006E2364" w:rsidRPr="006E2364" w:rsidRDefault="006E2364" w:rsidP="00F15B4C">
            <w:pPr>
              <w:pStyle w:val="Brezrazmikov"/>
              <w:jc w:val="both"/>
              <w:rPr>
                <w:rFonts w:ascii="Verdana" w:hAnsi="Verdana"/>
                <w:sz w:val="16"/>
                <w:szCs w:val="16"/>
                <w:lang w:eastAsia="sl-SI"/>
              </w:rPr>
            </w:pPr>
          </w:p>
        </w:tc>
      </w:tr>
      <w:tr w:rsidR="00E14081" w:rsidRPr="003F7CA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3F7CAD" w:rsidRDefault="00E14081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5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E14081" w:rsidRPr="003F7CAD" w:rsidTr="00005548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3F7CAD" w:rsidRDefault="00E14081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>Ta odlok začne veljati naslednji dan po objavi v Uradnem glasilu slovenskih občin.</w:t>
            </w:r>
          </w:p>
        </w:tc>
      </w:tr>
      <w:tr w:rsidR="00E14081" w:rsidRPr="00E648AC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E648AC" w:rsidRDefault="00E14081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E648A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Številka: </w:t>
            </w:r>
          </w:p>
        </w:tc>
      </w:tr>
      <w:tr w:rsidR="00E14081" w:rsidRPr="00E648AC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81" w:rsidRPr="00E648AC" w:rsidRDefault="00E14081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E648A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Datum: </w:t>
            </w:r>
          </w:p>
        </w:tc>
      </w:tr>
    </w:tbl>
    <w:p w:rsidR="009F69D6" w:rsidRPr="003F7CAD" w:rsidRDefault="00A600C9" w:rsidP="00A600C9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</w:t>
      </w:r>
      <w:r w:rsidR="009F69D6" w:rsidRPr="003F7CAD">
        <w:rPr>
          <w:rFonts w:ascii="Verdana" w:hAnsi="Verdana"/>
        </w:rPr>
        <w:t>Janez Rihtarič</w:t>
      </w:r>
    </w:p>
    <w:p w:rsidR="009F69D6" w:rsidRPr="003F7CAD" w:rsidRDefault="00A600C9" w:rsidP="00A600C9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</w:t>
      </w:r>
      <w:r w:rsidR="009F69D6" w:rsidRPr="003F7CAD">
        <w:rPr>
          <w:rFonts w:ascii="Verdana" w:hAnsi="Verdana"/>
        </w:rPr>
        <w:t>Župan Občine Radenci</w:t>
      </w:r>
    </w:p>
    <w:p w:rsidR="002748D0" w:rsidRDefault="002748D0" w:rsidP="00CF2FC9">
      <w:pPr>
        <w:pStyle w:val="Brezrazmikov"/>
        <w:jc w:val="center"/>
        <w:rPr>
          <w:rFonts w:ascii="Verdana" w:hAnsi="Verdana"/>
          <w:b/>
        </w:rPr>
      </w:pPr>
    </w:p>
    <w:p w:rsidR="00955B2E" w:rsidRDefault="00955B2E" w:rsidP="00E87B0A">
      <w:pPr>
        <w:pStyle w:val="Brezrazmikov"/>
        <w:rPr>
          <w:rFonts w:ascii="Verdana" w:hAnsi="Verdana"/>
          <w:b/>
        </w:rPr>
      </w:pPr>
      <w:r w:rsidRPr="003F7CAD">
        <w:rPr>
          <w:rFonts w:ascii="Verdana" w:hAnsi="Verdana"/>
          <w:b/>
        </w:rPr>
        <w:t>Obrazložitev:</w:t>
      </w:r>
    </w:p>
    <w:p w:rsidR="002748D0" w:rsidRPr="003F7CAD" w:rsidRDefault="002748D0" w:rsidP="00CF2FC9">
      <w:pPr>
        <w:pStyle w:val="Brezrazmikov"/>
        <w:jc w:val="center"/>
        <w:rPr>
          <w:rFonts w:ascii="Verdana" w:hAnsi="Verdana"/>
          <w:b/>
        </w:rPr>
      </w:pPr>
    </w:p>
    <w:p w:rsidR="00955B2E" w:rsidRDefault="00955B2E" w:rsidP="00955B2E">
      <w:pPr>
        <w:pStyle w:val="Brezrazmikov"/>
        <w:jc w:val="both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>Občinskemu svetu Občine Radenci predlagamo, da obravnava in sprejme predlagan Odlok</w:t>
      </w:r>
      <w:r w:rsidR="00C264A2" w:rsidRPr="00E648AC">
        <w:rPr>
          <w:rFonts w:ascii="Verdana" w:hAnsi="Verdana"/>
          <w:sz w:val="21"/>
          <w:szCs w:val="21"/>
        </w:rPr>
        <w:t xml:space="preserve"> po </w:t>
      </w:r>
      <w:r w:rsidR="007C3F5D" w:rsidRPr="00E648AC">
        <w:rPr>
          <w:rFonts w:ascii="Verdana" w:hAnsi="Verdana"/>
          <w:sz w:val="21"/>
          <w:szCs w:val="21"/>
        </w:rPr>
        <w:t>skrajšanem</w:t>
      </w:r>
      <w:r w:rsidR="00C264A2" w:rsidRPr="00E648AC">
        <w:rPr>
          <w:rFonts w:ascii="Verdana" w:hAnsi="Verdana"/>
          <w:sz w:val="21"/>
          <w:szCs w:val="21"/>
        </w:rPr>
        <w:t xml:space="preserve"> postopku</w:t>
      </w:r>
      <w:r w:rsidRPr="00E648AC">
        <w:rPr>
          <w:rFonts w:ascii="Verdana" w:hAnsi="Verdana"/>
          <w:sz w:val="21"/>
          <w:szCs w:val="21"/>
        </w:rPr>
        <w:t xml:space="preserve">. </w:t>
      </w:r>
      <w:r w:rsidR="00A973D2" w:rsidRPr="00E648AC">
        <w:rPr>
          <w:rFonts w:ascii="Verdana" w:hAnsi="Verdana"/>
          <w:sz w:val="21"/>
          <w:szCs w:val="21"/>
        </w:rPr>
        <w:t>Pod točk</w:t>
      </w:r>
      <w:r w:rsidR="00A852D2" w:rsidRPr="00E648AC">
        <w:rPr>
          <w:rFonts w:ascii="Verdana" w:hAnsi="Verdana"/>
          <w:sz w:val="21"/>
          <w:szCs w:val="21"/>
        </w:rPr>
        <w:t>o</w:t>
      </w:r>
      <w:r w:rsidR="00A973D2" w:rsidRPr="00E648AC">
        <w:rPr>
          <w:rFonts w:ascii="Verdana" w:hAnsi="Verdana"/>
          <w:sz w:val="21"/>
          <w:szCs w:val="21"/>
        </w:rPr>
        <w:t xml:space="preserve"> 1. gre za </w:t>
      </w:r>
      <w:r w:rsidR="00160D3B">
        <w:rPr>
          <w:rFonts w:ascii="Verdana" w:hAnsi="Verdana"/>
          <w:sz w:val="21"/>
          <w:szCs w:val="21"/>
        </w:rPr>
        <w:t>nakup</w:t>
      </w:r>
      <w:r w:rsidR="00A973D2" w:rsidRPr="00E648AC">
        <w:rPr>
          <w:rFonts w:ascii="Verdana" w:hAnsi="Verdana"/>
          <w:sz w:val="21"/>
          <w:szCs w:val="21"/>
        </w:rPr>
        <w:t xml:space="preserve"> zemljišč</w:t>
      </w:r>
      <w:r w:rsidR="00605278" w:rsidRPr="00E648AC">
        <w:rPr>
          <w:rFonts w:ascii="Verdana" w:hAnsi="Verdana"/>
          <w:sz w:val="21"/>
          <w:szCs w:val="21"/>
        </w:rPr>
        <w:t>a</w:t>
      </w:r>
      <w:r w:rsidR="00A973D2" w:rsidRPr="00E648AC">
        <w:rPr>
          <w:rFonts w:ascii="Verdana" w:hAnsi="Verdana"/>
          <w:sz w:val="21"/>
          <w:szCs w:val="21"/>
        </w:rPr>
        <w:t>, po kater</w:t>
      </w:r>
      <w:r w:rsidR="00605278" w:rsidRPr="00E648AC">
        <w:rPr>
          <w:rFonts w:ascii="Verdana" w:hAnsi="Verdana"/>
          <w:sz w:val="21"/>
          <w:szCs w:val="21"/>
        </w:rPr>
        <w:t>em</w:t>
      </w:r>
      <w:r w:rsidR="00A973D2" w:rsidRPr="00E648AC">
        <w:rPr>
          <w:rFonts w:ascii="Verdana" w:hAnsi="Verdana"/>
          <w:sz w:val="21"/>
          <w:szCs w:val="21"/>
        </w:rPr>
        <w:t xml:space="preserve"> poteka</w:t>
      </w:r>
      <w:r w:rsidR="00605278" w:rsidRPr="00E648AC">
        <w:rPr>
          <w:rFonts w:ascii="Verdana" w:hAnsi="Verdana"/>
          <w:sz w:val="21"/>
          <w:szCs w:val="21"/>
        </w:rPr>
        <w:t xml:space="preserve"> kategorizirana občinska</w:t>
      </w:r>
      <w:r w:rsidR="00A973D2" w:rsidRPr="00E648AC">
        <w:rPr>
          <w:rFonts w:ascii="Verdana" w:hAnsi="Verdana"/>
          <w:sz w:val="21"/>
          <w:szCs w:val="21"/>
        </w:rPr>
        <w:t xml:space="preserve"> cesta</w:t>
      </w:r>
      <w:r w:rsidR="00605278" w:rsidRPr="00E648AC">
        <w:rPr>
          <w:rFonts w:ascii="Verdana" w:hAnsi="Verdana"/>
          <w:sz w:val="21"/>
          <w:szCs w:val="21"/>
        </w:rPr>
        <w:t xml:space="preserve"> in predstavlja del Ulice Nikola Tesla v Radencih. </w:t>
      </w:r>
      <w:r w:rsidR="0073157A">
        <w:rPr>
          <w:rFonts w:ascii="Verdana" w:hAnsi="Verdana"/>
          <w:sz w:val="21"/>
          <w:szCs w:val="21"/>
        </w:rPr>
        <w:t>Plačilo se izvede v letu 2013.</w:t>
      </w:r>
      <w:r w:rsidR="00A973D2" w:rsidRPr="00E648AC">
        <w:rPr>
          <w:rFonts w:ascii="Verdana" w:hAnsi="Verdana"/>
          <w:sz w:val="21"/>
          <w:szCs w:val="21"/>
        </w:rPr>
        <w:t xml:space="preserve"> </w:t>
      </w:r>
      <w:r w:rsidR="00276BDF" w:rsidRPr="00E648AC">
        <w:rPr>
          <w:rFonts w:ascii="Verdana" w:hAnsi="Verdana"/>
          <w:sz w:val="21"/>
          <w:szCs w:val="21"/>
        </w:rPr>
        <w:t xml:space="preserve"> </w:t>
      </w:r>
    </w:p>
    <w:p w:rsidR="002748D0" w:rsidRPr="00E648AC" w:rsidRDefault="002748D0" w:rsidP="00955B2E">
      <w:pPr>
        <w:pStyle w:val="Brezrazmikov"/>
        <w:jc w:val="both"/>
        <w:rPr>
          <w:rFonts w:ascii="Verdana" w:hAnsi="Verdana"/>
          <w:sz w:val="21"/>
          <w:szCs w:val="21"/>
        </w:rPr>
      </w:pPr>
    </w:p>
    <w:p w:rsidR="00955B2E" w:rsidRPr="00E648AC" w:rsidRDefault="00955B2E" w:rsidP="00955B2E">
      <w:pPr>
        <w:pStyle w:val="Brezrazmikov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 xml:space="preserve">                                                                             </w:t>
      </w:r>
      <w:bookmarkStart w:id="0" w:name="_GoBack"/>
      <w:bookmarkEnd w:id="0"/>
      <w:r w:rsidRPr="00E648AC">
        <w:rPr>
          <w:rFonts w:ascii="Verdana" w:hAnsi="Verdana"/>
          <w:sz w:val="21"/>
          <w:szCs w:val="21"/>
        </w:rPr>
        <w:t>Janez Rihtarič</w:t>
      </w:r>
    </w:p>
    <w:p w:rsidR="00966393" w:rsidRPr="00D369C2" w:rsidRDefault="00955B2E" w:rsidP="00D369C2">
      <w:pPr>
        <w:pStyle w:val="Brezrazmikov"/>
        <w:jc w:val="center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 xml:space="preserve">                                                        </w:t>
      </w:r>
      <w:r w:rsidR="00C264A2" w:rsidRPr="00E648AC">
        <w:rPr>
          <w:rFonts w:ascii="Verdana" w:hAnsi="Verdana"/>
          <w:sz w:val="21"/>
          <w:szCs w:val="21"/>
        </w:rPr>
        <w:t xml:space="preserve"> </w:t>
      </w:r>
      <w:r w:rsidRPr="00E648AC">
        <w:rPr>
          <w:rFonts w:ascii="Verdana" w:hAnsi="Verdana"/>
          <w:sz w:val="21"/>
          <w:szCs w:val="21"/>
        </w:rPr>
        <w:t xml:space="preserve">      Župan Občine Radenci</w:t>
      </w:r>
    </w:p>
    <w:sectPr w:rsidR="00966393" w:rsidRPr="00D3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5548"/>
    <w:rsid w:val="00033AD9"/>
    <w:rsid w:val="0006563E"/>
    <w:rsid w:val="00123CD3"/>
    <w:rsid w:val="00160D3B"/>
    <w:rsid w:val="00166DCC"/>
    <w:rsid w:val="001C392F"/>
    <w:rsid w:val="00217504"/>
    <w:rsid w:val="0022270C"/>
    <w:rsid w:val="00250CC5"/>
    <w:rsid w:val="002748D0"/>
    <w:rsid w:val="00276BDF"/>
    <w:rsid w:val="002C3965"/>
    <w:rsid w:val="002D5F38"/>
    <w:rsid w:val="003957FE"/>
    <w:rsid w:val="003A46FE"/>
    <w:rsid w:val="003C61BE"/>
    <w:rsid w:val="003F7CAD"/>
    <w:rsid w:val="004555C1"/>
    <w:rsid w:val="00494AE4"/>
    <w:rsid w:val="004A463C"/>
    <w:rsid w:val="004D0251"/>
    <w:rsid w:val="005238A0"/>
    <w:rsid w:val="005E7F16"/>
    <w:rsid w:val="005F1258"/>
    <w:rsid w:val="00605278"/>
    <w:rsid w:val="00650D82"/>
    <w:rsid w:val="006A4C75"/>
    <w:rsid w:val="006A7567"/>
    <w:rsid w:val="006C1FE4"/>
    <w:rsid w:val="006E2364"/>
    <w:rsid w:val="006E2598"/>
    <w:rsid w:val="0073157A"/>
    <w:rsid w:val="00754DCE"/>
    <w:rsid w:val="007C3F5D"/>
    <w:rsid w:val="007E43EE"/>
    <w:rsid w:val="00800016"/>
    <w:rsid w:val="00825691"/>
    <w:rsid w:val="008835F3"/>
    <w:rsid w:val="00893D61"/>
    <w:rsid w:val="00955B2E"/>
    <w:rsid w:val="00966393"/>
    <w:rsid w:val="009737F5"/>
    <w:rsid w:val="009936A0"/>
    <w:rsid w:val="009B05D9"/>
    <w:rsid w:val="009C41EB"/>
    <w:rsid w:val="009D385C"/>
    <w:rsid w:val="009E086D"/>
    <w:rsid w:val="009F69D6"/>
    <w:rsid w:val="00A139E7"/>
    <w:rsid w:val="00A14398"/>
    <w:rsid w:val="00A600C9"/>
    <w:rsid w:val="00A6587A"/>
    <w:rsid w:val="00A852D2"/>
    <w:rsid w:val="00A87E3D"/>
    <w:rsid w:val="00A973D2"/>
    <w:rsid w:val="00B15BC4"/>
    <w:rsid w:val="00B23C95"/>
    <w:rsid w:val="00B71C6D"/>
    <w:rsid w:val="00BA4D85"/>
    <w:rsid w:val="00C264A2"/>
    <w:rsid w:val="00C50060"/>
    <w:rsid w:val="00C71599"/>
    <w:rsid w:val="00CA1C07"/>
    <w:rsid w:val="00CF2FC9"/>
    <w:rsid w:val="00CF60FD"/>
    <w:rsid w:val="00D07BFE"/>
    <w:rsid w:val="00D33870"/>
    <w:rsid w:val="00D369C2"/>
    <w:rsid w:val="00D5725A"/>
    <w:rsid w:val="00D81522"/>
    <w:rsid w:val="00DA7DB5"/>
    <w:rsid w:val="00DB4861"/>
    <w:rsid w:val="00E14081"/>
    <w:rsid w:val="00E648AC"/>
    <w:rsid w:val="00E844B8"/>
    <w:rsid w:val="00E87B0A"/>
    <w:rsid w:val="00EB426A"/>
    <w:rsid w:val="00EE0444"/>
    <w:rsid w:val="00F15B4C"/>
    <w:rsid w:val="00F4290A"/>
    <w:rsid w:val="00F50B75"/>
    <w:rsid w:val="00F8097E"/>
    <w:rsid w:val="00FC2E1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b0640d4d-01c1-49e1-a1f3-05a93db4ba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URED5055&amp;pogled=osnovni" TargetMode="External"/><Relationship Id="rId5" Type="http://schemas.openxmlformats.org/officeDocument/2006/relationships/hyperlink" Target="http://www.pisrs.si/Predpis.aspx?id=ZAKO4652&amp;pogled=osn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3</cp:revision>
  <cp:lastPrinted>2012-10-09T06:27:00Z</cp:lastPrinted>
  <dcterms:created xsi:type="dcterms:W3CDTF">2012-10-04T10:34:00Z</dcterms:created>
  <dcterms:modified xsi:type="dcterms:W3CDTF">2012-10-09T06:32:00Z</dcterms:modified>
</cp:coreProperties>
</file>