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EA" w:rsidRDefault="003C61EA" w:rsidP="003C61EA">
      <w:pPr>
        <w:pStyle w:val="Brezrazmikov"/>
        <w:rPr>
          <w:rFonts w:ascii="Verdana" w:hAnsi="Verdana"/>
        </w:rPr>
      </w:pPr>
      <w:r>
        <w:rPr>
          <w:rFonts w:ascii="Verdana" w:hAnsi="Verdana"/>
        </w:rPr>
        <w:t>OBČINA RADENCI                                                                             PREDLOG</w:t>
      </w:r>
    </w:p>
    <w:p w:rsidR="003C61EA" w:rsidRDefault="003C61EA" w:rsidP="003C61EA">
      <w:pPr>
        <w:pStyle w:val="Brezrazmikov"/>
        <w:rPr>
          <w:rFonts w:ascii="Verdana" w:hAnsi="Verdana"/>
        </w:rPr>
      </w:pPr>
      <w:r>
        <w:rPr>
          <w:rFonts w:ascii="Verdana" w:hAnsi="Verdana"/>
        </w:rPr>
        <w:t>OBČINSKI SVET</w:t>
      </w:r>
    </w:p>
    <w:p w:rsidR="003957FE" w:rsidRPr="003F7CAD" w:rsidRDefault="003957FE" w:rsidP="003C61EA">
      <w:pPr>
        <w:pStyle w:val="Brezrazmikov"/>
        <w:jc w:val="both"/>
        <w:rPr>
          <w:rFonts w:ascii="Verdana" w:hAnsi="Verdan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8"/>
        <w:gridCol w:w="236"/>
      </w:tblGrid>
      <w:tr w:rsidR="003F7CAD" w:rsidRPr="003F7CAD" w:rsidTr="003957FE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Default="009F69D6" w:rsidP="003C61B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lang w:eastAsia="sl-SI"/>
              </w:rPr>
              <w:t xml:space="preserve">Na podlagi 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11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. člena </w:t>
            </w:r>
            <w:hyperlink r:id="rId5" w:history="1">
              <w:r w:rsidRPr="003F7CAD">
                <w:rPr>
                  <w:rFonts w:ascii="Verdana" w:eastAsia="Times New Roman" w:hAnsi="Verdana" w:cs="Tahoma"/>
                  <w:lang w:eastAsia="sl-SI"/>
                </w:rPr>
                <w:t>Zakon</w:t>
              </w:r>
              <w:r w:rsidR="003C61BE" w:rsidRPr="003F7CAD">
                <w:rPr>
                  <w:rFonts w:ascii="Verdana" w:eastAsia="Times New Roman" w:hAnsi="Verdana" w:cs="Tahoma"/>
                  <w:lang w:eastAsia="sl-SI"/>
                </w:rPr>
                <w:t>a o stvarnem premoženju države</w:t>
              </w:r>
              <w:r w:rsidRPr="003F7CAD">
                <w:rPr>
                  <w:rFonts w:ascii="Verdana" w:eastAsia="Times New Roman" w:hAnsi="Verdana" w:cs="Tahoma"/>
                  <w:lang w:eastAsia="sl-SI"/>
                </w:rPr>
                <w:t xml:space="preserve"> in </w:t>
              </w:r>
              <w:r w:rsidR="003C61BE" w:rsidRPr="003F7CAD">
                <w:rPr>
                  <w:rFonts w:ascii="Verdana" w:eastAsia="Times New Roman" w:hAnsi="Verdana" w:cs="Tahoma"/>
                  <w:lang w:eastAsia="sl-SI"/>
                </w:rPr>
                <w:t>samoupravnih lokalnih skupnosti</w:t>
              </w:r>
            </w:hyperlink>
            <w:r w:rsidR="003C61BE" w:rsidRPr="003F7CAD">
              <w:rPr>
                <w:rFonts w:ascii="Verdana" w:eastAsia="Times New Roman" w:hAnsi="Verdana" w:cs="Tahoma"/>
                <w:lang w:eastAsia="sl-SI"/>
              </w:rPr>
              <w:t xml:space="preserve"> (Ur. list RS št. 86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/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2010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), 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6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.</w:t>
            </w:r>
            <w:r w:rsidR="00274019">
              <w:rPr>
                <w:rFonts w:ascii="Verdana" w:eastAsia="Times New Roman" w:hAnsi="Verdana" w:cs="Tahoma"/>
                <w:lang w:eastAsia="sl-SI"/>
              </w:rPr>
              <w:t xml:space="preserve"> </w:t>
            </w:r>
            <w:bookmarkStart w:id="0" w:name="_GoBack"/>
            <w:bookmarkEnd w:id="0"/>
            <w:r w:rsidRPr="003F7CAD">
              <w:rPr>
                <w:rFonts w:ascii="Verdana" w:eastAsia="Times New Roman" w:hAnsi="Verdana" w:cs="Tahoma"/>
                <w:lang w:eastAsia="sl-SI"/>
              </w:rPr>
              <w:t xml:space="preserve">člena </w:t>
            </w:r>
            <w:hyperlink r:id="rId6" w:history="1">
              <w:r w:rsidRPr="003F7CAD">
                <w:rPr>
                  <w:rFonts w:ascii="Verdana" w:eastAsia="Times New Roman" w:hAnsi="Verdana" w:cs="Tahoma"/>
                  <w:lang w:eastAsia="sl-SI"/>
                </w:rPr>
                <w:t xml:space="preserve">Uredbe o  stvarnem premoženju države in </w:t>
              </w:r>
            </w:hyperlink>
            <w:r w:rsidR="003C61BE" w:rsidRPr="003F7CAD">
              <w:rPr>
                <w:rFonts w:ascii="Verdana" w:eastAsia="Times New Roman" w:hAnsi="Verdana" w:cs="Tahoma"/>
                <w:lang w:eastAsia="sl-SI"/>
              </w:rPr>
              <w:t>samoupravnih lokalnih skupnosti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(Ur. list RS št. 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34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/</w:t>
            </w:r>
            <w:r w:rsidR="003C61BE" w:rsidRPr="003F7CAD">
              <w:rPr>
                <w:rFonts w:ascii="Verdana" w:eastAsia="Times New Roman" w:hAnsi="Verdana" w:cs="Tahoma"/>
                <w:lang w:eastAsia="sl-SI"/>
              </w:rPr>
              <w:t>2011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) in 16. člena </w:t>
            </w:r>
            <w:hyperlink r:id="rId7" w:history="1">
              <w:r w:rsidRPr="003F7CAD">
                <w:rPr>
                  <w:rFonts w:ascii="Verdana" w:eastAsia="Times New Roman" w:hAnsi="Verdana" w:cs="Tahoma"/>
                  <w:lang w:eastAsia="sl-SI"/>
                </w:rPr>
                <w:t>Statuta Občine Radenci</w:t>
              </w:r>
            </w:hyperlink>
            <w:r w:rsidRPr="003F7CAD">
              <w:rPr>
                <w:rFonts w:ascii="Verdana" w:eastAsia="Times New Roman" w:hAnsi="Verdana" w:cs="Tahoma"/>
                <w:lang w:eastAsia="sl-SI"/>
              </w:rPr>
              <w:t xml:space="preserve"> (Uradno glasilo slovenskih občin št. 2/11) je Občinski svet Občine Radenci na svoji </w:t>
            </w:r>
            <w:r w:rsidR="003957FE" w:rsidRPr="003F7CAD">
              <w:rPr>
                <w:rFonts w:ascii="Verdana" w:eastAsia="Times New Roman" w:hAnsi="Verdana" w:cs="Tahoma"/>
                <w:lang w:eastAsia="sl-SI"/>
              </w:rPr>
              <w:t>____ redni seji dne ______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sprejel</w:t>
            </w:r>
          </w:p>
          <w:p w:rsidR="00080F01" w:rsidRPr="00080F01" w:rsidRDefault="00080F01" w:rsidP="003C61B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4"/>
                <w:szCs w:val="4"/>
                <w:lang w:eastAsia="sl-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6E3B16">
            <w:pPr>
              <w:spacing w:after="0" w:line="240" w:lineRule="auto"/>
              <w:rPr>
                <w:rFonts w:ascii="Verdana" w:eastAsia="Times New Roman" w:hAnsi="Verdana" w:cs="Tahoma"/>
                <w:lang w:eastAsia="sl-SI"/>
              </w:rPr>
            </w:pPr>
          </w:p>
        </w:tc>
      </w:tr>
      <w:tr w:rsidR="003F7CAD" w:rsidRPr="003F7CAD" w:rsidTr="006E3B16">
        <w:trPr>
          <w:gridAfter w:val="1"/>
          <w:wAfter w:w="236" w:type="dxa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ODLOK</w:t>
            </w:r>
          </w:p>
        </w:tc>
      </w:tr>
      <w:tr w:rsidR="003F7CAD" w:rsidRPr="003F7CAD" w:rsidTr="00FA0758">
        <w:trPr>
          <w:gridAfter w:val="1"/>
          <w:wAfter w:w="236" w:type="dxa"/>
          <w:trHeight w:val="567"/>
        </w:trPr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FA075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 xml:space="preserve">O </w:t>
            </w:r>
            <w:r w:rsidR="00F772DA">
              <w:rPr>
                <w:rFonts w:ascii="Verdana" w:eastAsia="Times New Roman" w:hAnsi="Verdana" w:cs="Tahoma"/>
                <w:b/>
                <w:bCs/>
                <w:lang w:eastAsia="sl-SI"/>
              </w:rPr>
              <w:t>SPREMEMBAH</w:t>
            </w:r>
            <w:r w:rsidR="00EC67EC">
              <w:rPr>
                <w:rFonts w:ascii="Verdana" w:eastAsia="Times New Roman" w:hAnsi="Verdana" w:cs="Tahoma"/>
                <w:b/>
                <w:bCs/>
                <w:lang w:eastAsia="sl-SI"/>
              </w:rPr>
              <w:t xml:space="preserve"> IN DOPOLNITVAH</w:t>
            </w:r>
            <w:r w:rsidR="00F772DA">
              <w:rPr>
                <w:rFonts w:ascii="Verdana" w:eastAsia="Times New Roman" w:hAnsi="Verdana" w:cs="Tahoma"/>
                <w:b/>
                <w:bCs/>
                <w:lang w:eastAsia="sl-SI"/>
              </w:rPr>
              <w:t xml:space="preserve"> ODLOKA O </w:t>
            </w: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 xml:space="preserve">LETNEM NAČRTU </w:t>
            </w:r>
            <w:r w:rsidR="00FA0758">
              <w:rPr>
                <w:rFonts w:ascii="Verdana" w:eastAsia="Times New Roman" w:hAnsi="Verdana" w:cs="Tahoma"/>
                <w:b/>
                <w:bCs/>
                <w:lang w:eastAsia="sl-SI"/>
              </w:rPr>
              <w:t>RAZPOLAGANJA Z NEPREMIČNIM</w:t>
            </w: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 xml:space="preserve"> PREMOŽENJ</w:t>
            </w:r>
            <w:r w:rsidR="00FA0758">
              <w:rPr>
                <w:rFonts w:ascii="Verdana" w:eastAsia="Times New Roman" w:hAnsi="Verdana" w:cs="Tahoma"/>
                <w:b/>
                <w:bCs/>
                <w:lang w:eastAsia="sl-SI"/>
              </w:rPr>
              <w:t>EM</w:t>
            </w: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 xml:space="preserve"> OBČINE RADENCI ZA LETO 2012</w:t>
            </w:r>
          </w:p>
        </w:tc>
      </w:tr>
    </w:tbl>
    <w:p w:rsidR="009F69D6" w:rsidRPr="003F7CAD" w:rsidRDefault="009F69D6">
      <w:pPr>
        <w:rPr>
          <w:rFonts w:ascii="Verdana" w:hAnsi="Verdan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4"/>
        <w:gridCol w:w="14"/>
      </w:tblGrid>
      <w:tr w:rsidR="003F7CAD" w:rsidRPr="003F7CAD" w:rsidTr="00005548">
        <w:trPr>
          <w:gridAfter w:val="1"/>
          <w:wAfter w:w="14" w:type="dxa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1. člen</w:t>
            </w:r>
          </w:p>
        </w:tc>
      </w:tr>
      <w:tr w:rsidR="003F7CAD" w:rsidRPr="003F7CAD" w:rsidTr="00005548">
        <w:trPr>
          <w:gridAfter w:val="1"/>
          <w:wAfter w:w="14" w:type="dxa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Default="009F69D6" w:rsidP="00C271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lang w:eastAsia="sl-SI"/>
              </w:rPr>
              <w:t xml:space="preserve">S tem odlokom se </w:t>
            </w:r>
            <w:r w:rsidR="00F8097E" w:rsidRPr="003F7CAD">
              <w:rPr>
                <w:rFonts w:ascii="Verdana" w:eastAsia="Times New Roman" w:hAnsi="Verdana" w:cs="Tahoma"/>
                <w:lang w:eastAsia="sl-SI"/>
              </w:rPr>
              <w:t>sprejme</w:t>
            </w:r>
            <w:r w:rsidR="001551FB">
              <w:rPr>
                <w:rFonts w:ascii="Verdana" w:eastAsia="Times New Roman" w:hAnsi="Verdana" w:cs="Tahoma"/>
                <w:lang w:eastAsia="sl-SI"/>
              </w:rPr>
              <w:t>jo spremembe in dopolnitve Odlok</w:t>
            </w:r>
            <w:r w:rsidR="00C271FA">
              <w:rPr>
                <w:rFonts w:ascii="Verdana" w:eastAsia="Times New Roman" w:hAnsi="Verdana" w:cs="Tahoma"/>
                <w:lang w:eastAsia="sl-SI"/>
              </w:rPr>
              <w:t>a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</w:t>
            </w:r>
            <w:r w:rsidR="001551FB">
              <w:rPr>
                <w:rFonts w:ascii="Verdana" w:eastAsia="Times New Roman" w:hAnsi="Verdana" w:cs="Tahoma"/>
                <w:lang w:eastAsia="sl-SI"/>
              </w:rPr>
              <w:t xml:space="preserve">o 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letn</w:t>
            </w:r>
            <w:r w:rsidR="001551FB">
              <w:rPr>
                <w:rFonts w:ascii="Verdana" w:eastAsia="Times New Roman" w:hAnsi="Verdana" w:cs="Tahoma"/>
                <w:lang w:eastAsia="sl-SI"/>
              </w:rPr>
              <w:t>em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načrt</w:t>
            </w:r>
            <w:r w:rsidR="001551FB">
              <w:rPr>
                <w:rFonts w:ascii="Verdana" w:eastAsia="Times New Roman" w:hAnsi="Verdana" w:cs="Tahoma"/>
                <w:lang w:eastAsia="sl-SI"/>
              </w:rPr>
              <w:t>u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</w:t>
            </w:r>
            <w:r w:rsidR="00EC67EC">
              <w:rPr>
                <w:rFonts w:ascii="Verdana" w:eastAsia="Times New Roman" w:hAnsi="Verdana" w:cs="Tahoma"/>
                <w:lang w:eastAsia="sl-SI"/>
              </w:rPr>
              <w:t>razpolaganja</w:t>
            </w:r>
            <w:r w:rsidR="001551FB">
              <w:rPr>
                <w:rFonts w:ascii="Verdana" w:eastAsia="Times New Roman" w:hAnsi="Verdana" w:cs="Tahoma"/>
                <w:lang w:eastAsia="sl-SI"/>
              </w:rPr>
              <w:t xml:space="preserve"> z 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nepremičn</w:t>
            </w:r>
            <w:r w:rsidR="001551FB">
              <w:rPr>
                <w:rFonts w:ascii="Verdana" w:eastAsia="Times New Roman" w:hAnsi="Verdana" w:cs="Tahoma"/>
                <w:lang w:eastAsia="sl-SI"/>
              </w:rPr>
              <w:t>im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premože</w:t>
            </w:r>
            <w:r w:rsidR="00F8097E" w:rsidRPr="003F7CAD">
              <w:rPr>
                <w:rFonts w:ascii="Verdana" w:eastAsia="Times New Roman" w:hAnsi="Verdana" w:cs="Tahoma"/>
                <w:lang w:eastAsia="sl-SI"/>
              </w:rPr>
              <w:t>nj</w:t>
            </w:r>
            <w:r w:rsidR="001551FB">
              <w:rPr>
                <w:rFonts w:ascii="Verdana" w:eastAsia="Times New Roman" w:hAnsi="Verdana" w:cs="Tahoma"/>
                <w:lang w:eastAsia="sl-SI"/>
              </w:rPr>
              <w:t>em</w:t>
            </w:r>
            <w:r w:rsidR="00F8097E" w:rsidRPr="003F7CAD">
              <w:rPr>
                <w:rFonts w:ascii="Verdana" w:eastAsia="Times New Roman" w:hAnsi="Verdana" w:cs="Tahoma"/>
                <w:lang w:eastAsia="sl-SI"/>
              </w:rPr>
              <w:t xml:space="preserve"> Občine Radenci za leto 201</w:t>
            </w:r>
            <w:r w:rsidR="00C271FA">
              <w:rPr>
                <w:rFonts w:ascii="Verdana" w:eastAsia="Times New Roman" w:hAnsi="Verdana" w:cs="Tahoma"/>
                <w:lang w:eastAsia="sl-SI"/>
              </w:rPr>
              <w:t>2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(v nadaljevanju: letni načrt).</w:t>
            </w:r>
          </w:p>
          <w:p w:rsidR="00080F01" w:rsidRPr="00080F01" w:rsidRDefault="00080F01" w:rsidP="00C271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4"/>
                <w:szCs w:val="4"/>
                <w:lang w:eastAsia="sl-SI"/>
              </w:rPr>
            </w:pPr>
          </w:p>
        </w:tc>
      </w:tr>
      <w:tr w:rsidR="003F7CAD" w:rsidRPr="003F7CAD" w:rsidTr="00005548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2. člen</w:t>
            </w:r>
          </w:p>
        </w:tc>
      </w:tr>
      <w:tr w:rsidR="003F7CAD" w:rsidRPr="003F7CAD" w:rsidTr="00005548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EE0444" w:rsidRDefault="009F69D6" w:rsidP="00EE0444">
            <w:pPr>
              <w:pStyle w:val="Brezrazmikov"/>
              <w:rPr>
                <w:rFonts w:ascii="Verdana" w:hAnsi="Verdana"/>
                <w:lang w:eastAsia="sl-SI"/>
              </w:rPr>
            </w:pPr>
            <w:r w:rsidRPr="00EE0444">
              <w:rPr>
                <w:rFonts w:ascii="Verdana" w:hAnsi="Verdana"/>
                <w:lang w:eastAsia="sl-SI"/>
              </w:rPr>
              <w:t>Letni načrt iz prejšnjega člena odloka vsebuje naslednje nepremičnine:</w:t>
            </w:r>
          </w:p>
          <w:tbl>
            <w:tblPr>
              <w:tblStyle w:val="Tabelamrea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1134"/>
              <w:gridCol w:w="1276"/>
              <w:gridCol w:w="1701"/>
              <w:gridCol w:w="1559"/>
              <w:gridCol w:w="1701"/>
            </w:tblGrid>
            <w:tr w:rsidR="004D4B61" w:rsidRPr="003F7CAD" w:rsidTr="007020C0">
              <w:tc>
                <w:tcPr>
                  <w:tcW w:w="562" w:type="dxa"/>
                </w:tcPr>
                <w:p w:rsidR="004D4B61" w:rsidRPr="00A139E7" w:rsidRDefault="004D4B6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18"/>
                      <w:szCs w:val="18"/>
                      <w:lang w:eastAsia="sl-SI"/>
                    </w:rPr>
                  </w:pPr>
                  <w:proofErr w:type="spellStart"/>
                  <w:r w:rsidRPr="00A139E7">
                    <w:rPr>
                      <w:rFonts w:ascii="Verdana" w:eastAsia="Times New Roman" w:hAnsi="Verdana" w:cs="Tahoma"/>
                      <w:b/>
                      <w:sz w:val="18"/>
                      <w:szCs w:val="18"/>
                      <w:lang w:eastAsia="sl-SI"/>
                    </w:rPr>
                    <w:t>Zap</w:t>
                  </w:r>
                  <w:proofErr w:type="spellEnd"/>
                  <w:r>
                    <w:rPr>
                      <w:rFonts w:ascii="Verdana" w:eastAsia="Times New Roman" w:hAnsi="Verdana" w:cs="Tahoma"/>
                      <w:b/>
                      <w:sz w:val="18"/>
                      <w:szCs w:val="18"/>
                      <w:lang w:eastAsia="sl-SI"/>
                    </w:rPr>
                    <w:t>.</w:t>
                  </w:r>
                </w:p>
                <w:p w:rsidR="004D4B61" w:rsidRPr="00A139E7" w:rsidRDefault="004D4B6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 w:rsidRPr="00A139E7">
                    <w:rPr>
                      <w:rFonts w:ascii="Verdana" w:eastAsia="Times New Roman" w:hAnsi="Verdana" w:cs="Tahoma"/>
                      <w:b/>
                      <w:sz w:val="18"/>
                      <w:szCs w:val="18"/>
                      <w:lang w:eastAsia="sl-SI"/>
                    </w:rPr>
                    <w:t>št.</w:t>
                  </w:r>
                </w:p>
              </w:tc>
              <w:tc>
                <w:tcPr>
                  <w:tcW w:w="1134" w:type="dxa"/>
                </w:tcPr>
                <w:p w:rsidR="004D4B61" w:rsidRPr="00A139E7" w:rsidRDefault="004D4B6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Katastrska občina in šifra k.o.</w:t>
                  </w:r>
                </w:p>
              </w:tc>
              <w:tc>
                <w:tcPr>
                  <w:tcW w:w="1134" w:type="dxa"/>
                </w:tcPr>
                <w:p w:rsidR="004D4B61" w:rsidRPr="00A139E7" w:rsidRDefault="004D4B6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proofErr w:type="spellStart"/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Parc</w:t>
                  </w:r>
                  <w:proofErr w:type="spellEnd"/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 xml:space="preserve">.št. </w:t>
                  </w:r>
                </w:p>
              </w:tc>
              <w:tc>
                <w:tcPr>
                  <w:tcW w:w="1276" w:type="dxa"/>
                </w:tcPr>
                <w:p w:rsidR="004D4B61" w:rsidRPr="00A139E7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Vrsta rabe in površina v m2</w:t>
                  </w:r>
                </w:p>
              </w:tc>
              <w:tc>
                <w:tcPr>
                  <w:tcW w:w="1701" w:type="dxa"/>
                </w:tcPr>
                <w:p w:rsidR="004D4B61" w:rsidRPr="00A139E7" w:rsidRDefault="004D4B6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Orientacijska vrednost</w:t>
                  </w:r>
                  <w:r w:rsidRPr="00A139E7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(v EUR)</w:t>
                  </w:r>
                </w:p>
              </w:tc>
              <w:tc>
                <w:tcPr>
                  <w:tcW w:w="1559" w:type="dxa"/>
                </w:tcPr>
                <w:p w:rsidR="004D4B61" w:rsidRPr="00A139E7" w:rsidRDefault="004D4B6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Metoda razpolaganja</w:t>
                  </w:r>
                </w:p>
              </w:tc>
              <w:tc>
                <w:tcPr>
                  <w:tcW w:w="1701" w:type="dxa"/>
                </w:tcPr>
                <w:p w:rsidR="004D4B61" w:rsidRPr="00A139E7" w:rsidRDefault="004D4B6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</w:pPr>
                  <w:r w:rsidRPr="00A139E7">
                    <w:rPr>
                      <w:rFonts w:ascii="Verdana" w:eastAsia="Times New Roman" w:hAnsi="Verdana" w:cs="Tahoma"/>
                      <w:b/>
                      <w:sz w:val="20"/>
                      <w:szCs w:val="20"/>
                      <w:lang w:eastAsia="sl-SI"/>
                    </w:rPr>
                    <w:t>Ekonomska utemeljenost</w:t>
                  </w:r>
                </w:p>
              </w:tc>
            </w:tr>
            <w:tr w:rsidR="004D4B61" w:rsidRPr="003F7CAD" w:rsidTr="007020C0">
              <w:tc>
                <w:tcPr>
                  <w:tcW w:w="562" w:type="dxa"/>
                </w:tcPr>
                <w:p w:rsidR="004D4B61" w:rsidRPr="00F772DA" w:rsidRDefault="004D4B6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  <w:r w:rsidRPr="00F772DA">
                    <w:rPr>
                      <w:rFonts w:ascii="Verdana" w:eastAsia="Times New Roman" w:hAnsi="Verdana" w:cs="Tahoma"/>
                      <w:b/>
                      <w:lang w:eastAsia="sl-SI"/>
                    </w:rPr>
                    <w:t>1.</w:t>
                  </w:r>
                </w:p>
              </w:tc>
              <w:tc>
                <w:tcPr>
                  <w:tcW w:w="1134" w:type="dxa"/>
                </w:tcPr>
                <w:p w:rsidR="004D4B61" w:rsidRPr="003F7CAD" w:rsidRDefault="00770583" w:rsidP="006C1FE4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proofErr w:type="spellStart"/>
                  <w:r>
                    <w:rPr>
                      <w:rFonts w:ascii="Verdana" w:eastAsia="Times New Roman" w:hAnsi="Verdana" w:cs="Tahoma"/>
                      <w:lang w:eastAsia="sl-SI"/>
                    </w:rPr>
                    <w:t>k.o.Radenci</w:t>
                  </w:r>
                  <w:proofErr w:type="spellEnd"/>
                  <w:r>
                    <w:rPr>
                      <w:rFonts w:ascii="Verdana" w:eastAsia="Times New Roman" w:hAnsi="Verdana" w:cs="Tahoma"/>
                      <w:lang w:eastAsia="sl-SI"/>
                    </w:rPr>
                    <w:t xml:space="preserve"> (200)</w:t>
                  </w:r>
                </w:p>
              </w:tc>
              <w:tc>
                <w:tcPr>
                  <w:tcW w:w="1134" w:type="dxa"/>
                </w:tcPr>
                <w:p w:rsidR="004D4B61" w:rsidRPr="003F7CAD" w:rsidRDefault="004D4B61" w:rsidP="00770583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 w:rsidRPr="003F7CAD">
                    <w:rPr>
                      <w:rFonts w:ascii="Verdana" w:eastAsia="Times New Roman" w:hAnsi="Verdana" w:cs="Tahoma"/>
                      <w:lang w:eastAsia="sl-SI"/>
                    </w:rPr>
                    <w:t>1</w:t>
                  </w:r>
                  <w:r w:rsidR="00770583">
                    <w:rPr>
                      <w:rFonts w:ascii="Verdana" w:eastAsia="Times New Roman" w:hAnsi="Verdana" w:cs="Tahoma"/>
                      <w:lang w:eastAsia="sl-SI"/>
                    </w:rPr>
                    <w:t>160/3</w:t>
                  </w:r>
                </w:p>
              </w:tc>
              <w:tc>
                <w:tcPr>
                  <w:tcW w:w="1276" w:type="dxa"/>
                </w:tcPr>
                <w:p w:rsidR="004D4B61" w:rsidRPr="003F7CAD" w:rsidRDefault="008E41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Stavbišče 331 m2</w:t>
                  </w:r>
                </w:p>
              </w:tc>
              <w:tc>
                <w:tcPr>
                  <w:tcW w:w="1701" w:type="dxa"/>
                </w:tcPr>
                <w:p w:rsidR="004D4B61" w:rsidRPr="003F7CAD" w:rsidRDefault="004D4B6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  <w:tc>
                <w:tcPr>
                  <w:tcW w:w="1559" w:type="dxa"/>
                </w:tcPr>
                <w:p w:rsidR="004D4B61" w:rsidRPr="003F7CAD" w:rsidRDefault="004D4B6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4D4B61" w:rsidRPr="003F7CAD" w:rsidRDefault="004D4B6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</w:tr>
            <w:tr w:rsidR="00770583" w:rsidRPr="003F7CAD" w:rsidTr="007020C0">
              <w:tc>
                <w:tcPr>
                  <w:tcW w:w="562" w:type="dxa"/>
                </w:tcPr>
                <w:p w:rsidR="00770583" w:rsidRPr="00F772DA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</w:p>
              </w:tc>
              <w:tc>
                <w:tcPr>
                  <w:tcW w:w="1134" w:type="dxa"/>
                </w:tcPr>
                <w:p w:rsidR="00770583" w:rsidRDefault="00B04735" w:rsidP="006C1FE4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proofErr w:type="spellStart"/>
                  <w:r>
                    <w:rPr>
                      <w:rFonts w:ascii="Verdana" w:eastAsia="Times New Roman" w:hAnsi="Verdana" w:cs="Tahoma"/>
                      <w:lang w:eastAsia="sl-SI"/>
                    </w:rPr>
                    <w:t>k.o.Radenci</w:t>
                  </w:r>
                  <w:proofErr w:type="spellEnd"/>
                  <w:r>
                    <w:rPr>
                      <w:rFonts w:ascii="Verdana" w:eastAsia="Times New Roman" w:hAnsi="Verdana" w:cs="Tahoma"/>
                      <w:lang w:eastAsia="sl-SI"/>
                    </w:rPr>
                    <w:t xml:space="preserve"> (200)</w:t>
                  </w:r>
                </w:p>
              </w:tc>
              <w:tc>
                <w:tcPr>
                  <w:tcW w:w="1134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1160/1</w:t>
                  </w:r>
                </w:p>
              </w:tc>
              <w:tc>
                <w:tcPr>
                  <w:tcW w:w="1276" w:type="dxa"/>
                </w:tcPr>
                <w:p w:rsidR="00770583" w:rsidRPr="003F7CAD" w:rsidRDefault="008E41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Sadovnjak 2445 m2</w:t>
                  </w:r>
                </w:p>
              </w:tc>
              <w:tc>
                <w:tcPr>
                  <w:tcW w:w="1701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  <w:tc>
                <w:tcPr>
                  <w:tcW w:w="1559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</w:tr>
            <w:tr w:rsidR="00770583" w:rsidRPr="003F7CAD" w:rsidTr="007020C0">
              <w:tc>
                <w:tcPr>
                  <w:tcW w:w="562" w:type="dxa"/>
                </w:tcPr>
                <w:p w:rsidR="00770583" w:rsidRPr="00F772DA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</w:p>
              </w:tc>
              <w:tc>
                <w:tcPr>
                  <w:tcW w:w="1134" w:type="dxa"/>
                </w:tcPr>
                <w:p w:rsidR="00770583" w:rsidRDefault="00B04735" w:rsidP="006C1FE4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proofErr w:type="spellStart"/>
                  <w:r>
                    <w:rPr>
                      <w:rFonts w:ascii="Verdana" w:eastAsia="Times New Roman" w:hAnsi="Verdana" w:cs="Tahoma"/>
                      <w:lang w:eastAsia="sl-SI"/>
                    </w:rPr>
                    <w:t>k.o.Radenci</w:t>
                  </w:r>
                  <w:proofErr w:type="spellEnd"/>
                  <w:r>
                    <w:rPr>
                      <w:rFonts w:ascii="Verdana" w:eastAsia="Times New Roman" w:hAnsi="Verdana" w:cs="Tahoma"/>
                      <w:lang w:eastAsia="sl-SI"/>
                    </w:rPr>
                    <w:t xml:space="preserve"> (200)</w:t>
                  </w:r>
                </w:p>
              </w:tc>
              <w:tc>
                <w:tcPr>
                  <w:tcW w:w="1134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1150/7</w:t>
                  </w:r>
                </w:p>
              </w:tc>
              <w:tc>
                <w:tcPr>
                  <w:tcW w:w="1276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Sadovnjak   575 m2</w:t>
                  </w:r>
                </w:p>
              </w:tc>
              <w:tc>
                <w:tcPr>
                  <w:tcW w:w="1701" w:type="dxa"/>
                </w:tcPr>
                <w:p w:rsidR="00770583" w:rsidRPr="003F7CAD" w:rsidRDefault="00440F92" w:rsidP="00440F92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 w:rsidRPr="006F5B44">
                    <w:rPr>
                      <w:rFonts w:ascii="Verdana" w:eastAsia="Times New Roman" w:hAnsi="Verdana" w:cs="Tahoma"/>
                      <w:lang w:eastAsia="sl-SI"/>
                    </w:rPr>
                    <w:t>16.286,96</w:t>
                  </w:r>
                  <w:r w:rsidRPr="00080F01">
                    <w:rPr>
                      <w:rFonts w:ascii="Verdana" w:eastAsia="Times New Roman" w:hAnsi="Verdana" w:cs="Tahoma"/>
                      <w:sz w:val="21"/>
                      <w:szCs w:val="21"/>
                      <w:lang w:eastAsia="sl-SI"/>
                    </w:rPr>
                    <w:t xml:space="preserve"> </w:t>
                  </w:r>
                  <w:r w:rsidR="00B04735">
                    <w:rPr>
                      <w:rFonts w:ascii="Verdana" w:eastAsia="Times New Roman" w:hAnsi="Verdana" w:cs="Tahoma"/>
                      <w:lang w:eastAsia="sl-SI"/>
                    </w:rPr>
                    <w:t xml:space="preserve"> (za </w:t>
                  </w:r>
                  <w:proofErr w:type="spellStart"/>
                  <w:r w:rsidR="00B04735">
                    <w:rPr>
                      <w:rFonts w:ascii="Verdana" w:eastAsia="Times New Roman" w:hAnsi="Verdana" w:cs="Tahoma"/>
                      <w:lang w:eastAsia="sl-SI"/>
                    </w:rPr>
                    <w:t>parc</w:t>
                  </w:r>
                  <w:proofErr w:type="spellEnd"/>
                  <w:r w:rsidR="00B04735">
                    <w:rPr>
                      <w:rFonts w:ascii="Verdana" w:eastAsia="Times New Roman" w:hAnsi="Verdana" w:cs="Tahoma"/>
                      <w:lang w:eastAsia="sl-SI"/>
                    </w:rPr>
                    <w:t>.št. 1150/7, 1160/1 in 1160/3 skupaj)</w:t>
                  </w:r>
                </w:p>
              </w:tc>
              <w:tc>
                <w:tcPr>
                  <w:tcW w:w="1559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Neposredna pogodba</w:t>
                  </w:r>
                </w:p>
              </w:tc>
              <w:tc>
                <w:tcPr>
                  <w:tcW w:w="1701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</w:tr>
            <w:tr w:rsidR="00770583" w:rsidRPr="003F7CAD" w:rsidTr="007020C0">
              <w:tc>
                <w:tcPr>
                  <w:tcW w:w="562" w:type="dxa"/>
                </w:tcPr>
                <w:p w:rsidR="00770583" w:rsidRPr="00F772DA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  <w:r w:rsidRPr="00F772DA">
                    <w:rPr>
                      <w:rFonts w:ascii="Verdana" w:eastAsia="Times New Roman" w:hAnsi="Verdana" w:cs="Tahoma"/>
                      <w:b/>
                      <w:lang w:eastAsia="sl-SI"/>
                    </w:rPr>
                    <w:t>2.</w:t>
                  </w:r>
                </w:p>
              </w:tc>
              <w:tc>
                <w:tcPr>
                  <w:tcW w:w="1134" w:type="dxa"/>
                </w:tcPr>
                <w:p w:rsidR="00770583" w:rsidRDefault="00B04735" w:rsidP="006C1FE4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proofErr w:type="spellStart"/>
                  <w:r>
                    <w:rPr>
                      <w:rFonts w:ascii="Verdana" w:eastAsia="Times New Roman" w:hAnsi="Verdana" w:cs="Tahoma"/>
                      <w:lang w:eastAsia="sl-SI"/>
                    </w:rPr>
                    <w:t>k.o.Radenci</w:t>
                  </w:r>
                  <w:proofErr w:type="spellEnd"/>
                  <w:r>
                    <w:rPr>
                      <w:rFonts w:ascii="Verdana" w:eastAsia="Times New Roman" w:hAnsi="Verdana" w:cs="Tahoma"/>
                      <w:lang w:eastAsia="sl-SI"/>
                    </w:rPr>
                    <w:t xml:space="preserve"> (200)</w:t>
                  </w:r>
                </w:p>
              </w:tc>
              <w:tc>
                <w:tcPr>
                  <w:tcW w:w="1134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1151/2</w:t>
                  </w:r>
                </w:p>
              </w:tc>
              <w:tc>
                <w:tcPr>
                  <w:tcW w:w="1276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Travnik 597 m2</w:t>
                  </w:r>
                </w:p>
              </w:tc>
              <w:tc>
                <w:tcPr>
                  <w:tcW w:w="1701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358,20</w:t>
                  </w:r>
                </w:p>
              </w:tc>
              <w:tc>
                <w:tcPr>
                  <w:tcW w:w="1559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Neposredna pogodba</w:t>
                  </w:r>
                </w:p>
              </w:tc>
              <w:tc>
                <w:tcPr>
                  <w:tcW w:w="1701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</w:tr>
            <w:tr w:rsidR="00770583" w:rsidRPr="003F7CAD" w:rsidTr="007020C0">
              <w:tc>
                <w:tcPr>
                  <w:tcW w:w="562" w:type="dxa"/>
                </w:tcPr>
                <w:p w:rsidR="00770583" w:rsidRPr="00F772DA" w:rsidRDefault="008E41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  <w:r w:rsidRPr="00F772DA">
                    <w:rPr>
                      <w:rFonts w:ascii="Verdana" w:eastAsia="Times New Roman" w:hAnsi="Verdana" w:cs="Tahoma"/>
                      <w:b/>
                      <w:lang w:eastAsia="sl-SI"/>
                    </w:rPr>
                    <w:t>3.</w:t>
                  </w:r>
                </w:p>
              </w:tc>
              <w:tc>
                <w:tcPr>
                  <w:tcW w:w="1134" w:type="dxa"/>
                </w:tcPr>
                <w:p w:rsidR="00770583" w:rsidRDefault="00B04735" w:rsidP="006C1FE4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proofErr w:type="spellStart"/>
                  <w:r>
                    <w:rPr>
                      <w:rFonts w:ascii="Verdana" w:eastAsia="Times New Roman" w:hAnsi="Verdana" w:cs="Tahoma"/>
                      <w:lang w:eastAsia="sl-SI"/>
                    </w:rPr>
                    <w:t>k.o.Radenci</w:t>
                  </w:r>
                  <w:proofErr w:type="spellEnd"/>
                  <w:r>
                    <w:rPr>
                      <w:rFonts w:ascii="Verdana" w:eastAsia="Times New Roman" w:hAnsi="Verdana" w:cs="Tahoma"/>
                      <w:lang w:eastAsia="sl-SI"/>
                    </w:rPr>
                    <w:t xml:space="preserve"> (200)</w:t>
                  </w:r>
                </w:p>
              </w:tc>
              <w:tc>
                <w:tcPr>
                  <w:tcW w:w="1134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1151/3</w:t>
                  </w:r>
                </w:p>
              </w:tc>
              <w:tc>
                <w:tcPr>
                  <w:tcW w:w="1276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Travnik 396 m2 in sadovnjak 395 m2</w:t>
                  </w:r>
                </w:p>
              </w:tc>
              <w:tc>
                <w:tcPr>
                  <w:tcW w:w="1701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514,10</w:t>
                  </w:r>
                </w:p>
              </w:tc>
              <w:tc>
                <w:tcPr>
                  <w:tcW w:w="1559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Neposredna pogodba</w:t>
                  </w:r>
                </w:p>
              </w:tc>
              <w:tc>
                <w:tcPr>
                  <w:tcW w:w="1701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</w:tr>
            <w:tr w:rsidR="00770583" w:rsidRPr="003F7CAD" w:rsidTr="007020C0">
              <w:tc>
                <w:tcPr>
                  <w:tcW w:w="562" w:type="dxa"/>
                </w:tcPr>
                <w:p w:rsidR="00770583" w:rsidRPr="00F772DA" w:rsidRDefault="008E41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  <w:r w:rsidRPr="00F772DA">
                    <w:rPr>
                      <w:rFonts w:ascii="Verdana" w:eastAsia="Times New Roman" w:hAnsi="Verdana" w:cs="Tahoma"/>
                      <w:b/>
                      <w:lang w:eastAsia="sl-SI"/>
                    </w:rPr>
                    <w:t>4.</w:t>
                  </w:r>
                </w:p>
              </w:tc>
              <w:tc>
                <w:tcPr>
                  <w:tcW w:w="1134" w:type="dxa"/>
                </w:tcPr>
                <w:p w:rsidR="00770583" w:rsidRDefault="00B04735" w:rsidP="006C1FE4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proofErr w:type="spellStart"/>
                  <w:r>
                    <w:rPr>
                      <w:rFonts w:ascii="Verdana" w:eastAsia="Times New Roman" w:hAnsi="Verdana" w:cs="Tahoma"/>
                      <w:lang w:eastAsia="sl-SI"/>
                    </w:rPr>
                    <w:t>k.o.Radenci</w:t>
                  </w:r>
                  <w:proofErr w:type="spellEnd"/>
                  <w:r>
                    <w:rPr>
                      <w:rFonts w:ascii="Verdana" w:eastAsia="Times New Roman" w:hAnsi="Verdana" w:cs="Tahoma"/>
                      <w:lang w:eastAsia="sl-SI"/>
                    </w:rPr>
                    <w:t xml:space="preserve"> (200)</w:t>
                  </w:r>
                </w:p>
              </w:tc>
              <w:tc>
                <w:tcPr>
                  <w:tcW w:w="1134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1153</w:t>
                  </w:r>
                </w:p>
              </w:tc>
              <w:tc>
                <w:tcPr>
                  <w:tcW w:w="1276" w:type="dxa"/>
                </w:tcPr>
                <w:p w:rsidR="00770583" w:rsidRPr="003F7CAD" w:rsidRDefault="008E41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Travnik 255 m2</w:t>
                  </w:r>
                </w:p>
              </w:tc>
              <w:tc>
                <w:tcPr>
                  <w:tcW w:w="1701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153</w:t>
                  </w:r>
                </w:p>
              </w:tc>
              <w:tc>
                <w:tcPr>
                  <w:tcW w:w="1559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Neposredna pogodba</w:t>
                  </w:r>
                </w:p>
              </w:tc>
              <w:tc>
                <w:tcPr>
                  <w:tcW w:w="1701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</w:tr>
            <w:tr w:rsidR="00770583" w:rsidRPr="003F7CAD" w:rsidTr="007020C0">
              <w:tc>
                <w:tcPr>
                  <w:tcW w:w="562" w:type="dxa"/>
                </w:tcPr>
                <w:p w:rsidR="00770583" w:rsidRPr="00F772DA" w:rsidRDefault="008E41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  <w:r w:rsidRPr="00F772DA">
                    <w:rPr>
                      <w:rFonts w:ascii="Verdana" w:eastAsia="Times New Roman" w:hAnsi="Verdana" w:cs="Tahoma"/>
                      <w:b/>
                      <w:lang w:eastAsia="sl-SI"/>
                    </w:rPr>
                    <w:t>5.</w:t>
                  </w:r>
                </w:p>
              </w:tc>
              <w:tc>
                <w:tcPr>
                  <w:tcW w:w="1134" w:type="dxa"/>
                </w:tcPr>
                <w:p w:rsidR="00770583" w:rsidRDefault="00B04735" w:rsidP="006C1FE4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proofErr w:type="spellStart"/>
                  <w:r>
                    <w:rPr>
                      <w:rFonts w:ascii="Verdana" w:eastAsia="Times New Roman" w:hAnsi="Verdana" w:cs="Tahoma"/>
                      <w:lang w:eastAsia="sl-SI"/>
                    </w:rPr>
                    <w:t>k.o.Rad</w:t>
                  </w:r>
                  <w:r>
                    <w:rPr>
                      <w:rFonts w:ascii="Verdana" w:eastAsia="Times New Roman" w:hAnsi="Verdana" w:cs="Tahoma"/>
                      <w:lang w:eastAsia="sl-SI"/>
                    </w:rPr>
                    <w:lastRenderedPageBreak/>
                    <w:t>enci</w:t>
                  </w:r>
                  <w:proofErr w:type="spellEnd"/>
                  <w:r>
                    <w:rPr>
                      <w:rFonts w:ascii="Verdana" w:eastAsia="Times New Roman" w:hAnsi="Verdana" w:cs="Tahoma"/>
                      <w:lang w:eastAsia="sl-SI"/>
                    </w:rPr>
                    <w:t xml:space="preserve"> (200)</w:t>
                  </w:r>
                </w:p>
              </w:tc>
              <w:tc>
                <w:tcPr>
                  <w:tcW w:w="1134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lastRenderedPageBreak/>
                    <w:t>1158/1</w:t>
                  </w:r>
                </w:p>
              </w:tc>
              <w:tc>
                <w:tcPr>
                  <w:tcW w:w="1276" w:type="dxa"/>
                </w:tcPr>
                <w:p w:rsidR="00770583" w:rsidRPr="003F7CAD" w:rsidRDefault="008E41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Sadovnja</w:t>
                  </w:r>
                  <w:r>
                    <w:rPr>
                      <w:rFonts w:ascii="Verdana" w:eastAsia="Times New Roman" w:hAnsi="Verdana" w:cs="Tahoma"/>
                      <w:lang w:eastAsia="sl-SI"/>
                    </w:rPr>
                    <w:lastRenderedPageBreak/>
                    <w:t>k 1139 m2</w:t>
                  </w:r>
                </w:p>
              </w:tc>
              <w:tc>
                <w:tcPr>
                  <w:tcW w:w="1701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lastRenderedPageBreak/>
                    <w:t>797,30</w:t>
                  </w:r>
                </w:p>
              </w:tc>
              <w:tc>
                <w:tcPr>
                  <w:tcW w:w="1559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 xml:space="preserve">Neposredna </w:t>
                  </w:r>
                  <w:r>
                    <w:rPr>
                      <w:rFonts w:ascii="Verdana" w:eastAsia="Times New Roman" w:hAnsi="Verdana" w:cs="Tahoma"/>
                      <w:lang w:eastAsia="sl-SI"/>
                    </w:rPr>
                    <w:lastRenderedPageBreak/>
                    <w:t>pogodba</w:t>
                  </w:r>
                </w:p>
              </w:tc>
              <w:tc>
                <w:tcPr>
                  <w:tcW w:w="1701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</w:tr>
            <w:tr w:rsidR="00770583" w:rsidRPr="003F7CAD" w:rsidTr="007020C0">
              <w:tc>
                <w:tcPr>
                  <w:tcW w:w="562" w:type="dxa"/>
                </w:tcPr>
                <w:p w:rsidR="00770583" w:rsidRPr="00F772DA" w:rsidRDefault="008E41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  <w:r w:rsidRPr="00F772DA">
                    <w:rPr>
                      <w:rFonts w:ascii="Verdana" w:eastAsia="Times New Roman" w:hAnsi="Verdana" w:cs="Tahoma"/>
                      <w:b/>
                      <w:lang w:eastAsia="sl-SI"/>
                    </w:rPr>
                    <w:lastRenderedPageBreak/>
                    <w:t>6.</w:t>
                  </w:r>
                </w:p>
              </w:tc>
              <w:tc>
                <w:tcPr>
                  <w:tcW w:w="1134" w:type="dxa"/>
                </w:tcPr>
                <w:p w:rsidR="00770583" w:rsidRDefault="00B04735" w:rsidP="006C1FE4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proofErr w:type="spellStart"/>
                  <w:r>
                    <w:rPr>
                      <w:rFonts w:ascii="Verdana" w:eastAsia="Times New Roman" w:hAnsi="Verdana" w:cs="Tahoma"/>
                      <w:lang w:eastAsia="sl-SI"/>
                    </w:rPr>
                    <w:t>k.o.Radenci</w:t>
                  </w:r>
                  <w:proofErr w:type="spellEnd"/>
                  <w:r>
                    <w:rPr>
                      <w:rFonts w:ascii="Verdana" w:eastAsia="Times New Roman" w:hAnsi="Verdana" w:cs="Tahoma"/>
                      <w:lang w:eastAsia="sl-SI"/>
                    </w:rPr>
                    <w:t xml:space="preserve"> (200)</w:t>
                  </w:r>
                </w:p>
              </w:tc>
              <w:tc>
                <w:tcPr>
                  <w:tcW w:w="1134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1158/2</w:t>
                  </w:r>
                </w:p>
              </w:tc>
              <w:tc>
                <w:tcPr>
                  <w:tcW w:w="1276" w:type="dxa"/>
                </w:tcPr>
                <w:p w:rsidR="00770583" w:rsidRPr="003F7CAD" w:rsidRDefault="008E41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Vinograd 375 m2</w:t>
                  </w:r>
                </w:p>
              </w:tc>
              <w:tc>
                <w:tcPr>
                  <w:tcW w:w="1701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337,50</w:t>
                  </w:r>
                </w:p>
              </w:tc>
              <w:tc>
                <w:tcPr>
                  <w:tcW w:w="1559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Neposredna pogodba</w:t>
                  </w:r>
                </w:p>
              </w:tc>
              <w:tc>
                <w:tcPr>
                  <w:tcW w:w="1701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</w:tr>
            <w:tr w:rsidR="00770583" w:rsidRPr="003F7CAD" w:rsidTr="007020C0">
              <w:tc>
                <w:tcPr>
                  <w:tcW w:w="562" w:type="dxa"/>
                </w:tcPr>
                <w:p w:rsidR="00770583" w:rsidRPr="00F772DA" w:rsidRDefault="008E41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  <w:r w:rsidRPr="00F772DA">
                    <w:rPr>
                      <w:rFonts w:ascii="Verdana" w:eastAsia="Times New Roman" w:hAnsi="Verdana" w:cs="Tahoma"/>
                      <w:b/>
                      <w:lang w:eastAsia="sl-SI"/>
                    </w:rPr>
                    <w:t>7.</w:t>
                  </w:r>
                </w:p>
              </w:tc>
              <w:tc>
                <w:tcPr>
                  <w:tcW w:w="1134" w:type="dxa"/>
                </w:tcPr>
                <w:p w:rsidR="00770583" w:rsidRDefault="00B04735" w:rsidP="006C1FE4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proofErr w:type="spellStart"/>
                  <w:r>
                    <w:rPr>
                      <w:rFonts w:ascii="Verdana" w:eastAsia="Times New Roman" w:hAnsi="Verdana" w:cs="Tahoma"/>
                      <w:lang w:eastAsia="sl-SI"/>
                    </w:rPr>
                    <w:t>k.o.Radenci</w:t>
                  </w:r>
                  <w:proofErr w:type="spellEnd"/>
                  <w:r>
                    <w:rPr>
                      <w:rFonts w:ascii="Verdana" w:eastAsia="Times New Roman" w:hAnsi="Verdana" w:cs="Tahoma"/>
                      <w:lang w:eastAsia="sl-SI"/>
                    </w:rPr>
                    <w:t xml:space="preserve"> (200)</w:t>
                  </w:r>
                </w:p>
              </w:tc>
              <w:tc>
                <w:tcPr>
                  <w:tcW w:w="1134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1159/1</w:t>
                  </w:r>
                </w:p>
              </w:tc>
              <w:tc>
                <w:tcPr>
                  <w:tcW w:w="1276" w:type="dxa"/>
                </w:tcPr>
                <w:p w:rsidR="00770583" w:rsidRPr="003F7CAD" w:rsidRDefault="008E41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Njiva 6570 m2</w:t>
                  </w:r>
                </w:p>
              </w:tc>
              <w:tc>
                <w:tcPr>
                  <w:tcW w:w="1701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5.913</w:t>
                  </w:r>
                </w:p>
              </w:tc>
              <w:tc>
                <w:tcPr>
                  <w:tcW w:w="1559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Neposredna pogodba</w:t>
                  </w:r>
                </w:p>
              </w:tc>
              <w:tc>
                <w:tcPr>
                  <w:tcW w:w="1701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</w:tr>
            <w:tr w:rsidR="00770583" w:rsidRPr="003F7CAD" w:rsidTr="007020C0">
              <w:tc>
                <w:tcPr>
                  <w:tcW w:w="562" w:type="dxa"/>
                </w:tcPr>
                <w:p w:rsidR="00770583" w:rsidRPr="00F772DA" w:rsidRDefault="008E41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  <w:r w:rsidRPr="00F772DA">
                    <w:rPr>
                      <w:rFonts w:ascii="Verdana" w:eastAsia="Times New Roman" w:hAnsi="Verdana" w:cs="Tahoma"/>
                      <w:b/>
                      <w:lang w:eastAsia="sl-SI"/>
                    </w:rPr>
                    <w:t>8.</w:t>
                  </w:r>
                </w:p>
              </w:tc>
              <w:tc>
                <w:tcPr>
                  <w:tcW w:w="1134" w:type="dxa"/>
                </w:tcPr>
                <w:p w:rsidR="00770583" w:rsidRDefault="00B04735" w:rsidP="006C1FE4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proofErr w:type="spellStart"/>
                  <w:r>
                    <w:rPr>
                      <w:rFonts w:ascii="Verdana" w:eastAsia="Times New Roman" w:hAnsi="Verdana" w:cs="Tahoma"/>
                      <w:lang w:eastAsia="sl-SI"/>
                    </w:rPr>
                    <w:t>k.o.Radenci</w:t>
                  </w:r>
                  <w:proofErr w:type="spellEnd"/>
                  <w:r>
                    <w:rPr>
                      <w:rFonts w:ascii="Verdana" w:eastAsia="Times New Roman" w:hAnsi="Verdana" w:cs="Tahoma"/>
                      <w:lang w:eastAsia="sl-SI"/>
                    </w:rPr>
                    <w:t xml:space="preserve"> (200)</w:t>
                  </w:r>
                </w:p>
              </w:tc>
              <w:tc>
                <w:tcPr>
                  <w:tcW w:w="1134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1161/1</w:t>
                  </w:r>
                </w:p>
              </w:tc>
              <w:tc>
                <w:tcPr>
                  <w:tcW w:w="1276" w:type="dxa"/>
                </w:tcPr>
                <w:p w:rsidR="00770583" w:rsidRPr="003F7CAD" w:rsidRDefault="008E41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Travnik 272 m2</w:t>
                  </w:r>
                </w:p>
              </w:tc>
              <w:tc>
                <w:tcPr>
                  <w:tcW w:w="1701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136</w:t>
                  </w:r>
                </w:p>
              </w:tc>
              <w:tc>
                <w:tcPr>
                  <w:tcW w:w="1559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Neposredna pogodba</w:t>
                  </w:r>
                </w:p>
              </w:tc>
              <w:tc>
                <w:tcPr>
                  <w:tcW w:w="1701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</w:tr>
            <w:tr w:rsidR="00770583" w:rsidRPr="003F7CAD" w:rsidTr="007020C0">
              <w:tc>
                <w:tcPr>
                  <w:tcW w:w="562" w:type="dxa"/>
                </w:tcPr>
                <w:p w:rsidR="00770583" w:rsidRPr="00F772DA" w:rsidRDefault="008E41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  <w:r w:rsidRPr="00F772DA">
                    <w:rPr>
                      <w:rFonts w:ascii="Verdana" w:eastAsia="Times New Roman" w:hAnsi="Verdana" w:cs="Tahoma"/>
                      <w:b/>
                      <w:lang w:eastAsia="sl-SI"/>
                    </w:rPr>
                    <w:t>9.</w:t>
                  </w:r>
                </w:p>
              </w:tc>
              <w:tc>
                <w:tcPr>
                  <w:tcW w:w="1134" w:type="dxa"/>
                </w:tcPr>
                <w:p w:rsidR="00770583" w:rsidRDefault="00B04735" w:rsidP="006C1FE4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proofErr w:type="spellStart"/>
                  <w:r>
                    <w:rPr>
                      <w:rFonts w:ascii="Verdana" w:eastAsia="Times New Roman" w:hAnsi="Verdana" w:cs="Tahoma"/>
                      <w:lang w:eastAsia="sl-SI"/>
                    </w:rPr>
                    <w:t>k.o.Radenci</w:t>
                  </w:r>
                  <w:proofErr w:type="spellEnd"/>
                  <w:r>
                    <w:rPr>
                      <w:rFonts w:ascii="Verdana" w:eastAsia="Times New Roman" w:hAnsi="Verdana" w:cs="Tahoma"/>
                      <w:lang w:eastAsia="sl-SI"/>
                    </w:rPr>
                    <w:t xml:space="preserve"> (200)</w:t>
                  </w:r>
                </w:p>
              </w:tc>
              <w:tc>
                <w:tcPr>
                  <w:tcW w:w="1134" w:type="dxa"/>
                </w:tcPr>
                <w:p w:rsidR="00770583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1162/1</w:t>
                  </w:r>
                </w:p>
              </w:tc>
              <w:tc>
                <w:tcPr>
                  <w:tcW w:w="1276" w:type="dxa"/>
                </w:tcPr>
                <w:p w:rsidR="00770583" w:rsidRPr="003F7CAD" w:rsidRDefault="008E41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Gozd 1605 m2</w:t>
                  </w:r>
                </w:p>
              </w:tc>
              <w:tc>
                <w:tcPr>
                  <w:tcW w:w="1701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963</w:t>
                  </w:r>
                </w:p>
              </w:tc>
              <w:tc>
                <w:tcPr>
                  <w:tcW w:w="1559" w:type="dxa"/>
                </w:tcPr>
                <w:p w:rsidR="00770583" w:rsidRPr="003F7CAD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  <w:r>
                    <w:rPr>
                      <w:rFonts w:ascii="Verdana" w:eastAsia="Times New Roman" w:hAnsi="Verdana" w:cs="Tahoma"/>
                      <w:lang w:eastAsia="sl-SI"/>
                    </w:rPr>
                    <w:t>Neposredna pogodba</w:t>
                  </w:r>
                </w:p>
              </w:tc>
              <w:tc>
                <w:tcPr>
                  <w:tcW w:w="1701" w:type="dxa"/>
                </w:tcPr>
                <w:p w:rsidR="00770583" w:rsidRPr="003F7CAD" w:rsidRDefault="00770583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lang w:eastAsia="sl-SI"/>
                    </w:rPr>
                  </w:pPr>
                </w:p>
              </w:tc>
            </w:tr>
            <w:tr w:rsidR="004D4B61" w:rsidRPr="003F7CAD" w:rsidTr="007020C0">
              <w:tc>
                <w:tcPr>
                  <w:tcW w:w="562" w:type="dxa"/>
                </w:tcPr>
                <w:p w:rsidR="004D4B61" w:rsidRPr="00036914" w:rsidRDefault="004D4B6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</w:p>
              </w:tc>
              <w:tc>
                <w:tcPr>
                  <w:tcW w:w="1134" w:type="dxa"/>
                </w:tcPr>
                <w:p w:rsidR="004D4B61" w:rsidRPr="00397043" w:rsidRDefault="004D4B6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1"/>
                      <w:szCs w:val="21"/>
                      <w:lang w:eastAsia="sl-SI"/>
                    </w:rPr>
                  </w:pPr>
                  <w:r w:rsidRPr="00397043">
                    <w:rPr>
                      <w:rFonts w:ascii="Verdana" w:eastAsia="Times New Roman" w:hAnsi="Verdana" w:cs="Tahoma"/>
                      <w:b/>
                      <w:sz w:val="21"/>
                      <w:szCs w:val="21"/>
                      <w:lang w:eastAsia="sl-SI"/>
                    </w:rPr>
                    <w:t>SKUPAJ</w:t>
                  </w:r>
                </w:p>
              </w:tc>
              <w:tc>
                <w:tcPr>
                  <w:tcW w:w="1134" w:type="dxa"/>
                </w:tcPr>
                <w:p w:rsidR="004D4B61" w:rsidRPr="00036914" w:rsidRDefault="004D4B6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</w:p>
              </w:tc>
              <w:tc>
                <w:tcPr>
                  <w:tcW w:w="1276" w:type="dxa"/>
                </w:tcPr>
                <w:p w:rsidR="004D4B61" w:rsidRPr="00036914" w:rsidRDefault="004D4B6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4D4B61" w:rsidRPr="00080F01" w:rsidRDefault="00F772DA" w:rsidP="008E4135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1"/>
                      <w:szCs w:val="21"/>
                      <w:lang w:eastAsia="sl-SI"/>
                    </w:rPr>
                  </w:pPr>
                  <w:r w:rsidRPr="00080F01">
                    <w:rPr>
                      <w:rFonts w:ascii="Verdana" w:eastAsia="Times New Roman" w:hAnsi="Verdana" w:cs="Tahoma"/>
                      <w:b/>
                      <w:sz w:val="21"/>
                      <w:szCs w:val="21"/>
                      <w:lang w:eastAsia="sl-SI"/>
                    </w:rPr>
                    <w:t>25.459,05</w:t>
                  </w:r>
                </w:p>
              </w:tc>
              <w:tc>
                <w:tcPr>
                  <w:tcW w:w="1559" w:type="dxa"/>
                </w:tcPr>
                <w:p w:rsidR="004D4B61" w:rsidRPr="00036914" w:rsidRDefault="004D4B61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lang w:eastAsia="sl-SI"/>
                    </w:rPr>
                  </w:pPr>
                </w:p>
              </w:tc>
              <w:tc>
                <w:tcPr>
                  <w:tcW w:w="1701" w:type="dxa"/>
                </w:tcPr>
                <w:p w:rsidR="004D4B61" w:rsidRPr="00397043" w:rsidRDefault="00B04735" w:rsidP="006E3B16">
                  <w:pPr>
                    <w:spacing w:before="100" w:beforeAutospacing="1" w:after="100" w:afterAutospacing="1"/>
                    <w:rPr>
                      <w:rFonts w:ascii="Verdana" w:eastAsia="Times New Roman" w:hAnsi="Verdana" w:cs="Tahoma"/>
                      <w:b/>
                      <w:sz w:val="21"/>
                      <w:szCs w:val="21"/>
                      <w:lang w:eastAsia="sl-SI"/>
                    </w:rPr>
                  </w:pPr>
                  <w:r w:rsidRPr="00397043">
                    <w:rPr>
                      <w:rFonts w:ascii="Verdana" w:eastAsia="Times New Roman" w:hAnsi="Verdana" w:cs="Tahoma"/>
                      <w:b/>
                      <w:sz w:val="21"/>
                      <w:szCs w:val="21"/>
                      <w:lang w:eastAsia="sl-SI"/>
                    </w:rPr>
                    <w:t>Se ne potrebuje, pričakuje se prihodek v proračun</w:t>
                  </w:r>
                </w:p>
              </w:tc>
            </w:tr>
          </w:tbl>
          <w:p w:rsidR="002D5F38" w:rsidRPr="003F7CAD" w:rsidRDefault="002D5F38" w:rsidP="006E3B1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lang w:eastAsia="sl-SI"/>
              </w:rPr>
            </w:pPr>
          </w:p>
        </w:tc>
      </w:tr>
      <w:tr w:rsidR="003F7CAD" w:rsidRPr="003F7CAD" w:rsidTr="006C1FE4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F01" w:rsidRPr="00080F01" w:rsidRDefault="00080F01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b/>
                <w:bCs/>
                <w:sz w:val="4"/>
                <w:szCs w:val="4"/>
                <w:lang w:eastAsia="sl-SI"/>
              </w:rPr>
            </w:pPr>
          </w:p>
          <w:p w:rsidR="009F69D6" w:rsidRPr="003F7CAD" w:rsidRDefault="006C1FE4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3. člen</w:t>
            </w:r>
          </w:p>
        </w:tc>
      </w:tr>
      <w:tr w:rsidR="003F7CAD" w:rsidRPr="003F7CAD" w:rsidTr="00005548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87A" w:rsidRPr="003F7CAD" w:rsidRDefault="009F69D6" w:rsidP="004D4B6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lang w:eastAsia="sl-SI"/>
              </w:rPr>
            </w:pPr>
            <w:r w:rsidRPr="003F7CAD">
              <w:rPr>
                <w:rFonts w:ascii="Verdana" w:eastAsia="Times New Roman" w:hAnsi="Verdana" w:cs="Tahoma"/>
                <w:lang w:eastAsia="sl-SI"/>
              </w:rPr>
              <w:t>Občinski Svet Občine Radenci poobl</w:t>
            </w:r>
            <w:r w:rsidR="00A6587A" w:rsidRPr="003F7CAD">
              <w:rPr>
                <w:rFonts w:ascii="Verdana" w:eastAsia="Times New Roman" w:hAnsi="Verdana" w:cs="Tahoma"/>
                <w:lang w:eastAsia="sl-SI"/>
              </w:rPr>
              <w:t>ašča župana za sklenitev pogodb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o </w:t>
            </w:r>
            <w:r w:rsidR="004D4B61">
              <w:rPr>
                <w:rFonts w:ascii="Verdana" w:eastAsia="Times New Roman" w:hAnsi="Verdana" w:cs="Tahoma"/>
                <w:lang w:eastAsia="sl-SI"/>
              </w:rPr>
              <w:t>razpolaganju z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nepremičnin</w:t>
            </w:r>
            <w:r w:rsidR="004D4B61">
              <w:rPr>
                <w:rFonts w:ascii="Verdana" w:eastAsia="Times New Roman" w:hAnsi="Verdana" w:cs="Tahoma"/>
                <w:lang w:eastAsia="sl-SI"/>
              </w:rPr>
              <w:t>ami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in izvedbo dejanj v skladu z Uredb</w:t>
            </w:r>
            <w:r w:rsidR="006C1FE4" w:rsidRPr="003F7CAD">
              <w:rPr>
                <w:rFonts w:ascii="Verdana" w:eastAsia="Times New Roman" w:hAnsi="Verdana" w:cs="Tahoma"/>
                <w:lang w:eastAsia="sl-SI"/>
              </w:rPr>
              <w:t>o o stvarnem premoženju države in samoupravnih lokalnih skupnosti (Ur. list RS št. 34/2011)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.</w:t>
            </w:r>
          </w:p>
        </w:tc>
      </w:tr>
      <w:tr w:rsidR="00C271FA" w:rsidRPr="003F7CAD" w:rsidTr="002A0686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0F01" w:rsidRPr="00080F01" w:rsidRDefault="00080F01" w:rsidP="002A068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ahoma"/>
                <w:b/>
                <w:bCs/>
                <w:sz w:val="4"/>
                <w:szCs w:val="4"/>
                <w:lang w:eastAsia="sl-SI"/>
              </w:rPr>
            </w:pPr>
          </w:p>
          <w:p w:rsidR="00C271FA" w:rsidRPr="003F7CAD" w:rsidRDefault="00036914" w:rsidP="002A068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ahoma"/>
                <w:b/>
                <w:bCs/>
                <w:lang w:eastAsia="sl-SI"/>
              </w:rPr>
              <w:t>4</w:t>
            </w:r>
            <w:r w:rsidR="00C271FA"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. člen</w:t>
            </w:r>
          </w:p>
        </w:tc>
      </w:tr>
      <w:tr w:rsidR="003F7CAD" w:rsidRPr="003F7CAD" w:rsidTr="00005548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1FA" w:rsidRPr="00C271FA" w:rsidRDefault="00C271FA" w:rsidP="00C271F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bCs/>
                <w:lang w:eastAsia="sl-SI"/>
              </w:rPr>
            </w:pPr>
            <w:r>
              <w:rPr>
                <w:rFonts w:ascii="Verdana" w:eastAsia="Times New Roman" w:hAnsi="Verdana" w:cs="Tahoma"/>
                <w:bCs/>
                <w:lang w:eastAsia="sl-SI"/>
              </w:rPr>
              <w:t xml:space="preserve">V veljavi ostanejo vsi </w:t>
            </w:r>
            <w:r>
              <w:rPr>
                <w:rFonts w:ascii="Verdana" w:eastAsia="Times New Roman" w:hAnsi="Verdana" w:cs="Tahoma"/>
                <w:lang w:eastAsia="sl-SI"/>
              </w:rPr>
              <w:t>Odloki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</w:t>
            </w:r>
            <w:r>
              <w:rPr>
                <w:rFonts w:ascii="Verdana" w:eastAsia="Times New Roman" w:hAnsi="Verdana" w:cs="Tahoma"/>
                <w:lang w:eastAsia="sl-SI"/>
              </w:rPr>
              <w:t xml:space="preserve">o 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letn</w:t>
            </w:r>
            <w:r>
              <w:rPr>
                <w:rFonts w:ascii="Verdana" w:eastAsia="Times New Roman" w:hAnsi="Verdana" w:cs="Tahoma"/>
                <w:lang w:eastAsia="sl-SI"/>
              </w:rPr>
              <w:t>em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načrt</w:t>
            </w:r>
            <w:r>
              <w:rPr>
                <w:rFonts w:ascii="Verdana" w:eastAsia="Times New Roman" w:hAnsi="Verdana" w:cs="Tahoma"/>
                <w:lang w:eastAsia="sl-SI"/>
              </w:rPr>
              <w:t>u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</w:t>
            </w:r>
            <w:r>
              <w:rPr>
                <w:rFonts w:ascii="Verdana" w:eastAsia="Times New Roman" w:hAnsi="Verdana" w:cs="Tahoma"/>
                <w:lang w:eastAsia="sl-SI"/>
              </w:rPr>
              <w:t>razpolaganj</w:t>
            </w:r>
            <w:r w:rsidR="00EC67EC">
              <w:rPr>
                <w:rFonts w:ascii="Verdana" w:eastAsia="Times New Roman" w:hAnsi="Verdana" w:cs="Tahoma"/>
                <w:lang w:eastAsia="sl-SI"/>
              </w:rPr>
              <w:t>a</w:t>
            </w:r>
            <w:r>
              <w:rPr>
                <w:rFonts w:ascii="Verdana" w:eastAsia="Times New Roman" w:hAnsi="Verdana" w:cs="Tahoma"/>
                <w:lang w:eastAsia="sl-SI"/>
              </w:rPr>
              <w:t xml:space="preserve"> z 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>nepremičn</w:t>
            </w:r>
            <w:r>
              <w:rPr>
                <w:rFonts w:ascii="Verdana" w:eastAsia="Times New Roman" w:hAnsi="Verdana" w:cs="Tahoma"/>
                <w:lang w:eastAsia="sl-SI"/>
              </w:rPr>
              <w:t>im</w:t>
            </w:r>
            <w:r w:rsidRPr="003F7CAD">
              <w:rPr>
                <w:rFonts w:ascii="Verdana" w:eastAsia="Times New Roman" w:hAnsi="Verdana" w:cs="Tahoma"/>
                <w:lang w:eastAsia="sl-SI"/>
              </w:rPr>
              <w:t xml:space="preserve"> premoženj</w:t>
            </w:r>
            <w:r>
              <w:rPr>
                <w:rFonts w:ascii="Verdana" w:eastAsia="Times New Roman" w:hAnsi="Verdana" w:cs="Tahoma"/>
                <w:lang w:eastAsia="sl-SI"/>
              </w:rPr>
              <w:t>em Občine Radenci za leta 2010, 2011 in 2012 in njihove spremembe in dopolnitve s tem, da za posamezno nepremičnino velja zadnja sprejeta sprememba ali dopolnitev.</w:t>
            </w:r>
          </w:p>
          <w:p w:rsidR="009F69D6" w:rsidRPr="003F7CAD" w:rsidRDefault="00036914" w:rsidP="006E3B1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lang w:eastAsia="sl-SI"/>
              </w:rPr>
            </w:pPr>
            <w:r>
              <w:rPr>
                <w:rFonts w:ascii="Verdana" w:eastAsia="Times New Roman" w:hAnsi="Verdana" w:cs="Tahoma"/>
                <w:b/>
                <w:bCs/>
                <w:lang w:eastAsia="sl-SI"/>
              </w:rPr>
              <w:t>5</w:t>
            </w:r>
            <w:r w:rsidR="009F69D6" w:rsidRPr="003F7CAD">
              <w:rPr>
                <w:rFonts w:ascii="Verdana" w:eastAsia="Times New Roman" w:hAnsi="Verdana" w:cs="Tahoma"/>
                <w:b/>
                <w:bCs/>
                <w:lang w:eastAsia="sl-SI"/>
              </w:rPr>
              <w:t>. člen</w:t>
            </w:r>
          </w:p>
        </w:tc>
      </w:tr>
      <w:tr w:rsidR="003F7CAD" w:rsidRPr="003F7CAD" w:rsidTr="00005548">
        <w:trPr>
          <w:trHeight w:val="860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3F7CAD" w:rsidRDefault="009F69D6" w:rsidP="00955B2E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ahoma"/>
                <w:bCs/>
                <w:lang w:eastAsia="sl-SI"/>
              </w:rPr>
            </w:pPr>
            <w:r w:rsidRPr="003F7CAD">
              <w:rPr>
                <w:rFonts w:ascii="Verdana" w:eastAsia="Times New Roman" w:hAnsi="Verdana" w:cs="Tahoma"/>
                <w:bCs/>
                <w:lang w:eastAsia="sl-SI"/>
              </w:rPr>
              <w:t xml:space="preserve">Ta odlok začne veljati </w:t>
            </w:r>
            <w:r w:rsidR="00955B2E" w:rsidRPr="003F7CAD">
              <w:rPr>
                <w:rFonts w:ascii="Verdana" w:eastAsia="Times New Roman" w:hAnsi="Verdana" w:cs="Tahoma"/>
                <w:bCs/>
                <w:lang w:eastAsia="sl-SI"/>
              </w:rPr>
              <w:t xml:space="preserve">naslednji dan po </w:t>
            </w:r>
            <w:r w:rsidRPr="003F7CAD">
              <w:rPr>
                <w:rFonts w:ascii="Verdana" w:eastAsia="Times New Roman" w:hAnsi="Verdana" w:cs="Tahoma"/>
                <w:bCs/>
                <w:lang w:eastAsia="sl-SI"/>
              </w:rPr>
              <w:t>objav</w:t>
            </w:r>
            <w:r w:rsidR="00955B2E" w:rsidRPr="003F7CAD">
              <w:rPr>
                <w:rFonts w:ascii="Verdana" w:eastAsia="Times New Roman" w:hAnsi="Verdana" w:cs="Tahoma"/>
                <w:bCs/>
                <w:lang w:eastAsia="sl-SI"/>
              </w:rPr>
              <w:t>i</w:t>
            </w:r>
            <w:r w:rsidRPr="003F7CAD">
              <w:rPr>
                <w:rFonts w:ascii="Verdana" w:eastAsia="Times New Roman" w:hAnsi="Verdana" w:cs="Tahoma"/>
                <w:bCs/>
                <w:lang w:eastAsia="sl-SI"/>
              </w:rPr>
              <w:t xml:space="preserve"> v Uradnem glasilu slovenskih občin.</w:t>
            </w:r>
          </w:p>
        </w:tc>
      </w:tr>
      <w:tr w:rsidR="003F7CAD" w:rsidRPr="006B1B17" w:rsidTr="00005548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6B1B17" w:rsidRDefault="009F69D6" w:rsidP="00A600C9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bCs/>
                <w:sz w:val="21"/>
                <w:szCs w:val="21"/>
                <w:lang w:eastAsia="sl-SI"/>
              </w:rPr>
            </w:pPr>
            <w:r w:rsidRPr="006B1B17">
              <w:rPr>
                <w:rFonts w:ascii="Verdana" w:eastAsia="Times New Roman" w:hAnsi="Verdana" w:cs="Tahoma"/>
                <w:bCs/>
                <w:sz w:val="21"/>
                <w:szCs w:val="21"/>
                <w:lang w:eastAsia="sl-SI"/>
              </w:rPr>
              <w:t xml:space="preserve">Številka: </w:t>
            </w:r>
          </w:p>
        </w:tc>
      </w:tr>
      <w:tr w:rsidR="003F7CAD" w:rsidRPr="006B1B17" w:rsidTr="00005548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9D6" w:rsidRPr="006B1B17" w:rsidRDefault="009F69D6" w:rsidP="00A600C9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bCs/>
                <w:sz w:val="21"/>
                <w:szCs w:val="21"/>
                <w:lang w:eastAsia="sl-SI"/>
              </w:rPr>
            </w:pPr>
            <w:r w:rsidRPr="006B1B17">
              <w:rPr>
                <w:rFonts w:ascii="Verdana" w:eastAsia="Times New Roman" w:hAnsi="Verdana" w:cs="Tahoma"/>
                <w:bCs/>
                <w:sz w:val="21"/>
                <w:szCs w:val="21"/>
                <w:lang w:eastAsia="sl-SI"/>
              </w:rPr>
              <w:t xml:space="preserve">Datum: </w:t>
            </w:r>
          </w:p>
        </w:tc>
      </w:tr>
    </w:tbl>
    <w:p w:rsidR="009F69D6" w:rsidRPr="003F7CAD" w:rsidRDefault="00A600C9" w:rsidP="00A600C9">
      <w:pPr>
        <w:pStyle w:val="Brezrazmikov"/>
        <w:rPr>
          <w:rFonts w:ascii="Verdana" w:hAnsi="Verdana"/>
        </w:rPr>
      </w:pPr>
      <w:r w:rsidRPr="003F7CAD">
        <w:rPr>
          <w:rFonts w:ascii="Verdana" w:hAnsi="Verdana"/>
        </w:rPr>
        <w:t xml:space="preserve">                                                                                </w:t>
      </w:r>
      <w:r w:rsidR="009F69D6" w:rsidRPr="003F7CAD">
        <w:rPr>
          <w:rFonts w:ascii="Verdana" w:hAnsi="Verdana"/>
        </w:rPr>
        <w:t>Janez Rihtarič</w:t>
      </w:r>
    </w:p>
    <w:p w:rsidR="009F69D6" w:rsidRPr="003F7CAD" w:rsidRDefault="00A600C9" w:rsidP="00A600C9">
      <w:pPr>
        <w:pStyle w:val="Brezrazmikov"/>
        <w:jc w:val="center"/>
        <w:rPr>
          <w:rFonts w:ascii="Verdana" w:hAnsi="Verdana"/>
        </w:rPr>
      </w:pPr>
      <w:r w:rsidRPr="003F7CAD">
        <w:rPr>
          <w:rFonts w:ascii="Verdana" w:hAnsi="Verdana"/>
        </w:rPr>
        <w:t xml:space="preserve">                                                              </w:t>
      </w:r>
      <w:r w:rsidR="009F69D6" w:rsidRPr="003F7CAD">
        <w:rPr>
          <w:rFonts w:ascii="Verdana" w:hAnsi="Verdana"/>
        </w:rPr>
        <w:t>Župan Občine Radenci</w:t>
      </w:r>
    </w:p>
    <w:p w:rsidR="00955B2E" w:rsidRPr="006B1B17" w:rsidRDefault="00955B2E" w:rsidP="00A600C9">
      <w:pPr>
        <w:pStyle w:val="Brezrazmikov"/>
        <w:jc w:val="center"/>
        <w:rPr>
          <w:rFonts w:ascii="Verdana" w:hAnsi="Verdana"/>
          <w:sz w:val="16"/>
          <w:szCs w:val="16"/>
        </w:rPr>
      </w:pPr>
    </w:p>
    <w:p w:rsidR="00955B2E" w:rsidRPr="003F7CAD" w:rsidRDefault="00955B2E" w:rsidP="00A600C9">
      <w:pPr>
        <w:pStyle w:val="Brezrazmikov"/>
        <w:jc w:val="center"/>
        <w:rPr>
          <w:rFonts w:ascii="Verdana" w:hAnsi="Verdana"/>
          <w:b/>
        </w:rPr>
      </w:pPr>
      <w:r w:rsidRPr="003F7CAD">
        <w:rPr>
          <w:rFonts w:ascii="Verdana" w:hAnsi="Verdana"/>
          <w:b/>
        </w:rPr>
        <w:t>Obrazložitev:</w:t>
      </w:r>
    </w:p>
    <w:p w:rsidR="00955B2E" w:rsidRPr="006B1B17" w:rsidRDefault="00955B2E" w:rsidP="00A600C9">
      <w:pPr>
        <w:pStyle w:val="Brezrazmikov"/>
        <w:jc w:val="center"/>
        <w:rPr>
          <w:rFonts w:ascii="Verdana" w:hAnsi="Verdana"/>
          <w:b/>
          <w:sz w:val="16"/>
          <w:szCs w:val="16"/>
        </w:rPr>
      </w:pPr>
    </w:p>
    <w:p w:rsidR="00955B2E" w:rsidRPr="003F7CAD" w:rsidRDefault="00955B2E" w:rsidP="00955B2E">
      <w:pPr>
        <w:pStyle w:val="Brezrazmikov"/>
        <w:jc w:val="both"/>
        <w:rPr>
          <w:rFonts w:ascii="Verdana" w:hAnsi="Verdana"/>
        </w:rPr>
      </w:pPr>
      <w:r w:rsidRPr="003F7CAD">
        <w:rPr>
          <w:rFonts w:ascii="Verdana" w:hAnsi="Verdana"/>
        </w:rPr>
        <w:t>Občinskemu svetu Občine Radenci predlagamo, da obravn</w:t>
      </w:r>
      <w:r w:rsidR="00BD581A">
        <w:rPr>
          <w:rFonts w:ascii="Verdana" w:hAnsi="Verdana"/>
        </w:rPr>
        <w:t>ava in sprejme predlagan Odlok po skrajšanem postopku.</w:t>
      </w:r>
      <w:r w:rsidR="00B04735">
        <w:rPr>
          <w:rFonts w:ascii="Verdana" w:hAnsi="Verdana"/>
        </w:rPr>
        <w:t xml:space="preserve"> Vsa zemljišča in objekti so bili last pokojne, za katero je Občina Radenci plačevala domsko oskrbo. Zemljišča in objekti </w:t>
      </w:r>
      <w:r w:rsidR="00C271FA">
        <w:rPr>
          <w:rFonts w:ascii="Verdana" w:hAnsi="Verdana"/>
        </w:rPr>
        <w:t>ležijo v Žrnovi v neposredni bližini</w:t>
      </w:r>
      <w:r w:rsidR="00B04735">
        <w:rPr>
          <w:rFonts w:ascii="Verdana" w:hAnsi="Verdana"/>
        </w:rPr>
        <w:t xml:space="preserve">, razen gozda, kateri pa tudi leži </w:t>
      </w:r>
      <w:r w:rsidR="00C271FA">
        <w:rPr>
          <w:rFonts w:ascii="Verdana" w:hAnsi="Verdana"/>
        </w:rPr>
        <w:t>zelo blizu</w:t>
      </w:r>
      <w:r w:rsidR="00B04735">
        <w:rPr>
          <w:rFonts w:ascii="Verdana" w:hAnsi="Verdana"/>
        </w:rPr>
        <w:t>. Stanovanjska hiša ima hišno številko Žrnova 2. Predlagamo, da se kot celota prodajo zemljišča in objekti pod zaporedno številko 1. Ostala zemljišča pa se lahko prodajo vsako posebej.</w:t>
      </w:r>
      <w:r w:rsidR="00EC67EC">
        <w:rPr>
          <w:rFonts w:ascii="Verdana" w:hAnsi="Verdana"/>
        </w:rPr>
        <w:t xml:space="preserve"> Nepremičnine so že bile ocenjene od sodnega izvedenca in cenilca.</w:t>
      </w:r>
    </w:p>
    <w:p w:rsidR="00955B2E" w:rsidRPr="003F7CAD" w:rsidRDefault="00955B2E" w:rsidP="00955B2E">
      <w:pPr>
        <w:pStyle w:val="Brezrazmikov"/>
        <w:rPr>
          <w:rFonts w:ascii="Verdana" w:hAnsi="Verdana"/>
        </w:rPr>
      </w:pPr>
      <w:r w:rsidRPr="003F7CAD">
        <w:rPr>
          <w:rFonts w:ascii="Verdana" w:hAnsi="Verdana"/>
        </w:rPr>
        <w:t xml:space="preserve">                                                                                Janez Rihtarič</w:t>
      </w:r>
    </w:p>
    <w:p w:rsidR="00955B2E" w:rsidRPr="003F7CAD" w:rsidRDefault="00955B2E" w:rsidP="006B1B17">
      <w:pPr>
        <w:pStyle w:val="Brezrazmikov"/>
        <w:jc w:val="center"/>
        <w:rPr>
          <w:rFonts w:ascii="Verdana" w:hAnsi="Verdana"/>
        </w:rPr>
      </w:pPr>
      <w:r w:rsidRPr="003F7CAD">
        <w:rPr>
          <w:rFonts w:ascii="Verdana" w:hAnsi="Verdana"/>
        </w:rPr>
        <w:t xml:space="preserve">                                                              Župan Občine Radenci</w:t>
      </w:r>
    </w:p>
    <w:sectPr w:rsidR="00955B2E" w:rsidRPr="003F7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D6"/>
    <w:rsid w:val="00005548"/>
    <w:rsid w:val="00036914"/>
    <w:rsid w:val="000802E8"/>
    <w:rsid w:val="00080F01"/>
    <w:rsid w:val="001551FB"/>
    <w:rsid w:val="001C392F"/>
    <w:rsid w:val="00274019"/>
    <w:rsid w:val="00281848"/>
    <w:rsid w:val="002D5F38"/>
    <w:rsid w:val="003957FE"/>
    <w:rsid w:val="00397043"/>
    <w:rsid w:val="003C61BE"/>
    <w:rsid w:val="003C61EA"/>
    <w:rsid w:val="003F7CAD"/>
    <w:rsid w:val="00440F92"/>
    <w:rsid w:val="0045618F"/>
    <w:rsid w:val="004D4B61"/>
    <w:rsid w:val="00650D82"/>
    <w:rsid w:val="006B1B17"/>
    <w:rsid w:val="006C1FE4"/>
    <w:rsid w:val="006F5B44"/>
    <w:rsid w:val="007020C0"/>
    <w:rsid w:val="00770583"/>
    <w:rsid w:val="007E43EE"/>
    <w:rsid w:val="008E4135"/>
    <w:rsid w:val="00955B2E"/>
    <w:rsid w:val="009C41EB"/>
    <w:rsid w:val="009F69D6"/>
    <w:rsid w:val="00A139E7"/>
    <w:rsid w:val="00A600C9"/>
    <w:rsid w:val="00A6587A"/>
    <w:rsid w:val="00B04735"/>
    <w:rsid w:val="00BD581A"/>
    <w:rsid w:val="00C271FA"/>
    <w:rsid w:val="00D5725A"/>
    <w:rsid w:val="00EC67EC"/>
    <w:rsid w:val="00EE0444"/>
    <w:rsid w:val="00F50B75"/>
    <w:rsid w:val="00F772DA"/>
    <w:rsid w:val="00F8097E"/>
    <w:rsid w:val="00FA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9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57FE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D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F69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957FE"/>
    <w:pPr>
      <w:spacing w:after="0" w:line="240" w:lineRule="auto"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D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6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6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x-localis.info/KatalogInformacij/PodrobnostiDokumenta.aspx?SectionID=b0640d4d-01c1-49e1-a1f3-05a93db4baa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srs.si/Predpis.aspx?id=URED5055&amp;pogled=osnovni" TargetMode="External"/><Relationship Id="rId5" Type="http://schemas.openxmlformats.org/officeDocument/2006/relationships/hyperlink" Target="http://www.pisrs.si/Predpis.aspx?id=ZAKO4652&amp;pogled=osnovn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Zdenka ZADRAVEC</cp:lastModifiedBy>
  <cp:revision>2</cp:revision>
  <cp:lastPrinted>2012-09-20T12:15:00Z</cp:lastPrinted>
  <dcterms:created xsi:type="dcterms:W3CDTF">2012-10-04T10:33:00Z</dcterms:created>
  <dcterms:modified xsi:type="dcterms:W3CDTF">2012-10-04T10:33:00Z</dcterms:modified>
</cp:coreProperties>
</file>