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06" w:type="dxa"/>
        <w:tblInd w:w="108" w:type="dxa"/>
        <w:tblLayout w:type="fixed"/>
        <w:tblLook w:val="0000" w:firstRow="0" w:lastRow="0" w:firstColumn="0" w:lastColumn="0" w:noHBand="0" w:noVBand="0"/>
      </w:tblPr>
      <w:tblGrid>
        <w:gridCol w:w="9106"/>
      </w:tblGrid>
      <w:tr w:rsidR="0038508A" w:rsidRPr="0038508A" w:rsidTr="002351D2">
        <w:trPr>
          <w:trHeight w:val="285"/>
        </w:trPr>
        <w:tc>
          <w:tcPr>
            <w:tcW w:w="9106" w:type="dxa"/>
          </w:tcPr>
          <w:tbl>
            <w:tblPr>
              <w:tblW w:w="0" w:type="auto"/>
              <w:tblLayout w:type="fixed"/>
              <w:tblCellMar>
                <w:left w:w="70" w:type="dxa"/>
                <w:right w:w="70" w:type="dxa"/>
              </w:tblCellMar>
              <w:tblLook w:val="0000" w:firstRow="0" w:lastRow="0" w:firstColumn="0" w:lastColumn="0" w:noHBand="0" w:noVBand="0"/>
            </w:tblPr>
            <w:tblGrid>
              <w:gridCol w:w="1913"/>
              <w:gridCol w:w="7299"/>
            </w:tblGrid>
            <w:tr w:rsidR="0038508A" w:rsidRPr="0038508A" w:rsidTr="002351D2">
              <w:tc>
                <w:tcPr>
                  <w:tcW w:w="1913" w:type="dxa"/>
                </w:tcPr>
                <w:p w:rsidR="0038508A" w:rsidRPr="0038508A" w:rsidRDefault="0038508A" w:rsidP="002351D2">
                  <w:pPr>
                    <w:pStyle w:val="Glava"/>
                    <w:rPr>
                      <w:rFonts w:ascii="Tahoma" w:hAnsi="Tahoma" w:cs="Tahoma"/>
                      <w:sz w:val="24"/>
                      <w:szCs w:val="24"/>
                    </w:rPr>
                  </w:pPr>
                  <w:r w:rsidRPr="0038508A">
                    <w:rPr>
                      <w:rFonts w:ascii="Tahoma" w:hAnsi="Tahoma" w:cs="Tahoma"/>
                      <w:noProof/>
                      <w:sz w:val="24"/>
                      <w:szCs w:val="24"/>
                    </w:rPr>
                    <w:drawing>
                      <wp:inline distT="0" distB="0" distL="0" distR="0" wp14:anchorId="1C947646" wp14:editId="068A0FF5">
                        <wp:extent cx="914400" cy="10287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inline>
                    </w:drawing>
                  </w:r>
                </w:p>
              </w:tc>
              <w:tc>
                <w:tcPr>
                  <w:tcW w:w="7299" w:type="dxa"/>
                </w:tcPr>
                <w:p w:rsidR="0038508A" w:rsidRPr="0038508A" w:rsidRDefault="0038508A" w:rsidP="002351D2">
                  <w:pPr>
                    <w:pStyle w:val="Glava"/>
                    <w:rPr>
                      <w:rFonts w:ascii="Tahoma" w:hAnsi="Tahoma" w:cs="Tahoma"/>
                      <w:sz w:val="24"/>
                      <w:szCs w:val="24"/>
                    </w:rPr>
                  </w:pPr>
                  <w:r w:rsidRPr="0038508A">
                    <w:rPr>
                      <w:rFonts w:ascii="Tahoma" w:hAnsi="Tahoma" w:cs="Tahoma"/>
                      <w:sz w:val="24"/>
                      <w:szCs w:val="24"/>
                    </w:rPr>
                    <w:t xml:space="preserve">OBČINA ŠENČUR                                      </w:t>
                  </w:r>
                </w:p>
                <w:p w:rsidR="0038508A" w:rsidRPr="0038508A" w:rsidRDefault="0038508A" w:rsidP="002351D2">
                  <w:pPr>
                    <w:pStyle w:val="Glava"/>
                    <w:rPr>
                      <w:rFonts w:ascii="Tahoma" w:hAnsi="Tahoma" w:cs="Tahoma"/>
                      <w:sz w:val="24"/>
                      <w:szCs w:val="24"/>
                    </w:rPr>
                  </w:pPr>
                  <w:r w:rsidRPr="0038508A">
                    <w:rPr>
                      <w:rFonts w:ascii="Tahoma" w:hAnsi="Tahoma" w:cs="Tahoma"/>
                      <w:sz w:val="24"/>
                      <w:szCs w:val="24"/>
                    </w:rPr>
                    <w:t>Kranjska cesta 11</w:t>
                  </w:r>
                </w:p>
                <w:p w:rsidR="0038508A" w:rsidRPr="0038508A" w:rsidRDefault="0038508A" w:rsidP="002351D2">
                  <w:pPr>
                    <w:pStyle w:val="Glava"/>
                    <w:rPr>
                      <w:rFonts w:ascii="Tahoma" w:hAnsi="Tahoma" w:cs="Tahoma"/>
                      <w:sz w:val="24"/>
                      <w:szCs w:val="24"/>
                    </w:rPr>
                  </w:pPr>
                  <w:r w:rsidRPr="0038508A">
                    <w:rPr>
                      <w:rFonts w:ascii="Tahoma" w:hAnsi="Tahoma" w:cs="Tahoma"/>
                      <w:sz w:val="24"/>
                      <w:szCs w:val="24"/>
                    </w:rPr>
                    <w:t>4208 Šenčur</w:t>
                  </w:r>
                </w:p>
                <w:p w:rsidR="0038508A" w:rsidRPr="0038508A" w:rsidRDefault="0038508A" w:rsidP="002351D2">
                  <w:pPr>
                    <w:pStyle w:val="Glava"/>
                    <w:rPr>
                      <w:rFonts w:ascii="Tahoma" w:hAnsi="Tahoma" w:cs="Tahoma"/>
                      <w:sz w:val="24"/>
                      <w:szCs w:val="24"/>
                    </w:rPr>
                  </w:pPr>
                  <w:r w:rsidRPr="0038508A">
                    <w:rPr>
                      <w:rFonts w:ascii="Tahoma" w:hAnsi="Tahoma" w:cs="Tahoma"/>
                      <w:sz w:val="24"/>
                      <w:szCs w:val="24"/>
                    </w:rPr>
                    <w:t xml:space="preserve">tel. 04 – 2519-100  </w:t>
                  </w:r>
                  <w:proofErr w:type="spellStart"/>
                  <w:r w:rsidRPr="0038508A">
                    <w:rPr>
                      <w:rFonts w:ascii="Tahoma" w:hAnsi="Tahoma" w:cs="Tahoma"/>
                      <w:sz w:val="24"/>
                      <w:szCs w:val="24"/>
                    </w:rPr>
                    <w:t>fax</w:t>
                  </w:r>
                  <w:proofErr w:type="spellEnd"/>
                  <w:r w:rsidRPr="0038508A">
                    <w:rPr>
                      <w:rFonts w:ascii="Tahoma" w:hAnsi="Tahoma" w:cs="Tahoma"/>
                      <w:sz w:val="24"/>
                      <w:szCs w:val="24"/>
                    </w:rPr>
                    <w:t>. 2519-111</w:t>
                  </w:r>
                </w:p>
                <w:p w:rsidR="0038508A" w:rsidRPr="0038508A" w:rsidRDefault="0038508A" w:rsidP="002351D2">
                  <w:pPr>
                    <w:pStyle w:val="Glava"/>
                    <w:rPr>
                      <w:rFonts w:ascii="Tahoma" w:hAnsi="Tahoma" w:cs="Tahoma"/>
                      <w:sz w:val="24"/>
                      <w:szCs w:val="24"/>
                    </w:rPr>
                  </w:pPr>
                  <w:proofErr w:type="spellStart"/>
                  <w:r w:rsidRPr="0038508A">
                    <w:rPr>
                      <w:rFonts w:ascii="Tahoma" w:hAnsi="Tahoma" w:cs="Tahoma"/>
                      <w:sz w:val="24"/>
                      <w:szCs w:val="24"/>
                    </w:rPr>
                    <w:t>e-mail:obcina@sencur.si</w:t>
                  </w:r>
                  <w:proofErr w:type="spellEnd"/>
                </w:p>
                <w:p w:rsidR="0038508A" w:rsidRPr="0038508A" w:rsidRDefault="0038508A" w:rsidP="002351D2">
                  <w:pPr>
                    <w:pStyle w:val="Glava"/>
                    <w:rPr>
                      <w:rFonts w:ascii="Tahoma" w:hAnsi="Tahoma" w:cs="Tahoma"/>
                      <w:sz w:val="24"/>
                      <w:szCs w:val="24"/>
                    </w:rPr>
                  </w:pPr>
                  <w:r w:rsidRPr="0038508A">
                    <w:rPr>
                      <w:rFonts w:ascii="Tahoma" w:hAnsi="Tahoma" w:cs="Tahoma"/>
                      <w:sz w:val="24"/>
                      <w:szCs w:val="24"/>
                    </w:rPr>
                    <w:t>url:www.sencur.si</w:t>
                  </w:r>
                </w:p>
              </w:tc>
            </w:tr>
          </w:tbl>
          <w:p w:rsidR="0038508A" w:rsidRPr="0038508A" w:rsidRDefault="0038508A" w:rsidP="002351D2">
            <w:pPr>
              <w:pStyle w:val="Napis"/>
              <w:rPr>
                <w:rFonts w:ascii="Tahoma" w:hAnsi="Tahoma" w:cs="Tahoma"/>
                <w:sz w:val="24"/>
                <w:szCs w:val="24"/>
              </w:rPr>
            </w:pPr>
            <w:r w:rsidRPr="0038508A">
              <w:rPr>
                <w:rFonts w:ascii="Tahoma" w:hAnsi="Tahoma" w:cs="Tahoma"/>
                <w:sz w:val="24"/>
                <w:szCs w:val="24"/>
              </w:rPr>
              <w:t>ŽUPAN</w:t>
            </w:r>
          </w:p>
          <w:p w:rsidR="0038508A" w:rsidRPr="0038508A" w:rsidRDefault="0038508A" w:rsidP="002351D2">
            <w:pPr>
              <w:jc w:val="both"/>
              <w:rPr>
                <w:rFonts w:ascii="Tahoma" w:hAnsi="Tahoma" w:cs="Tahoma"/>
                <w:sz w:val="24"/>
                <w:szCs w:val="24"/>
              </w:rPr>
            </w:pPr>
          </w:p>
          <w:p w:rsidR="0038508A" w:rsidRPr="00C32EBF" w:rsidRDefault="0038508A" w:rsidP="002351D2">
            <w:pPr>
              <w:jc w:val="both"/>
              <w:rPr>
                <w:rFonts w:ascii="Tahoma" w:hAnsi="Tahoma" w:cs="Tahoma"/>
                <w:sz w:val="24"/>
                <w:szCs w:val="24"/>
                <w:lang w:eastAsia="en-GB"/>
              </w:rPr>
            </w:pPr>
          </w:p>
          <w:p w:rsidR="0038508A" w:rsidRPr="00C32EBF" w:rsidRDefault="0038508A" w:rsidP="00361A5F">
            <w:pPr>
              <w:spacing w:after="0" w:line="240" w:lineRule="auto"/>
              <w:rPr>
                <w:rFonts w:ascii="Tahoma" w:hAnsi="Tahoma" w:cs="Tahoma"/>
                <w:sz w:val="24"/>
                <w:szCs w:val="24"/>
                <w:lang w:eastAsia="en-GB"/>
              </w:rPr>
            </w:pPr>
            <w:r w:rsidRPr="00C32EBF">
              <w:rPr>
                <w:rFonts w:ascii="Tahoma" w:hAnsi="Tahoma" w:cs="Tahoma"/>
                <w:sz w:val="24"/>
                <w:szCs w:val="24"/>
                <w:lang w:eastAsia="en-GB"/>
              </w:rPr>
              <w:t>Številka:  032-00017/2018-3</w:t>
            </w:r>
          </w:p>
          <w:p w:rsidR="0038508A" w:rsidRPr="00C32EBF" w:rsidRDefault="0038508A" w:rsidP="00361A5F">
            <w:pPr>
              <w:spacing w:after="0" w:line="240" w:lineRule="auto"/>
              <w:rPr>
                <w:rFonts w:ascii="Tahoma" w:hAnsi="Tahoma" w:cs="Tahoma"/>
                <w:sz w:val="24"/>
                <w:szCs w:val="24"/>
              </w:rPr>
            </w:pPr>
            <w:r w:rsidRPr="00C32EBF">
              <w:rPr>
                <w:rFonts w:ascii="Tahoma" w:hAnsi="Tahoma" w:cs="Tahoma"/>
                <w:sz w:val="24"/>
                <w:szCs w:val="24"/>
                <w:lang w:eastAsia="en-GB"/>
              </w:rPr>
              <w:t xml:space="preserve">Datum:   07. 9. 2018    </w:t>
            </w:r>
          </w:p>
          <w:p w:rsidR="0038508A" w:rsidRPr="0038508A" w:rsidRDefault="0038508A" w:rsidP="002351D2">
            <w:pPr>
              <w:pStyle w:val="Naslov2"/>
              <w:rPr>
                <w:rFonts w:ascii="Tahoma" w:hAnsi="Tahoma" w:cs="Tahoma"/>
                <w:b/>
                <w:sz w:val="24"/>
                <w:szCs w:val="24"/>
              </w:rPr>
            </w:pPr>
          </w:p>
          <w:p w:rsidR="00361A5F" w:rsidRDefault="00361A5F" w:rsidP="002351D2">
            <w:pPr>
              <w:pStyle w:val="Naslov2"/>
              <w:rPr>
                <w:rFonts w:ascii="Tahoma" w:hAnsi="Tahoma" w:cs="Tahoma"/>
                <w:b/>
                <w:sz w:val="24"/>
                <w:szCs w:val="24"/>
              </w:rPr>
            </w:pPr>
          </w:p>
          <w:p w:rsidR="0038508A" w:rsidRPr="0038508A" w:rsidRDefault="0038508A" w:rsidP="002351D2">
            <w:pPr>
              <w:pStyle w:val="Naslov2"/>
              <w:rPr>
                <w:rFonts w:ascii="Tahoma" w:hAnsi="Tahoma" w:cs="Tahoma"/>
                <w:b/>
                <w:sz w:val="24"/>
                <w:szCs w:val="24"/>
              </w:rPr>
            </w:pPr>
            <w:r w:rsidRPr="0038508A">
              <w:rPr>
                <w:rFonts w:ascii="Tahoma" w:hAnsi="Tahoma" w:cs="Tahoma"/>
                <w:b/>
                <w:sz w:val="24"/>
                <w:szCs w:val="24"/>
              </w:rPr>
              <w:t>ČLANOM OBČINSKEGA SVETA OBČINE ŠENČUR</w:t>
            </w:r>
          </w:p>
          <w:p w:rsidR="0038508A" w:rsidRDefault="0038508A" w:rsidP="002351D2">
            <w:pPr>
              <w:jc w:val="both"/>
              <w:rPr>
                <w:rFonts w:ascii="Tahoma" w:hAnsi="Tahoma" w:cs="Tahoma"/>
                <w:b/>
                <w:sz w:val="24"/>
                <w:szCs w:val="24"/>
              </w:rPr>
            </w:pPr>
          </w:p>
          <w:p w:rsidR="0038508A" w:rsidRPr="0038508A" w:rsidRDefault="0038508A" w:rsidP="002351D2">
            <w:pPr>
              <w:jc w:val="both"/>
              <w:rPr>
                <w:rFonts w:ascii="Tahoma" w:hAnsi="Tahoma" w:cs="Tahoma"/>
                <w:b/>
                <w:sz w:val="24"/>
                <w:szCs w:val="24"/>
              </w:rPr>
            </w:pPr>
          </w:p>
          <w:p w:rsidR="0038508A" w:rsidRPr="0038508A" w:rsidRDefault="0038508A" w:rsidP="00361A5F">
            <w:pPr>
              <w:jc w:val="both"/>
              <w:rPr>
                <w:rFonts w:ascii="Tahoma" w:hAnsi="Tahoma" w:cs="Tahoma"/>
                <w:sz w:val="24"/>
                <w:szCs w:val="24"/>
              </w:rPr>
            </w:pPr>
            <w:r w:rsidRPr="0038508A">
              <w:rPr>
                <w:rFonts w:ascii="Tahoma" w:hAnsi="Tahoma" w:cs="Tahoma"/>
                <w:b/>
                <w:sz w:val="24"/>
                <w:szCs w:val="24"/>
              </w:rPr>
              <w:t xml:space="preserve">Zadeva: </w:t>
            </w:r>
            <w:bookmarkStart w:id="0" w:name="_Hlk524088828"/>
            <w:r w:rsidRPr="0038508A">
              <w:rPr>
                <w:rFonts w:ascii="Tahoma" w:hAnsi="Tahoma" w:cs="Tahoma"/>
                <w:b/>
                <w:sz w:val="24"/>
                <w:szCs w:val="24"/>
              </w:rPr>
              <w:t>PREDLOG SKLEPA o pristopu Občine Šenčur h  Konvenciji županov za podnebne spremembe in energijo</w:t>
            </w:r>
            <w:bookmarkEnd w:id="0"/>
          </w:p>
        </w:tc>
      </w:tr>
    </w:tbl>
    <w:p w:rsidR="00C255E7" w:rsidRPr="0038508A" w:rsidRDefault="00C255E7" w:rsidP="00C255E7">
      <w:pPr>
        <w:spacing w:after="0" w:line="240" w:lineRule="auto"/>
        <w:jc w:val="both"/>
        <w:rPr>
          <w:rFonts w:ascii="Tahoma" w:eastAsia="Times New Roman" w:hAnsi="Tahoma" w:cs="Tahoma"/>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016"/>
      </w:tblGrid>
      <w:tr w:rsidR="00C255E7" w:rsidRPr="0038508A" w:rsidTr="00777841">
        <w:tc>
          <w:tcPr>
            <w:tcW w:w="1128" w:type="pct"/>
            <w:vAlign w:val="center"/>
          </w:tcPr>
          <w:p w:rsidR="00C255E7" w:rsidRPr="0038508A" w:rsidRDefault="00C255E7" w:rsidP="00C255E7">
            <w:pPr>
              <w:spacing w:after="0" w:line="240" w:lineRule="auto"/>
              <w:jc w:val="both"/>
              <w:rPr>
                <w:rFonts w:ascii="Tahoma" w:eastAsia="Times New Roman" w:hAnsi="Tahoma" w:cs="Tahoma"/>
                <w:sz w:val="24"/>
                <w:szCs w:val="24"/>
              </w:rPr>
            </w:pPr>
            <w:r w:rsidRPr="0038508A">
              <w:rPr>
                <w:rFonts w:ascii="Tahoma" w:eastAsia="Times New Roman" w:hAnsi="Tahoma" w:cs="Tahoma"/>
                <w:sz w:val="24"/>
                <w:szCs w:val="24"/>
              </w:rPr>
              <w:t>PRAVNA PODLAGA:</w:t>
            </w:r>
          </w:p>
        </w:tc>
        <w:tc>
          <w:tcPr>
            <w:tcW w:w="3872" w:type="pct"/>
          </w:tcPr>
          <w:p w:rsidR="001D56E9" w:rsidRPr="0038508A" w:rsidRDefault="00F660DD" w:rsidP="00BE112B">
            <w:pPr>
              <w:spacing w:after="0" w:line="240" w:lineRule="auto"/>
              <w:jc w:val="both"/>
              <w:rPr>
                <w:rFonts w:ascii="Tahoma" w:hAnsi="Tahoma" w:cs="Tahoma"/>
                <w:sz w:val="24"/>
                <w:szCs w:val="24"/>
              </w:rPr>
            </w:pPr>
            <w:r w:rsidRPr="0038508A">
              <w:rPr>
                <w:rFonts w:ascii="Tahoma" w:hAnsi="Tahoma" w:cs="Tahoma"/>
                <w:sz w:val="24"/>
                <w:szCs w:val="24"/>
              </w:rPr>
              <w:t xml:space="preserve">16. člen Statuta občine </w:t>
            </w:r>
            <w:bookmarkStart w:id="1" w:name="_Hlk524086675"/>
            <w:r w:rsidR="00595EEF" w:rsidRPr="0038508A">
              <w:rPr>
                <w:rFonts w:ascii="Tahoma" w:hAnsi="Tahoma" w:cs="Tahoma"/>
                <w:sz w:val="24"/>
                <w:szCs w:val="24"/>
              </w:rPr>
              <w:t>Šenčur</w:t>
            </w:r>
            <w:bookmarkEnd w:id="1"/>
            <w:r w:rsidR="00595EEF" w:rsidRPr="0038508A">
              <w:rPr>
                <w:rFonts w:ascii="Tahoma" w:hAnsi="Tahoma" w:cs="Tahoma"/>
                <w:sz w:val="24"/>
                <w:szCs w:val="24"/>
              </w:rPr>
              <w:t xml:space="preserve"> </w:t>
            </w:r>
            <w:r w:rsidRPr="0038508A">
              <w:rPr>
                <w:rFonts w:ascii="Tahoma" w:hAnsi="Tahoma" w:cs="Tahoma"/>
                <w:sz w:val="24"/>
                <w:szCs w:val="24"/>
              </w:rPr>
              <w:t>(Uradn</w:t>
            </w:r>
            <w:r w:rsidR="00595EEF" w:rsidRPr="0038508A">
              <w:rPr>
                <w:rFonts w:ascii="Tahoma" w:hAnsi="Tahoma" w:cs="Tahoma"/>
                <w:sz w:val="24"/>
                <w:szCs w:val="24"/>
              </w:rPr>
              <w:t>o glasilo slovenskih občin, št</w:t>
            </w:r>
            <w:r w:rsidR="0038508A" w:rsidRPr="0038508A">
              <w:rPr>
                <w:rFonts w:ascii="Tahoma" w:hAnsi="Tahoma" w:cs="Tahoma"/>
                <w:sz w:val="24"/>
                <w:szCs w:val="24"/>
              </w:rPr>
              <w:t>. 9/18</w:t>
            </w:r>
            <w:r w:rsidRPr="0038508A">
              <w:rPr>
                <w:rFonts w:ascii="Tahoma" w:hAnsi="Tahoma" w:cs="Tahoma"/>
                <w:sz w:val="24"/>
                <w:szCs w:val="24"/>
              </w:rPr>
              <w:t>)</w:t>
            </w:r>
          </w:p>
          <w:p w:rsidR="00BE112B" w:rsidRPr="0038508A" w:rsidRDefault="00BE112B" w:rsidP="00BE112B">
            <w:pPr>
              <w:spacing w:after="0" w:line="240" w:lineRule="auto"/>
              <w:jc w:val="both"/>
              <w:rPr>
                <w:rFonts w:ascii="Tahoma" w:hAnsi="Tahoma" w:cs="Tahoma"/>
                <w:sz w:val="24"/>
                <w:szCs w:val="24"/>
              </w:rPr>
            </w:pPr>
          </w:p>
        </w:tc>
      </w:tr>
      <w:tr w:rsidR="00C255E7" w:rsidRPr="0038508A" w:rsidTr="00777841">
        <w:tc>
          <w:tcPr>
            <w:tcW w:w="1128" w:type="pct"/>
          </w:tcPr>
          <w:p w:rsidR="00C255E7" w:rsidRPr="0038508A" w:rsidRDefault="00C255E7" w:rsidP="00C255E7">
            <w:pPr>
              <w:spacing w:after="0" w:line="240" w:lineRule="auto"/>
              <w:jc w:val="both"/>
              <w:rPr>
                <w:rFonts w:ascii="Tahoma" w:eastAsia="Times New Roman" w:hAnsi="Tahoma" w:cs="Tahoma"/>
                <w:sz w:val="24"/>
                <w:szCs w:val="24"/>
              </w:rPr>
            </w:pPr>
            <w:r w:rsidRPr="0038508A">
              <w:rPr>
                <w:rFonts w:ascii="Tahoma" w:eastAsia="Times New Roman" w:hAnsi="Tahoma" w:cs="Tahoma"/>
                <w:sz w:val="24"/>
                <w:szCs w:val="24"/>
              </w:rPr>
              <w:t>PREDLAGATELJ:</w:t>
            </w:r>
          </w:p>
        </w:tc>
        <w:tc>
          <w:tcPr>
            <w:tcW w:w="3872" w:type="pct"/>
          </w:tcPr>
          <w:p w:rsidR="00C255E7" w:rsidRPr="0038508A" w:rsidRDefault="00C255E7" w:rsidP="009E312C">
            <w:pPr>
              <w:spacing w:after="0" w:line="240" w:lineRule="auto"/>
              <w:jc w:val="both"/>
              <w:rPr>
                <w:rFonts w:ascii="Tahoma" w:eastAsia="Times New Roman" w:hAnsi="Tahoma" w:cs="Tahoma"/>
                <w:sz w:val="24"/>
                <w:szCs w:val="24"/>
              </w:rPr>
            </w:pPr>
            <w:r w:rsidRPr="0038508A">
              <w:rPr>
                <w:rFonts w:ascii="Tahoma" w:eastAsia="Times New Roman" w:hAnsi="Tahoma" w:cs="Tahoma"/>
                <w:sz w:val="24"/>
                <w:szCs w:val="24"/>
              </w:rPr>
              <w:t xml:space="preserve">Župan, g. </w:t>
            </w:r>
            <w:r w:rsidR="0038508A" w:rsidRPr="0038508A">
              <w:rPr>
                <w:rFonts w:ascii="Tahoma" w:eastAsia="Times New Roman" w:hAnsi="Tahoma" w:cs="Tahoma"/>
                <w:sz w:val="24"/>
                <w:szCs w:val="24"/>
              </w:rPr>
              <w:t>Ciril Kozjek</w:t>
            </w:r>
          </w:p>
          <w:p w:rsidR="00BE112B" w:rsidRPr="0038508A" w:rsidRDefault="00BE112B" w:rsidP="009E312C">
            <w:pPr>
              <w:spacing w:after="0" w:line="240" w:lineRule="auto"/>
              <w:jc w:val="both"/>
              <w:rPr>
                <w:rFonts w:ascii="Tahoma" w:eastAsia="Times New Roman" w:hAnsi="Tahoma" w:cs="Tahoma"/>
                <w:sz w:val="24"/>
                <w:szCs w:val="24"/>
              </w:rPr>
            </w:pPr>
          </w:p>
        </w:tc>
      </w:tr>
      <w:tr w:rsidR="00C255E7" w:rsidRPr="0038508A" w:rsidTr="00777841">
        <w:tc>
          <w:tcPr>
            <w:tcW w:w="1128" w:type="pct"/>
          </w:tcPr>
          <w:p w:rsidR="00C255E7" w:rsidRPr="0038508A" w:rsidRDefault="008D6BE3" w:rsidP="00C214D7">
            <w:pPr>
              <w:spacing w:after="0" w:line="240" w:lineRule="auto"/>
              <w:jc w:val="both"/>
              <w:rPr>
                <w:rFonts w:ascii="Tahoma" w:eastAsia="Times New Roman" w:hAnsi="Tahoma" w:cs="Tahoma"/>
                <w:sz w:val="24"/>
                <w:szCs w:val="24"/>
              </w:rPr>
            </w:pPr>
            <w:r w:rsidRPr="0038508A">
              <w:rPr>
                <w:rFonts w:ascii="Tahoma" w:eastAsia="Times New Roman" w:hAnsi="Tahoma" w:cs="Tahoma"/>
                <w:sz w:val="24"/>
                <w:szCs w:val="24"/>
              </w:rPr>
              <w:t xml:space="preserve">PRIPRAVLJAVEC: </w:t>
            </w:r>
          </w:p>
        </w:tc>
        <w:tc>
          <w:tcPr>
            <w:tcW w:w="3872" w:type="pct"/>
          </w:tcPr>
          <w:p w:rsidR="000468CB" w:rsidRPr="0038508A" w:rsidRDefault="00345AF7" w:rsidP="009C1AAF">
            <w:pPr>
              <w:spacing w:after="0" w:line="240" w:lineRule="auto"/>
              <w:jc w:val="both"/>
              <w:rPr>
                <w:rFonts w:ascii="Tahoma" w:eastAsia="Times New Roman" w:hAnsi="Tahoma" w:cs="Tahoma"/>
                <w:sz w:val="24"/>
                <w:szCs w:val="24"/>
              </w:rPr>
            </w:pPr>
            <w:r w:rsidRPr="0038508A">
              <w:rPr>
                <w:rFonts w:ascii="Tahoma" w:eastAsia="Times New Roman" w:hAnsi="Tahoma" w:cs="Tahoma"/>
                <w:sz w:val="24"/>
                <w:szCs w:val="24"/>
              </w:rPr>
              <w:t>O</w:t>
            </w:r>
            <w:r w:rsidR="00C141A7" w:rsidRPr="0038508A">
              <w:rPr>
                <w:rFonts w:ascii="Tahoma" w:eastAsia="Times New Roman" w:hAnsi="Tahoma" w:cs="Tahoma"/>
                <w:sz w:val="24"/>
                <w:szCs w:val="24"/>
              </w:rPr>
              <w:t>bčinsk</w:t>
            </w:r>
            <w:r w:rsidRPr="0038508A">
              <w:rPr>
                <w:rFonts w:ascii="Tahoma" w:eastAsia="Times New Roman" w:hAnsi="Tahoma" w:cs="Tahoma"/>
                <w:sz w:val="24"/>
                <w:szCs w:val="24"/>
              </w:rPr>
              <w:t>a</w:t>
            </w:r>
            <w:r w:rsidR="00C141A7" w:rsidRPr="0038508A">
              <w:rPr>
                <w:rFonts w:ascii="Tahoma" w:eastAsia="Times New Roman" w:hAnsi="Tahoma" w:cs="Tahoma"/>
                <w:sz w:val="24"/>
                <w:szCs w:val="24"/>
              </w:rPr>
              <w:t xml:space="preserve"> uprav</w:t>
            </w:r>
            <w:r w:rsidRPr="0038508A">
              <w:rPr>
                <w:rFonts w:ascii="Tahoma" w:eastAsia="Times New Roman" w:hAnsi="Tahoma" w:cs="Tahoma"/>
                <w:sz w:val="24"/>
                <w:szCs w:val="24"/>
              </w:rPr>
              <w:t>a</w:t>
            </w:r>
            <w:r w:rsidR="00C141A7" w:rsidRPr="0038508A">
              <w:rPr>
                <w:rFonts w:ascii="Tahoma" w:eastAsia="Times New Roman" w:hAnsi="Tahoma" w:cs="Tahoma"/>
                <w:sz w:val="24"/>
                <w:szCs w:val="24"/>
              </w:rPr>
              <w:t xml:space="preserve"> Občine </w:t>
            </w:r>
            <w:r w:rsidR="0038508A" w:rsidRPr="0038508A">
              <w:rPr>
                <w:rFonts w:ascii="Tahoma" w:eastAsia="Times New Roman" w:hAnsi="Tahoma" w:cs="Tahoma"/>
                <w:sz w:val="24"/>
                <w:szCs w:val="24"/>
              </w:rPr>
              <w:t xml:space="preserve">Šenčur </w:t>
            </w:r>
            <w:r w:rsidRPr="0038508A">
              <w:rPr>
                <w:rFonts w:ascii="Tahoma" w:eastAsia="Times New Roman" w:hAnsi="Tahoma" w:cs="Tahoma"/>
                <w:sz w:val="24"/>
                <w:szCs w:val="24"/>
              </w:rPr>
              <w:t>v sodelovanju z BSC, Poslovno podporni center, d.o.o., Kranj.</w:t>
            </w:r>
          </w:p>
          <w:p w:rsidR="00BE112B" w:rsidRPr="0038508A" w:rsidRDefault="00BE112B" w:rsidP="009C1AAF">
            <w:pPr>
              <w:spacing w:after="0" w:line="240" w:lineRule="auto"/>
              <w:jc w:val="both"/>
              <w:rPr>
                <w:rFonts w:ascii="Tahoma" w:eastAsia="Times New Roman" w:hAnsi="Tahoma" w:cs="Tahoma"/>
                <w:sz w:val="24"/>
                <w:szCs w:val="24"/>
              </w:rPr>
            </w:pPr>
          </w:p>
        </w:tc>
      </w:tr>
      <w:tr w:rsidR="00C255E7" w:rsidRPr="0038508A" w:rsidTr="00777841">
        <w:tc>
          <w:tcPr>
            <w:tcW w:w="1128" w:type="pct"/>
          </w:tcPr>
          <w:p w:rsidR="00C255E7" w:rsidRPr="0038508A" w:rsidRDefault="00C255E7" w:rsidP="00C255E7">
            <w:pPr>
              <w:spacing w:after="0" w:line="240" w:lineRule="auto"/>
              <w:jc w:val="both"/>
              <w:rPr>
                <w:rFonts w:ascii="Tahoma" w:eastAsia="Times New Roman" w:hAnsi="Tahoma" w:cs="Tahoma"/>
                <w:sz w:val="24"/>
                <w:szCs w:val="24"/>
              </w:rPr>
            </w:pPr>
            <w:r w:rsidRPr="0038508A">
              <w:rPr>
                <w:rFonts w:ascii="Tahoma" w:eastAsia="Times New Roman" w:hAnsi="Tahoma" w:cs="Tahoma"/>
                <w:sz w:val="24"/>
                <w:szCs w:val="24"/>
              </w:rPr>
              <w:t>NAMEN:</w:t>
            </w:r>
          </w:p>
        </w:tc>
        <w:tc>
          <w:tcPr>
            <w:tcW w:w="3872" w:type="pct"/>
          </w:tcPr>
          <w:p w:rsidR="00C255E7" w:rsidRPr="0038508A" w:rsidRDefault="00345AF7" w:rsidP="00D254A8">
            <w:pPr>
              <w:spacing w:after="0" w:line="240" w:lineRule="auto"/>
              <w:jc w:val="both"/>
              <w:rPr>
                <w:rFonts w:ascii="Tahoma" w:eastAsia="Times New Roman" w:hAnsi="Tahoma" w:cs="Tahoma"/>
                <w:b/>
                <w:sz w:val="24"/>
                <w:szCs w:val="24"/>
              </w:rPr>
            </w:pPr>
            <w:r w:rsidRPr="0038508A">
              <w:rPr>
                <w:rFonts w:ascii="Tahoma" w:eastAsia="Times New Roman" w:hAnsi="Tahoma" w:cs="Tahoma"/>
                <w:sz w:val="24"/>
                <w:szCs w:val="24"/>
              </w:rPr>
              <w:t xml:space="preserve">Pristop Občine </w:t>
            </w:r>
            <w:r w:rsidR="0038508A" w:rsidRPr="0038508A">
              <w:rPr>
                <w:rFonts w:ascii="Tahoma" w:hAnsi="Tahoma" w:cs="Tahoma"/>
                <w:sz w:val="24"/>
                <w:szCs w:val="24"/>
              </w:rPr>
              <w:t>Šenčur</w:t>
            </w:r>
            <w:r w:rsidR="0038508A" w:rsidRPr="0038508A">
              <w:rPr>
                <w:rFonts w:ascii="Tahoma" w:eastAsia="Times New Roman" w:hAnsi="Tahoma" w:cs="Tahoma"/>
                <w:sz w:val="24"/>
                <w:szCs w:val="24"/>
              </w:rPr>
              <w:t xml:space="preserve"> </w:t>
            </w:r>
            <w:r w:rsidRPr="0038508A">
              <w:rPr>
                <w:rFonts w:ascii="Tahoma" w:eastAsia="Times New Roman" w:hAnsi="Tahoma" w:cs="Tahoma"/>
                <w:sz w:val="24"/>
                <w:szCs w:val="24"/>
              </w:rPr>
              <w:t xml:space="preserve">h </w:t>
            </w:r>
            <w:r w:rsidR="00781DA0" w:rsidRPr="0038508A">
              <w:rPr>
                <w:rFonts w:ascii="Tahoma" w:eastAsia="Times New Roman" w:hAnsi="Tahoma" w:cs="Tahoma"/>
                <w:sz w:val="24"/>
                <w:szCs w:val="24"/>
              </w:rPr>
              <w:t>K</w:t>
            </w:r>
            <w:r w:rsidRPr="0038508A">
              <w:rPr>
                <w:rFonts w:ascii="Tahoma" w:eastAsia="Times New Roman" w:hAnsi="Tahoma" w:cs="Tahoma"/>
                <w:sz w:val="24"/>
                <w:szCs w:val="24"/>
              </w:rPr>
              <w:t xml:space="preserve">onvenciji županov za podnebne spremembe in energijo, </w:t>
            </w:r>
            <w:r w:rsidR="00145D4E" w:rsidRPr="0038508A">
              <w:rPr>
                <w:rFonts w:ascii="Tahoma" w:eastAsia="Times New Roman" w:hAnsi="Tahoma" w:cs="Tahoma"/>
                <w:sz w:val="24"/>
                <w:szCs w:val="24"/>
              </w:rPr>
              <w:t>ki predstavlja</w:t>
            </w:r>
            <w:r w:rsidRPr="0038508A">
              <w:rPr>
                <w:rFonts w:ascii="Tahoma" w:eastAsia="Times New Roman" w:hAnsi="Tahoma" w:cs="Tahoma"/>
                <w:sz w:val="24"/>
                <w:szCs w:val="24"/>
              </w:rPr>
              <w:t xml:space="preserve"> osnovni korak k uspešno izvedenemu projektu </w:t>
            </w:r>
            <w:proofErr w:type="spellStart"/>
            <w:r w:rsidRPr="0038508A">
              <w:rPr>
                <w:rFonts w:ascii="Tahoma" w:eastAsia="Times New Roman" w:hAnsi="Tahoma" w:cs="Tahoma"/>
                <w:sz w:val="24"/>
                <w:szCs w:val="24"/>
              </w:rPr>
              <w:t>PEACE_ALps</w:t>
            </w:r>
            <w:proofErr w:type="spellEnd"/>
            <w:r w:rsidRPr="0038508A">
              <w:rPr>
                <w:rFonts w:ascii="Tahoma" w:eastAsia="Times New Roman" w:hAnsi="Tahoma" w:cs="Tahoma"/>
                <w:sz w:val="24"/>
                <w:szCs w:val="24"/>
              </w:rPr>
              <w:t>, program INTERREG, Alpine</w:t>
            </w:r>
            <w:r w:rsidR="00145D4E" w:rsidRPr="0038508A">
              <w:rPr>
                <w:rFonts w:ascii="Tahoma" w:eastAsia="Times New Roman" w:hAnsi="Tahoma" w:cs="Tahoma"/>
                <w:sz w:val="24"/>
                <w:szCs w:val="24"/>
              </w:rPr>
              <w:t xml:space="preserve"> </w:t>
            </w:r>
            <w:proofErr w:type="spellStart"/>
            <w:r w:rsidRPr="0038508A">
              <w:rPr>
                <w:rFonts w:ascii="Tahoma" w:eastAsia="Times New Roman" w:hAnsi="Tahoma" w:cs="Tahoma"/>
                <w:sz w:val="24"/>
                <w:szCs w:val="24"/>
              </w:rPr>
              <w:t>Space</w:t>
            </w:r>
            <w:proofErr w:type="spellEnd"/>
            <w:r w:rsidRPr="0038508A">
              <w:rPr>
                <w:rFonts w:ascii="Tahoma" w:eastAsia="Times New Roman" w:hAnsi="Tahoma" w:cs="Tahoma"/>
                <w:sz w:val="24"/>
                <w:szCs w:val="24"/>
              </w:rPr>
              <w:t xml:space="preserve"> – </w:t>
            </w:r>
            <w:r w:rsidRPr="0038508A">
              <w:rPr>
                <w:rFonts w:ascii="Tahoma" w:eastAsia="Times New Roman" w:hAnsi="Tahoma" w:cs="Tahoma"/>
                <w:b/>
                <w:sz w:val="24"/>
                <w:szCs w:val="24"/>
              </w:rPr>
              <w:t xml:space="preserve">izdelava Trajnostnega energetskega načrta Gorenjske.  </w:t>
            </w:r>
          </w:p>
          <w:p w:rsidR="002C1FE3" w:rsidRPr="0038508A" w:rsidRDefault="002C1FE3" w:rsidP="00D254A8">
            <w:pPr>
              <w:spacing w:after="0" w:line="240" w:lineRule="auto"/>
              <w:jc w:val="both"/>
              <w:rPr>
                <w:rFonts w:ascii="Tahoma" w:eastAsia="Times New Roman" w:hAnsi="Tahoma" w:cs="Tahoma"/>
                <w:sz w:val="24"/>
                <w:szCs w:val="24"/>
              </w:rPr>
            </w:pPr>
          </w:p>
        </w:tc>
      </w:tr>
    </w:tbl>
    <w:p w:rsidR="00145D4E" w:rsidRPr="0038508A" w:rsidRDefault="00145D4E" w:rsidP="002C1FE3">
      <w:pPr>
        <w:spacing w:after="0" w:line="240" w:lineRule="auto"/>
        <w:jc w:val="center"/>
        <w:rPr>
          <w:rFonts w:ascii="Tahoma" w:eastAsia="Times New Roman" w:hAnsi="Tahoma" w:cs="Tahoma"/>
          <w:b/>
          <w:sz w:val="24"/>
          <w:szCs w:val="24"/>
        </w:rPr>
      </w:pPr>
    </w:p>
    <w:p w:rsidR="00C255E7" w:rsidRPr="0038508A" w:rsidRDefault="00C255E7" w:rsidP="002C1FE3">
      <w:pPr>
        <w:spacing w:after="0" w:line="240" w:lineRule="auto"/>
        <w:jc w:val="center"/>
        <w:rPr>
          <w:rFonts w:ascii="Tahoma" w:eastAsia="Times New Roman" w:hAnsi="Tahoma" w:cs="Tahoma"/>
          <w:b/>
          <w:sz w:val="24"/>
          <w:szCs w:val="24"/>
        </w:rPr>
      </w:pPr>
      <w:r w:rsidRPr="0038508A">
        <w:rPr>
          <w:rFonts w:ascii="Tahoma" w:eastAsia="Times New Roman" w:hAnsi="Tahoma" w:cs="Tahoma"/>
          <w:b/>
          <w:sz w:val="24"/>
          <w:szCs w:val="24"/>
        </w:rPr>
        <w:t>OBRAZLOŽITEV</w:t>
      </w:r>
    </w:p>
    <w:p w:rsidR="00FB2502" w:rsidRPr="0038508A" w:rsidRDefault="00FB2502" w:rsidP="002C1FE3">
      <w:pPr>
        <w:spacing w:after="0" w:line="240" w:lineRule="auto"/>
        <w:jc w:val="center"/>
        <w:rPr>
          <w:rFonts w:ascii="Tahoma" w:eastAsia="Times New Roman" w:hAnsi="Tahoma" w:cs="Tahoma"/>
          <w:b/>
          <w:sz w:val="24"/>
          <w:szCs w:val="24"/>
        </w:rPr>
      </w:pPr>
    </w:p>
    <w:p w:rsidR="00466C52" w:rsidRPr="0038508A" w:rsidRDefault="00466C52" w:rsidP="00466C52">
      <w:pPr>
        <w:spacing w:after="0" w:line="240" w:lineRule="auto"/>
        <w:jc w:val="both"/>
        <w:rPr>
          <w:rFonts w:ascii="Tahoma" w:hAnsi="Tahoma" w:cs="Tahoma"/>
          <w:sz w:val="24"/>
          <w:szCs w:val="24"/>
          <w:lang w:val="sr-Latn-ME"/>
        </w:rPr>
      </w:pPr>
      <w:r w:rsidRPr="0038508A">
        <w:rPr>
          <w:rFonts w:ascii="Tahoma" w:hAnsi="Tahoma" w:cs="Tahoma"/>
          <w:sz w:val="24"/>
          <w:szCs w:val="24"/>
          <w:lang w:val="sr-Latn-ME"/>
        </w:rPr>
        <w:t>Gorenjske občine so januarja 2016 na Svetu gorenjske regije sprejele predlog Regionalne razvojne agencije BSC Kranj po izdelavi Trajnostnega energetskega načrta Gorenjske (TEN Gorenjska). Sinergijski pristop k vprašanju trajnostnega razvoja namreč omogoča doseganje boljših rezultatov kot izoliran pristop, saj temelji na povezovanju in izmenjavi izkušenj. Prav tako bo načrt spodbujal sodelovanje med podjetji, raziskovalnimi ustanovami in lokalnimi skupnostmi.</w:t>
      </w:r>
    </w:p>
    <w:p w:rsidR="00466C52" w:rsidRPr="0038508A" w:rsidRDefault="00466C52" w:rsidP="00466C52">
      <w:pPr>
        <w:spacing w:after="0" w:line="240" w:lineRule="auto"/>
        <w:jc w:val="both"/>
        <w:rPr>
          <w:rFonts w:ascii="Tahoma" w:hAnsi="Tahoma" w:cs="Tahoma"/>
          <w:sz w:val="24"/>
          <w:szCs w:val="24"/>
          <w:lang w:val="sr-Latn-ME"/>
        </w:rPr>
      </w:pPr>
    </w:p>
    <w:p w:rsidR="00466C52" w:rsidRPr="0038508A" w:rsidRDefault="00466C52" w:rsidP="0038508A">
      <w:pPr>
        <w:spacing w:after="0" w:line="240" w:lineRule="auto"/>
        <w:jc w:val="both"/>
        <w:rPr>
          <w:rFonts w:ascii="Tahoma" w:hAnsi="Tahoma" w:cs="Tahoma"/>
          <w:sz w:val="24"/>
          <w:szCs w:val="24"/>
          <w:lang w:val="sr-Latn-ME"/>
        </w:rPr>
      </w:pPr>
      <w:r w:rsidRPr="0038508A">
        <w:rPr>
          <w:rFonts w:ascii="Tahoma" w:hAnsi="Tahoma" w:cs="Tahoma"/>
          <w:sz w:val="24"/>
          <w:szCs w:val="24"/>
          <w:lang w:val="sr-Latn-ME"/>
        </w:rPr>
        <w:lastRenderedPageBreak/>
        <w:t>BSC Kranj je za izdelavo TEN Gorenjska pridobil EU sredstva v okviru Programa Interreg Alpine Space – projekt PEACE ALPS (85% sofinanciranje izdelave TEN Gorenjska). V februarju 2017 je bilo na Svetu gorenjske regije potrjeno 15% sofinanciranje s strani lokalnih skupnosti v gorenjski regiji.</w:t>
      </w:r>
    </w:p>
    <w:p w:rsidR="00466C52" w:rsidRPr="0038508A" w:rsidRDefault="00466C52" w:rsidP="00466C52">
      <w:pPr>
        <w:spacing w:after="0" w:line="240" w:lineRule="auto"/>
        <w:jc w:val="both"/>
        <w:rPr>
          <w:rFonts w:ascii="Tahoma" w:hAnsi="Tahoma" w:cs="Tahoma"/>
          <w:sz w:val="24"/>
          <w:szCs w:val="24"/>
          <w:lang w:val="sr-Latn-ME"/>
        </w:rPr>
      </w:pPr>
    </w:p>
    <w:p w:rsidR="00466C52" w:rsidRPr="0038508A" w:rsidRDefault="00466C52" w:rsidP="00466C52">
      <w:pPr>
        <w:spacing w:after="0" w:line="240" w:lineRule="auto"/>
        <w:jc w:val="both"/>
        <w:rPr>
          <w:rFonts w:ascii="Tahoma" w:hAnsi="Tahoma" w:cs="Tahoma"/>
          <w:sz w:val="24"/>
          <w:szCs w:val="24"/>
          <w:lang w:val="sr-Latn-ME"/>
        </w:rPr>
      </w:pPr>
      <w:r w:rsidRPr="0038508A">
        <w:rPr>
          <w:rFonts w:ascii="Tahoma" w:hAnsi="Tahoma" w:cs="Tahoma"/>
          <w:sz w:val="24"/>
          <w:szCs w:val="24"/>
          <w:lang w:val="sr-Latn-ME"/>
        </w:rPr>
        <w:t xml:space="preserve">TEN Gorenjska bo izdelan na podlagi metodologije v okviru </w:t>
      </w:r>
      <w:r w:rsidRPr="0038508A">
        <w:rPr>
          <w:rFonts w:ascii="Tahoma" w:hAnsi="Tahoma" w:cs="Tahoma"/>
          <w:b/>
          <w:bCs/>
          <w:sz w:val="24"/>
          <w:szCs w:val="24"/>
          <w:lang w:val="sr-Latn-ME"/>
        </w:rPr>
        <w:t>Konvencije županov za podnebne spremembe in energijo.</w:t>
      </w:r>
      <w:r w:rsidRPr="0038508A">
        <w:rPr>
          <w:rFonts w:ascii="Tahoma" w:hAnsi="Tahoma" w:cs="Tahoma"/>
          <w:b/>
          <w:sz w:val="24"/>
          <w:szCs w:val="24"/>
          <w:lang w:val="sr-Latn-ME"/>
        </w:rPr>
        <w:t xml:space="preserve"> </w:t>
      </w:r>
      <w:r w:rsidRPr="0038508A">
        <w:rPr>
          <w:rFonts w:ascii="Tahoma" w:hAnsi="Tahoma" w:cs="Tahoma"/>
          <w:sz w:val="24"/>
          <w:szCs w:val="24"/>
          <w:lang w:val="sr-Latn-ME"/>
        </w:rPr>
        <w:t>Konvencija županov za podnebne spremembe in energijo je evropsko gibanje, v katerem prostovoljno sodelujejo lokalne in regionalne oblasti, ki se zavežejo k izvajanju ciljev EU na področjih podnebnih sprememb in energije na svojem ozemlju. Je edinstveno gibanje od spodaj navzgor, ki se je začelo leta 2008 s podporo Evropske komisije in ima danes že več kot 7.100 podpisnikov.</w:t>
      </w:r>
      <w:r w:rsidRPr="0038508A">
        <w:rPr>
          <w:rFonts w:ascii="Tahoma" w:hAnsi="Tahoma" w:cs="Tahoma"/>
          <w:sz w:val="24"/>
          <w:szCs w:val="24"/>
        </w:rPr>
        <w:t>Za pristop h Konvenciji županov je potrebna politična podpora, in sicer sklep občinskega sveta, da občina pristopa h Konvenciji županov. Na podlagi izražene politične podpore, župan podpiše pristopni obrazec.</w:t>
      </w:r>
    </w:p>
    <w:p w:rsidR="00466C52" w:rsidRPr="0038508A" w:rsidRDefault="00466C52" w:rsidP="00466C52">
      <w:pPr>
        <w:spacing w:after="0" w:line="240" w:lineRule="auto"/>
        <w:rPr>
          <w:rFonts w:ascii="Tahoma" w:hAnsi="Tahoma" w:cs="Tahoma"/>
          <w:sz w:val="24"/>
          <w:szCs w:val="24"/>
          <w:lang w:val="sr-Latn-ME"/>
        </w:rPr>
      </w:pPr>
      <w:r w:rsidRPr="0038508A">
        <w:rPr>
          <w:rFonts w:ascii="Tahoma" w:hAnsi="Tahoma" w:cs="Tahoma"/>
          <w:sz w:val="24"/>
          <w:szCs w:val="24"/>
          <w:lang w:val="sr-Latn-ME"/>
        </w:rPr>
        <w:t>Aktivnosti v okviru Konvencije županov:</w:t>
      </w:r>
    </w:p>
    <w:p w:rsidR="00466C52" w:rsidRPr="0038508A" w:rsidRDefault="00466C52" w:rsidP="00466C52">
      <w:pPr>
        <w:spacing w:after="0" w:line="240" w:lineRule="auto"/>
        <w:rPr>
          <w:rFonts w:ascii="Tahoma" w:hAnsi="Tahoma" w:cs="Tahoma"/>
          <w:sz w:val="24"/>
          <w:szCs w:val="24"/>
          <w:lang w:val="sr-Latn-ME"/>
        </w:rPr>
      </w:pPr>
      <w:r w:rsidRPr="0038508A">
        <w:rPr>
          <w:rFonts w:ascii="Tahoma" w:hAnsi="Tahoma" w:cs="Tahoma"/>
          <w:sz w:val="24"/>
          <w:szCs w:val="24"/>
          <w:lang w:val="sr-Latn-ME"/>
        </w:rPr>
        <w:t>1. izdelava akcijskega načrta – TEN Gorenjska:</w:t>
      </w:r>
    </w:p>
    <w:p w:rsidR="00466C52" w:rsidRPr="0038508A" w:rsidRDefault="00466C52" w:rsidP="00466C52">
      <w:pPr>
        <w:numPr>
          <w:ilvl w:val="0"/>
          <w:numId w:val="12"/>
        </w:numPr>
        <w:spacing w:after="0" w:line="240" w:lineRule="auto"/>
        <w:rPr>
          <w:rFonts w:ascii="Tahoma" w:hAnsi="Tahoma" w:cs="Tahoma"/>
          <w:sz w:val="24"/>
          <w:szCs w:val="24"/>
          <w:lang w:val="sr-Latn-ME"/>
        </w:rPr>
      </w:pPr>
      <w:r w:rsidRPr="0038508A">
        <w:rPr>
          <w:rFonts w:ascii="Tahoma" w:hAnsi="Tahoma" w:cs="Tahoma"/>
          <w:sz w:val="24"/>
          <w:szCs w:val="24"/>
          <w:lang w:val="sr-Latn-ME"/>
        </w:rPr>
        <w:t>osnovna evidenca emisij in ocena podnebnega tveganja in ranljivosti,</w:t>
      </w:r>
    </w:p>
    <w:p w:rsidR="00466C52" w:rsidRPr="0038508A" w:rsidRDefault="00466C52" w:rsidP="00466C52">
      <w:pPr>
        <w:numPr>
          <w:ilvl w:val="0"/>
          <w:numId w:val="12"/>
        </w:numPr>
        <w:spacing w:after="0" w:line="240" w:lineRule="auto"/>
        <w:rPr>
          <w:rFonts w:ascii="Tahoma" w:hAnsi="Tahoma" w:cs="Tahoma"/>
          <w:sz w:val="24"/>
          <w:szCs w:val="24"/>
          <w:lang w:val="sr-Latn-ME"/>
        </w:rPr>
      </w:pPr>
      <w:r w:rsidRPr="0038508A">
        <w:rPr>
          <w:rFonts w:ascii="Tahoma" w:hAnsi="Tahoma" w:cs="Tahoma"/>
          <w:sz w:val="24"/>
          <w:szCs w:val="24"/>
          <w:lang w:val="sr-Latn-ME"/>
        </w:rPr>
        <w:t>določitev cilja – najmanj 40% zmanjšanje emisij CO2 do leta 2030,</w:t>
      </w:r>
    </w:p>
    <w:p w:rsidR="00466C52" w:rsidRPr="0038508A" w:rsidRDefault="00466C52" w:rsidP="00466C52">
      <w:pPr>
        <w:numPr>
          <w:ilvl w:val="0"/>
          <w:numId w:val="12"/>
        </w:numPr>
        <w:spacing w:after="0" w:line="240" w:lineRule="auto"/>
        <w:rPr>
          <w:rFonts w:ascii="Tahoma" w:hAnsi="Tahoma" w:cs="Tahoma"/>
          <w:sz w:val="24"/>
          <w:szCs w:val="24"/>
          <w:lang w:val="sr-Latn-ME"/>
        </w:rPr>
      </w:pPr>
      <w:r w:rsidRPr="0038508A">
        <w:rPr>
          <w:rFonts w:ascii="Tahoma" w:hAnsi="Tahoma" w:cs="Tahoma"/>
          <w:sz w:val="24"/>
          <w:szCs w:val="24"/>
          <w:lang w:val="sr-Latn-ME"/>
        </w:rPr>
        <w:t>opredelitev ukrepov za doseganje cilja.</w:t>
      </w:r>
    </w:p>
    <w:p w:rsidR="00466C52" w:rsidRPr="0038508A" w:rsidRDefault="00466C52" w:rsidP="00466C52">
      <w:pPr>
        <w:spacing w:after="0" w:line="240" w:lineRule="auto"/>
        <w:rPr>
          <w:rFonts w:ascii="Tahoma" w:hAnsi="Tahoma" w:cs="Tahoma"/>
          <w:sz w:val="24"/>
          <w:szCs w:val="24"/>
          <w:lang w:val="sr-Latn-ME"/>
        </w:rPr>
      </w:pPr>
      <w:r w:rsidRPr="0038508A">
        <w:rPr>
          <w:rFonts w:ascii="Tahoma" w:hAnsi="Tahoma" w:cs="Tahoma"/>
          <w:sz w:val="24"/>
          <w:szCs w:val="24"/>
          <w:lang w:val="sr-Latn-ME"/>
        </w:rPr>
        <w:t>2. predložitev akcijskega načrta:</w:t>
      </w:r>
    </w:p>
    <w:p w:rsidR="00466C52" w:rsidRPr="0038508A" w:rsidRDefault="00466C52" w:rsidP="00466C52">
      <w:pPr>
        <w:numPr>
          <w:ilvl w:val="0"/>
          <w:numId w:val="13"/>
        </w:numPr>
        <w:spacing w:after="0" w:line="240" w:lineRule="auto"/>
        <w:rPr>
          <w:rFonts w:ascii="Tahoma" w:hAnsi="Tahoma" w:cs="Tahoma"/>
          <w:sz w:val="24"/>
          <w:szCs w:val="24"/>
          <w:lang w:val="sr-Latn-ME"/>
        </w:rPr>
      </w:pPr>
      <w:r w:rsidRPr="0038508A">
        <w:rPr>
          <w:rFonts w:ascii="Tahoma" w:hAnsi="Tahoma" w:cs="Tahoma"/>
          <w:sz w:val="24"/>
          <w:szCs w:val="24"/>
          <w:lang w:val="sr-Latn-ME"/>
        </w:rPr>
        <w:t>pred predložitvijo na Konvencijo potrditev dokumenta na vseh 18 občinskih svetih,</w:t>
      </w:r>
    </w:p>
    <w:p w:rsidR="00466C52" w:rsidRPr="0038508A" w:rsidRDefault="00466C52" w:rsidP="00466C52">
      <w:pPr>
        <w:spacing w:after="0" w:line="240" w:lineRule="auto"/>
        <w:rPr>
          <w:rFonts w:ascii="Tahoma" w:hAnsi="Tahoma" w:cs="Tahoma"/>
          <w:sz w:val="24"/>
          <w:szCs w:val="24"/>
          <w:lang w:val="sr-Latn-ME"/>
        </w:rPr>
      </w:pPr>
      <w:r w:rsidRPr="0038508A">
        <w:rPr>
          <w:rFonts w:ascii="Tahoma" w:hAnsi="Tahoma" w:cs="Tahoma"/>
          <w:sz w:val="24"/>
          <w:szCs w:val="24"/>
          <w:lang w:val="sr-Latn-ME"/>
        </w:rPr>
        <w:t>3. spremljanje izvajanja:</w:t>
      </w:r>
    </w:p>
    <w:p w:rsidR="00466C52" w:rsidRPr="0038508A" w:rsidRDefault="00466C52" w:rsidP="00466C52">
      <w:pPr>
        <w:numPr>
          <w:ilvl w:val="0"/>
          <w:numId w:val="14"/>
        </w:numPr>
        <w:spacing w:after="0" w:line="240" w:lineRule="auto"/>
        <w:rPr>
          <w:rFonts w:ascii="Tahoma" w:hAnsi="Tahoma" w:cs="Tahoma"/>
          <w:sz w:val="24"/>
          <w:szCs w:val="24"/>
          <w:lang w:val="sr-Latn-ME"/>
        </w:rPr>
      </w:pPr>
      <w:r w:rsidRPr="0038508A">
        <w:rPr>
          <w:rFonts w:ascii="Tahoma" w:hAnsi="Tahoma" w:cs="Tahoma"/>
          <w:sz w:val="24"/>
          <w:szCs w:val="24"/>
          <w:lang w:val="sr-Latn-ME"/>
        </w:rPr>
        <w:t>redno poročanje.</w:t>
      </w:r>
    </w:p>
    <w:p w:rsidR="00466C52" w:rsidRPr="0038508A" w:rsidRDefault="00466C52" w:rsidP="00466C52">
      <w:pPr>
        <w:spacing w:after="0" w:line="240" w:lineRule="auto"/>
        <w:jc w:val="both"/>
        <w:rPr>
          <w:rFonts w:ascii="Tahoma" w:hAnsi="Tahoma" w:cs="Tahoma"/>
          <w:sz w:val="24"/>
          <w:szCs w:val="24"/>
        </w:rPr>
      </w:pPr>
    </w:p>
    <w:p w:rsidR="00466C52" w:rsidRPr="0038508A" w:rsidRDefault="00466C52" w:rsidP="00466C52">
      <w:pPr>
        <w:spacing w:after="0" w:line="240" w:lineRule="auto"/>
        <w:jc w:val="both"/>
        <w:rPr>
          <w:rFonts w:ascii="Tahoma" w:hAnsi="Tahoma" w:cs="Tahoma"/>
          <w:sz w:val="24"/>
          <w:szCs w:val="24"/>
        </w:rPr>
      </w:pPr>
      <w:r w:rsidRPr="0038508A">
        <w:rPr>
          <w:rFonts w:ascii="Tahoma" w:hAnsi="Tahoma" w:cs="Tahoma"/>
          <w:sz w:val="24"/>
          <w:szCs w:val="24"/>
        </w:rPr>
        <w:t>Podpisniki Konvencije županov navajajo številne razloge za pristop k gibanju, med drugim:</w:t>
      </w:r>
    </w:p>
    <w:p w:rsidR="00466C52" w:rsidRPr="0038508A" w:rsidRDefault="00466C52" w:rsidP="00466C52">
      <w:pPr>
        <w:numPr>
          <w:ilvl w:val="0"/>
          <w:numId w:val="11"/>
        </w:numPr>
        <w:spacing w:after="0" w:line="240" w:lineRule="auto"/>
        <w:jc w:val="both"/>
        <w:rPr>
          <w:rFonts w:ascii="Tahoma" w:hAnsi="Tahoma" w:cs="Tahoma"/>
          <w:sz w:val="24"/>
          <w:szCs w:val="24"/>
        </w:rPr>
      </w:pPr>
      <w:r w:rsidRPr="0038508A">
        <w:rPr>
          <w:rFonts w:ascii="Tahoma" w:hAnsi="Tahoma" w:cs="Tahoma"/>
          <w:sz w:val="24"/>
          <w:szCs w:val="24"/>
        </w:rPr>
        <w:t>visoka mednarodna prepoznavnost in opaznost akcijskega načrta lokalne oblasti za podnebne spremembe in energijo,</w:t>
      </w:r>
    </w:p>
    <w:p w:rsidR="00466C52" w:rsidRPr="0038508A" w:rsidRDefault="00466C52" w:rsidP="00466C52">
      <w:pPr>
        <w:numPr>
          <w:ilvl w:val="0"/>
          <w:numId w:val="11"/>
        </w:numPr>
        <w:spacing w:after="0" w:line="240" w:lineRule="auto"/>
        <w:jc w:val="both"/>
        <w:rPr>
          <w:rFonts w:ascii="Tahoma" w:hAnsi="Tahoma" w:cs="Tahoma"/>
          <w:sz w:val="24"/>
          <w:szCs w:val="24"/>
        </w:rPr>
      </w:pPr>
      <w:r w:rsidRPr="0038508A">
        <w:rPr>
          <w:rFonts w:ascii="Tahoma" w:hAnsi="Tahoma" w:cs="Tahoma"/>
          <w:sz w:val="24"/>
          <w:szCs w:val="24"/>
        </w:rPr>
        <w:t>priložnost prispevati k oblikovanju podnebne in energetske politike EU,</w:t>
      </w:r>
    </w:p>
    <w:p w:rsidR="00466C52" w:rsidRPr="0038508A" w:rsidRDefault="00466C52" w:rsidP="00466C52">
      <w:pPr>
        <w:numPr>
          <w:ilvl w:val="0"/>
          <w:numId w:val="11"/>
        </w:numPr>
        <w:spacing w:after="0" w:line="240" w:lineRule="auto"/>
        <w:jc w:val="both"/>
        <w:rPr>
          <w:rFonts w:ascii="Tahoma" w:hAnsi="Tahoma" w:cs="Tahoma"/>
          <w:sz w:val="24"/>
          <w:szCs w:val="24"/>
        </w:rPr>
      </w:pPr>
      <w:r w:rsidRPr="0038508A">
        <w:rPr>
          <w:rFonts w:ascii="Tahoma" w:hAnsi="Tahoma" w:cs="Tahoma"/>
          <w:sz w:val="24"/>
          <w:szCs w:val="24"/>
        </w:rPr>
        <w:t>verodostojne zaveze s pregledom in spremljanjem napredka,</w:t>
      </w:r>
    </w:p>
    <w:p w:rsidR="00466C52" w:rsidRPr="0038508A" w:rsidRDefault="00466C52" w:rsidP="00466C52">
      <w:pPr>
        <w:numPr>
          <w:ilvl w:val="0"/>
          <w:numId w:val="11"/>
        </w:numPr>
        <w:spacing w:after="0" w:line="240" w:lineRule="auto"/>
        <w:jc w:val="both"/>
        <w:rPr>
          <w:rFonts w:ascii="Tahoma" w:hAnsi="Tahoma" w:cs="Tahoma"/>
          <w:sz w:val="24"/>
          <w:szCs w:val="24"/>
        </w:rPr>
      </w:pPr>
      <w:r w:rsidRPr="0038508A">
        <w:rPr>
          <w:rFonts w:ascii="Tahoma" w:hAnsi="Tahoma" w:cs="Tahoma"/>
          <w:sz w:val="24"/>
          <w:szCs w:val="24"/>
        </w:rPr>
        <w:t>boljše finančne priložnosti za lokalne podnebne in energetske projekte,</w:t>
      </w:r>
    </w:p>
    <w:p w:rsidR="00466C52" w:rsidRPr="0038508A" w:rsidRDefault="00466C52" w:rsidP="00466C52">
      <w:pPr>
        <w:numPr>
          <w:ilvl w:val="0"/>
          <w:numId w:val="11"/>
        </w:numPr>
        <w:spacing w:after="0" w:line="240" w:lineRule="auto"/>
        <w:jc w:val="both"/>
        <w:rPr>
          <w:rFonts w:ascii="Tahoma" w:hAnsi="Tahoma" w:cs="Tahoma"/>
          <w:sz w:val="24"/>
          <w:szCs w:val="24"/>
        </w:rPr>
      </w:pPr>
      <w:r w:rsidRPr="0038508A">
        <w:rPr>
          <w:rFonts w:ascii="Tahoma" w:hAnsi="Tahoma" w:cs="Tahoma"/>
          <w:sz w:val="24"/>
          <w:szCs w:val="24"/>
        </w:rPr>
        <w:t>inovativni načini za mrežno povezovanje, izmenjavo izkušenj in krepitev sposobnosti z rednimi dogodki, tesnim medinstitucionalnim sodelovanjem, spletnimi seminarji ali spletnimi razpravami,</w:t>
      </w:r>
    </w:p>
    <w:p w:rsidR="00466C52" w:rsidRPr="0038508A" w:rsidRDefault="00466C52" w:rsidP="00466C52">
      <w:pPr>
        <w:numPr>
          <w:ilvl w:val="0"/>
          <w:numId w:val="11"/>
        </w:numPr>
        <w:spacing w:after="0" w:line="240" w:lineRule="auto"/>
        <w:jc w:val="both"/>
        <w:rPr>
          <w:rFonts w:ascii="Tahoma" w:hAnsi="Tahoma" w:cs="Tahoma"/>
          <w:sz w:val="24"/>
          <w:szCs w:val="24"/>
        </w:rPr>
      </w:pPr>
      <w:r w:rsidRPr="0038508A">
        <w:rPr>
          <w:rFonts w:ascii="Tahoma" w:hAnsi="Tahoma" w:cs="Tahoma"/>
          <w:sz w:val="24"/>
          <w:szCs w:val="24"/>
        </w:rPr>
        <w:t>praktična podpora (služba za pomoč), materiali in orodja za usmerjanje,</w:t>
      </w:r>
    </w:p>
    <w:p w:rsidR="00466C52" w:rsidRPr="0038508A" w:rsidRDefault="00466C52" w:rsidP="00466C52">
      <w:pPr>
        <w:numPr>
          <w:ilvl w:val="0"/>
          <w:numId w:val="11"/>
        </w:numPr>
        <w:spacing w:after="0" w:line="240" w:lineRule="auto"/>
        <w:jc w:val="both"/>
        <w:rPr>
          <w:rFonts w:ascii="Tahoma" w:hAnsi="Tahoma" w:cs="Tahoma"/>
          <w:sz w:val="24"/>
          <w:szCs w:val="24"/>
        </w:rPr>
      </w:pPr>
      <w:r w:rsidRPr="0038508A">
        <w:rPr>
          <w:rFonts w:ascii="Tahoma" w:hAnsi="Tahoma" w:cs="Tahoma"/>
          <w:sz w:val="24"/>
          <w:szCs w:val="24"/>
        </w:rPr>
        <w:t>hiter dostop do »znanja in izkušenj odličnosti« in spodbujajočih študij primerov,</w:t>
      </w:r>
    </w:p>
    <w:p w:rsidR="00466C52" w:rsidRPr="0038508A" w:rsidRDefault="00466C52" w:rsidP="00466C52">
      <w:pPr>
        <w:numPr>
          <w:ilvl w:val="0"/>
          <w:numId w:val="11"/>
        </w:numPr>
        <w:spacing w:after="0" w:line="240" w:lineRule="auto"/>
        <w:jc w:val="both"/>
        <w:rPr>
          <w:rFonts w:ascii="Tahoma" w:hAnsi="Tahoma" w:cs="Tahoma"/>
          <w:sz w:val="24"/>
          <w:szCs w:val="24"/>
        </w:rPr>
      </w:pPr>
      <w:r w:rsidRPr="0038508A">
        <w:rPr>
          <w:rFonts w:ascii="Tahoma" w:hAnsi="Tahoma" w:cs="Tahoma"/>
          <w:sz w:val="24"/>
          <w:szCs w:val="24"/>
        </w:rPr>
        <w:t>olajšano samoocenjevanje in sodelovalna izmenjava s skupnim spremljanjem in predlogo poročanja,</w:t>
      </w:r>
    </w:p>
    <w:p w:rsidR="00466C52" w:rsidRPr="0038508A" w:rsidRDefault="00466C52" w:rsidP="00466C52">
      <w:pPr>
        <w:numPr>
          <w:ilvl w:val="0"/>
          <w:numId w:val="11"/>
        </w:numPr>
        <w:spacing w:after="0" w:line="240" w:lineRule="auto"/>
        <w:jc w:val="both"/>
        <w:rPr>
          <w:rFonts w:ascii="Tahoma" w:hAnsi="Tahoma" w:cs="Tahoma"/>
          <w:sz w:val="24"/>
          <w:szCs w:val="24"/>
        </w:rPr>
      </w:pPr>
      <w:r w:rsidRPr="0038508A">
        <w:rPr>
          <w:rFonts w:ascii="Tahoma" w:hAnsi="Tahoma" w:cs="Tahoma"/>
          <w:sz w:val="24"/>
          <w:szCs w:val="24"/>
        </w:rPr>
        <w:t>fleksibilni referenčni okvir za ukrepanje, prilagodljiv lokalnim potrebam,</w:t>
      </w:r>
    </w:p>
    <w:p w:rsidR="00466C52" w:rsidRPr="0038508A" w:rsidRDefault="00466C52" w:rsidP="00466C52">
      <w:pPr>
        <w:numPr>
          <w:ilvl w:val="0"/>
          <w:numId w:val="11"/>
        </w:numPr>
        <w:spacing w:after="0" w:line="240" w:lineRule="auto"/>
        <w:jc w:val="both"/>
        <w:rPr>
          <w:rFonts w:ascii="Tahoma" w:hAnsi="Tahoma" w:cs="Tahoma"/>
          <w:sz w:val="24"/>
          <w:szCs w:val="24"/>
        </w:rPr>
      </w:pPr>
      <w:r w:rsidRPr="0038508A">
        <w:rPr>
          <w:rFonts w:ascii="Tahoma" w:hAnsi="Tahoma" w:cs="Tahoma"/>
          <w:sz w:val="24"/>
          <w:szCs w:val="24"/>
        </w:rPr>
        <w:t xml:space="preserve">okrepljeno sodelovanje in podpora nacionalnih in </w:t>
      </w:r>
      <w:proofErr w:type="spellStart"/>
      <w:r w:rsidRPr="0038508A">
        <w:rPr>
          <w:rFonts w:ascii="Tahoma" w:hAnsi="Tahoma" w:cs="Tahoma"/>
          <w:sz w:val="24"/>
          <w:szCs w:val="24"/>
        </w:rPr>
        <w:t>podnacionalnih</w:t>
      </w:r>
      <w:proofErr w:type="spellEnd"/>
      <w:r w:rsidRPr="0038508A">
        <w:rPr>
          <w:rFonts w:ascii="Tahoma" w:hAnsi="Tahoma" w:cs="Tahoma"/>
          <w:sz w:val="24"/>
          <w:szCs w:val="24"/>
        </w:rPr>
        <w:t xml:space="preserve"> organov.</w:t>
      </w:r>
    </w:p>
    <w:p w:rsidR="00466C52" w:rsidRPr="0038508A" w:rsidRDefault="00466C52" w:rsidP="00466C52">
      <w:pPr>
        <w:spacing w:after="0" w:line="240" w:lineRule="auto"/>
        <w:jc w:val="both"/>
        <w:rPr>
          <w:rFonts w:ascii="Tahoma" w:hAnsi="Tahoma" w:cs="Tahoma"/>
          <w:sz w:val="24"/>
          <w:szCs w:val="24"/>
        </w:rPr>
      </w:pPr>
    </w:p>
    <w:p w:rsidR="00466C52" w:rsidRPr="0038508A" w:rsidRDefault="00466C52" w:rsidP="00466C52">
      <w:pPr>
        <w:spacing w:after="0" w:line="240" w:lineRule="auto"/>
        <w:jc w:val="both"/>
        <w:rPr>
          <w:rFonts w:ascii="Tahoma" w:hAnsi="Tahoma" w:cs="Tahoma"/>
          <w:sz w:val="24"/>
          <w:szCs w:val="24"/>
        </w:rPr>
      </w:pPr>
      <w:r w:rsidRPr="0038508A">
        <w:rPr>
          <w:rFonts w:ascii="Tahoma" w:hAnsi="Tahoma" w:cs="Tahoma"/>
          <w:sz w:val="24"/>
          <w:szCs w:val="24"/>
        </w:rPr>
        <w:t>K Konvenciji županov za podnebne spremembe in energijo bomo pristopili kot skupina vseh gorenjskih občin s skupnim ciljem zmanjšati emisije CO</w:t>
      </w:r>
      <w:r w:rsidRPr="0038508A">
        <w:rPr>
          <w:rFonts w:ascii="Tahoma" w:hAnsi="Tahoma" w:cs="Tahoma"/>
          <w:sz w:val="24"/>
          <w:szCs w:val="24"/>
          <w:vertAlign w:val="subscript"/>
        </w:rPr>
        <w:t>2</w:t>
      </w:r>
      <w:r w:rsidRPr="0038508A">
        <w:rPr>
          <w:rFonts w:ascii="Tahoma" w:hAnsi="Tahoma" w:cs="Tahoma"/>
          <w:sz w:val="24"/>
          <w:szCs w:val="24"/>
        </w:rPr>
        <w:t xml:space="preserve"> na območju Gorenjske za najmanj 40% do leta 2030. Sprejeli bomo tudi celostni pristop k obravnavanju blažitve podnebnih sprememb ter prilagajanja nanje. Vse to bomo prikazali v skupnem dokumentu – TEN Gorenjske.</w:t>
      </w:r>
    </w:p>
    <w:p w:rsidR="00466C52" w:rsidRPr="0038508A" w:rsidRDefault="00466C52" w:rsidP="00C255E7">
      <w:pPr>
        <w:spacing w:after="0" w:line="240" w:lineRule="auto"/>
        <w:jc w:val="both"/>
        <w:rPr>
          <w:rFonts w:ascii="Tahoma" w:eastAsia="Times New Roman" w:hAnsi="Tahoma" w:cs="Tahoma"/>
          <w:b/>
          <w:sz w:val="24"/>
          <w:szCs w:val="24"/>
        </w:rPr>
      </w:pPr>
    </w:p>
    <w:p w:rsidR="00F734AE" w:rsidRPr="00361A5F" w:rsidRDefault="00F734AE" w:rsidP="00C255E7">
      <w:pPr>
        <w:spacing w:after="0" w:line="240" w:lineRule="auto"/>
        <w:jc w:val="both"/>
        <w:rPr>
          <w:rFonts w:ascii="Tahoma" w:eastAsia="Times New Roman" w:hAnsi="Tahoma" w:cs="Tahoma"/>
          <w:sz w:val="24"/>
          <w:szCs w:val="24"/>
        </w:rPr>
      </w:pPr>
      <w:r w:rsidRPr="00361A5F">
        <w:rPr>
          <w:rFonts w:ascii="Tahoma" w:eastAsia="Times New Roman" w:hAnsi="Tahoma" w:cs="Tahoma"/>
          <w:sz w:val="24"/>
          <w:szCs w:val="24"/>
        </w:rPr>
        <w:lastRenderedPageBreak/>
        <w:t>Občinskemu sve</w:t>
      </w:r>
      <w:r w:rsidR="00C214D7" w:rsidRPr="00361A5F">
        <w:rPr>
          <w:rFonts w:ascii="Tahoma" w:eastAsia="Times New Roman" w:hAnsi="Tahoma" w:cs="Tahoma"/>
          <w:sz w:val="24"/>
          <w:szCs w:val="24"/>
        </w:rPr>
        <w:t>tu Občine</w:t>
      </w:r>
      <w:r w:rsidR="0038508A" w:rsidRPr="00361A5F">
        <w:rPr>
          <w:rFonts w:ascii="Tahoma" w:hAnsi="Tahoma" w:cs="Tahoma"/>
          <w:sz w:val="24"/>
          <w:szCs w:val="24"/>
        </w:rPr>
        <w:t xml:space="preserve"> Šenčur</w:t>
      </w:r>
      <w:r w:rsidR="00C214D7" w:rsidRPr="00361A5F">
        <w:rPr>
          <w:rFonts w:ascii="Tahoma" w:eastAsia="Times New Roman" w:hAnsi="Tahoma" w:cs="Tahoma"/>
          <w:sz w:val="24"/>
          <w:szCs w:val="24"/>
        </w:rPr>
        <w:t xml:space="preserve"> </w:t>
      </w:r>
      <w:r w:rsidRPr="00361A5F">
        <w:rPr>
          <w:rFonts w:ascii="Tahoma" w:eastAsia="Times New Roman" w:hAnsi="Tahoma" w:cs="Tahoma"/>
          <w:sz w:val="24"/>
          <w:szCs w:val="24"/>
        </w:rPr>
        <w:t>predlagam</w:t>
      </w:r>
      <w:r w:rsidR="00A24FBC" w:rsidRPr="00361A5F">
        <w:rPr>
          <w:rFonts w:ascii="Tahoma" w:eastAsia="Times New Roman" w:hAnsi="Tahoma" w:cs="Tahoma"/>
          <w:sz w:val="24"/>
          <w:szCs w:val="24"/>
        </w:rPr>
        <w:t>, da sprejme</w:t>
      </w:r>
      <w:r w:rsidRPr="00361A5F">
        <w:rPr>
          <w:rFonts w:ascii="Tahoma" w:eastAsia="Times New Roman" w:hAnsi="Tahoma" w:cs="Tahoma"/>
          <w:sz w:val="24"/>
          <w:szCs w:val="24"/>
        </w:rPr>
        <w:t xml:space="preserve"> naslednji</w:t>
      </w:r>
    </w:p>
    <w:p w:rsidR="00F734AE" w:rsidRPr="0038508A" w:rsidRDefault="00F734AE" w:rsidP="00C255E7">
      <w:pPr>
        <w:spacing w:after="0" w:line="240" w:lineRule="auto"/>
        <w:jc w:val="both"/>
        <w:rPr>
          <w:rFonts w:ascii="Tahoma" w:eastAsia="Times New Roman" w:hAnsi="Tahoma" w:cs="Tahoma"/>
          <w:b/>
          <w:sz w:val="24"/>
          <w:szCs w:val="24"/>
        </w:rPr>
      </w:pPr>
    </w:p>
    <w:p w:rsidR="00C255E7" w:rsidRPr="0038508A" w:rsidRDefault="006367DB" w:rsidP="00C255E7">
      <w:pPr>
        <w:spacing w:after="0" w:line="240" w:lineRule="auto"/>
        <w:jc w:val="both"/>
        <w:rPr>
          <w:rFonts w:ascii="Tahoma" w:eastAsia="Times New Roman" w:hAnsi="Tahoma" w:cs="Tahoma"/>
          <w:b/>
          <w:sz w:val="24"/>
          <w:szCs w:val="24"/>
        </w:rPr>
      </w:pPr>
      <w:r w:rsidRPr="0038508A">
        <w:rPr>
          <w:rFonts w:ascii="Tahoma" w:eastAsia="Times New Roman" w:hAnsi="Tahoma" w:cs="Tahoma"/>
          <w:b/>
          <w:sz w:val="24"/>
          <w:szCs w:val="24"/>
        </w:rPr>
        <w:t>SKLEP:</w:t>
      </w:r>
    </w:p>
    <w:p w:rsidR="00466C52" w:rsidRPr="0038508A" w:rsidRDefault="00466C52" w:rsidP="00C255E7">
      <w:pPr>
        <w:spacing w:after="0" w:line="240" w:lineRule="auto"/>
        <w:jc w:val="both"/>
        <w:rPr>
          <w:rFonts w:ascii="Tahoma" w:eastAsia="Times New Roman" w:hAnsi="Tahoma" w:cs="Tahoma"/>
          <w:b/>
          <w:sz w:val="24"/>
          <w:szCs w:val="24"/>
        </w:rPr>
      </w:pPr>
    </w:p>
    <w:p w:rsidR="00466C52" w:rsidRPr="00361A5F" w:rsidRDefault="00466C52" w:rsidP="00466C52">
      <w:pPr>
        <w:pStyle w:val="Brezrazmikov"/>
        <w:jc w:val="both"/>
        <w:rPr>
          <w:rFonts w:ascii="Tahoma" w:hAnsi="Tahoma" w:cs="Tahoma"/>
          <w:b/>
          <w:sz w:val="24"/>
          <w:szCs w:val="24"/>
          <w:lang w:val="sl-SI"/>
        </w:rPr>
      </w:pPr>
      <w:r w:rsidRPr="00361A5F">
        <w:rPr>
          <w:rFonts w:ascii="Tahoma" w:hAnsi="Tahoma" w:cs="Tahoma"/>
          <w:b/>
          <w:sz w:val="24"/>
          <w:szCs w:val="24"/>
          <w:lang w:val="sl-SI"/>
        </w:rPr>
        <w:t xml:space="preserve">Občinski svet Občine </w:t>
      </w:r>
      <w:r w:rsidR="0038508A" w:rsidRPr="00361A5F">
        <w:rPr>
          <w:rFonts w:ascii="Tahoma" w:hAnsi="Tahoma" w:cs="Tahoma"/>
          <w:b/>
          <w:sz w:val="24"/>
          <w:szCs w:val="24"/>
        </w:rPr>
        <w:t>Šenčur</w:t>
      </w:r>
      <w:r w:rsidR="0038508A" w:rsidRPr="00361A5F">
        <w:rPr>
          <w:rFonts w:ascii="Tahoma" w:hAnsi="Tahoma" w:cs="Tahoma"/>
          <w:b/>
          <w:sz w:val="24"/>
          <w:szCs w:val="24"/>
          <w:lang w:val="sl-SI"/>
        </w:rPr>
        <w:t xml:space="preserve"> </w:t>
      </w:r>
      <w:r w:rsidRPr="00361A5F">
        <w:rPr>
          <w:rFonts w:ascii="Tahoma" w:hAnsi="Tahoma" w:cs="Tahoma"/>
          <w:b/>
          <w:sz w:val="24"/>
          <w:szCs w:val="24"/>
          <w:lang w:val="sl-SI"/>
        </w:rPr>
        <w:t xml:space="preserve">sprejme sklep o pristopu Občine </w:t>
      </w:r>
      <w:r w:rsidR="0038508A" w:rsidRPr="00361A5F">
        <w:rPr>
          <w:rFonts w:ascii="Tahoma" w:hAnsi="Tahoma" w:cs="Tahoma"/>
          <w:b/>
          <w:sz w:val="24"/>
          <w:szCs w:val="24"/>
        </w:rPr>
        <w:t>Šenčur</w:t>
      </w:r>
      <w:r w:rsidR="0038508A" w:rsidRPr="00361A5F">
        <w:rPr>
          <w:rFonts w:ascii="Tahoma" w:hAnsi="Tahoma" w:cs="Tahoma"/>
          <w:b/>
          <w:sz w:val="24"/>
          <w:szCs w:val="24"/>
          <w:lang w:val="sl-SI"/>
        </w:rPr>
        <w:t xml:space="preserve"> </w:t>
      </w:r>
      <w:r w:rsidRPr="00361A5F">
        <w:rPr>
          <w:rFonts w:ascii="Tahoma" w:hAnsi="Tahoma" w:cs="Tahoma"/>
          <w:b/>
          <w:sz w:val="24"/>
          <w:szCs w:val="24"/>
          <w:lang w:val="sl-SI"/>
        </w:rPr>
        <w:t xml:space="preserve">h Konvenciji županov </w:t>
      </w:r>
      <w:r w:rsidRPr="00361A5F">
        <w:rPr>
          <w:rFonts w:ascii="Tahoma" w:hAnsi="Tahoma" w:cs="Tahoma"/>
          <w:b/>
          <w:sz w:val="24"/>
          <w:szCs w:val="24"/>
        </w:rPr>
        <w:t>za podnebne spremembe in energijo</w:t>
      </w:r>
      <w:r w:rsidRPr="00361A5F">
        <w:rPr>
          <w:rFonts w:ascii="Tahoma" w:hAnsi="Tahoma" w:cs="Tahoma"/>
          <w:b/>
          <w:sz w:val="24"/>
          <w:szCs w:val="24"/>
          <w:lang w:val="sl-SI"/>
        </w:rPr>
        <w:t xml:space="preserve"> in pooblašča župana za podpis pristopnega obrazca.</w:t>
      </w:r>
    </w:p>
    <w:p w:rsidR="00466C52" w:rsidRPr="0038508A" w:rsidRDefault="00466C52" w:rsidP="00466C52">
      <w:pPr>
        <w:pStyle w:val="Brezrazmikov"/>
        <w:jc w:val="both"/>
        <w:rPr>
          <w:rFonts w:ascii="Tahoma" w:hAnsi="Tahoma" w:cs="Tahoma"/>
          <w:sz w:val="24"/>
          <w:szCs w:val="24"/>
          <w:lang w:val="sl-SI"/>
        </w:rPr>
      </w:pPr>
    </w:p>
    <w:p w:rsidR="00DA4D89" w:rsidRPr="0038508A" w:rsidRDefault="00DA4D89" w:rsidP="00DA4D89">
      <w:pPr>
        <w:pStyle w:val="Odstavekseznama"/>
        <w:autoSpaceDE w:val="0"/>
        <w:autoSpaceDN w:val="0"/>
        <w:adjustRightInd w:val="0"/>
        <w:ind w:left="0"/>
        <w:jc w:val="both"/>
        <w:rPr>
          <w:rFonts w:ascii="Tahoma" w:hAnsi="Tahoma" w:cs="Tahoma"/>
          <w:b/>
        </w:rPr>
      </w:pPr>
    </w:p>
    <w:p w:rsidR="00F734AE" w:rsidRPr="0038508A" w:rsidRDefault="00F734AE" w:rsidP="00AB6EFE">
      <w:pPr>
        <w:spacing w:after="0" w:line="240" w:lineRule="auto"/>
        <w:ind w:left="4248" w:firstLine="708"/>
        <w:jc w:val="both"/>
        <w:rPr>
          <w:rFonts w:ascii="Tahoma" w:eastAsia="Times New Roman" w:hAnsi="Tahoma" w:cs="Tahoma"/>
          <w:sz w:val="24"/>
          <w:szCs w:val="24"/>
        </w:rPr>
      </w:pPr>
    </w:p>
    <w:p w:rsidR="00C255E7" w:rsidRPr="0038508A" w:rsidRDefault="00361A5F" w:rsidP="0038508A">
      <w:pPr>
        <w:spacing w:after="0" w:line="240" w:lineRule="auto"/>
        <w:ind w:left="5664" w:firstLine="708"/>
        <w:jc w:val="both"/>
        <w:rPr>
          <w:rFonts w:ascii="Tahoma" w:eastAsia="Times New Roman" w:hAnsi="Tahoma" w:cs="Tahoma"/>
          <w:sz w:val="24"/>
          <w:szCs w:val="24"/>
        </w:rPr>
      </w:pPr>
      <w:r>
        <w:rPr>
          <w:rFonts w:ascii="Tahoma" w:eastAsia="Times New Roman" w:hAnsi="Tahoma" w:cs="Tahoma"/>
          <w:sz w:val="24"/>
          <w:szCs w:val="24"/>
        </w:rPr>
        <w:t xml:space="preserve"> </w:t>
      </w:r>
      <w:r w:rsidR="00384D35">
        <w:rPr>
          <w:rFonts w:ascii="Tahoma" w:eastAsia="Times New Roman" w:hAnsi="Tahoma" w:cs="Tahoma"/>
          <w:sz w:val="24"/>
          <w:szCs w:val="24"/>
        </w:rPr>
        <w:t xml:space="preserve"> </w:t>
      </w:r>
      <w:r>
        <w:rPr>
          <w:rFonts w:ascii="Tahoma" w:eastAsia="Times New Roman" w:hAnsi="Tahoma" w:cs="Tahoma"/>
          <w:sz w:val="24"/>
          <w:szCs w:val="24"/>
        </w:rPr>
        <w:t xml:space="preserve"> </w:t>
      </w:r>
      <w:r w:rsidR="00C255E7" w:rsidRPr="0038508A">
        <w:rPr>
          <w:rFonts w:ascii="Tahoma" w:eastAsia="Times New Roman" w:hAnsi="Tahoma" w:cs="Tahoma"/>
          <w:sz w:val="24"/>
          <w:szCs w:val="24"/>
        </w:rPr>
        <w:t xml:space="preserve">Občina </w:t>
      </w:r>
      <w:r w:rsidR="0038508A" w:rsidRPr="0038508A">
        <w:rPr>
          <w:rFonts w:ascii="Tahoma" w:hAnsi="Tahoma" w:cs="Tahoma"/>
          <w:sz w:val="24"/>
          <w:szCs w:val="24"/>
        </w:rPr>
        <w:t>Šenčur</w:t>
      </w:r>
      <w:r w:rsidR="0038508A" w:rsidRPr="0038508A">
        <w:rPr>
          <w:rFonts w:ascii="Tahoma" w:eastAsia="Times New Roman" w:hAnsi="Tahoma" w:cs="Tahoma"/>
          <w:sz w:val="24"/>
          <w:szCs w:val="24"/>
        </w:rPr>
        <w:t xml:space="preserve"> </w:t>
      </w:r>
      <w:r w:rsidR="00C255E7" w:rsidRPr="0038508A">
        <w:rPr>
          <w:rFonts w:ascii="Tahoma" w:eastAsia="Times New Roman" w:hAnsi="Tahoma" w:cs="Tahoma"/>
          <w:sz w:val="24"/>
          <w:szCs w:val="24"/>
        </w:rPr>
        <w:tab/>
      </w:r>
      <w:r w:rsidR="00C255E7" w:rsidRPr="0038508A">
        <w:rPr>
          <w:rFonts w:ascii="Tahoma" w:eastAsia="Times New Roman" w:hAnsi="Tahoma" w:cs="Tahoma"/>
          <w:sz w:val="24"/>
          <w:szCs w:val="24"/>
        </w:rPr>
        <w:tab/>
      </w:r>
      <w:r w:rsidR="00C255E7" w:rsidRPr="0038508A">
        <w:rPr>
          <w:rFonts w:ascii="Tahoma" w:eastAsia="Times New Roman" w:hAnsi="Tahoma" w:cs="Tahoma"/>
          <w:sz w:val="24"/>
          <w:szCs w:val="24"/>
        </w:rPr>
        <w:tab/>
      </w:r>
      <w:r>
        <w:rPr>
          <w:rFonts w:ascii="Tahoma" w:eastAsia="Times New Roman" w:hAnsi="Tahoma" w:cs="Tahoma"/>
          <w:sz w:val="24"/>
          <w:szCs w:val="24"/>
        </w:rPr>
        <w:t>ŽU</w:t>
      </w:r>
      <w:r w:rsidR="00C255E7" w:rsidRPr="0038508A">
        <w:rPr>
          <w:rFonts w:ascii="Tahoma" w:eastAsia="Times New Roman" w:hAnsi="Tahoma" w:cs="Tahoma"/>
          <w:sz w:val="24"/>
          <w:szCs w:val="24"/>
        </w:rPr>
        <w:t>PAN</w:t>
      </w:r>
    </w:p>
    <w:p w:rsidR="00C255E7" w:rsidRPr="0038508A" w:rsidRDefault="00C255E7" w:rsidP="00C255E7">
      <w:pPr>
        <w:spacing w:after="0" w:line="240" w:lineRule="auto"/>
        <w:jc w:val="both"/>
        <w:rPr>
          <w:rFonts w:ascii="Tahoma" w:eastAsia="Times New Roman" w:hAnsi="Tahoma" w:cs="Tahoma"/>
          <w:sz w:val="24"/>
          <w:szCs w:val="24"/>
        </w:rPr>
      </w:pPr>
      <w:r w:rsidRPr="0038508A">
        <w:rPr>
          <w:rFonts w:ascii="Tahoma" w:eastAsia="Times New Roman" w:hAnsi="Tahoma" w:cs="Tahoma"/>
          <w:sz w:val="24"/>
          <w:szCs w:val="24"/>
        </w:rPr>
        <w:tab/>
      </w:r>
      <w:r w:rsidRPr="0038508A">
        <w:rPr>
          <w:rFonts w:ascii="Tahoma" w:eastAsia="Times New Roman" w:hAnsi="Tahoma" w:cs="Tahoma"/>
          <w:sz w:val="24"/>
          <w:szCs w:val="24"/>
        </w:rPr>
        <w:tab/>
      </w:r>
      <w:r w:rsidRPr="0038508A">
        <w:rPr>
          <w:rFonts w:ascii="Tahoma" w:eastAsia="Times New Roman" w:hAnsi="Tahoma" w:cs="Tahoma"/>
          <w:sz w:val="24"/>
          <w:szCs w:val="24"/>
        </w:rPr>
        <w:tab/>
      </w:r>
      <w:r w:rsidRPr="0038508A">
        <w:rPr>
          <w:rFonts w:ascii="Tahoma" w:eastAsia="Times New Roman" w:hAnsi="Tahoma" w:cs="Tahoma"/>
          <w:sz w:val="24"/>
          <w:szCs w:val="24"/>
        </w:rPr>
        <w:tab/>
      </w:r>
      <w:r w:rsidRPr="0038508A">
        <w:rPr>
          <w:rFonts w:ascii="Tahoma" w:eastAsia="Times New Roman" w:hAnsi="Tahoma" w:cs="Tahoma"/>
          <w:sz w:val="24"/>
          <w:szCs w:val="24"/>
        </w:rPr>
        <w:tab/>
      </w:r>
      <w:r w:rsidRPr="0038508A">
        <w:rPr>
          <w:rFonts w:ascii="Tahoma" w:eastAsia="Times New Roman" w:hAnsi="Tahoma" w:cs="Tahoma"/>
          <w:sz w:val="24"/>
          <w:szCs w:val="24"/>
        </w:rPr>
        <w:tab/>
      </w:r>
      <w:r w:rsidRPr="0038508A">
        <w:rPr>
          <w:rFonts w:ascii="Tahoma" w:eastAsia="Times New Roman" w:hAnsi="Tahoma" w:cs="Tahoma"/>
          <w:sz w:val="24"/>
          <w:szCs w:val="24"/>
        </w:rPr>
        <w:tab/>
        <w:t xml:space="preserve">     </w:t>
      </w:r>
      <w:r w:rsidR="00290F6C" w:rsidRPr="0038508A">
        <w:rPr>
          <w:rFonts w:ascii="Tahoma" w:eastAsia="Times New Roman" w:hAnsi="Tahoma" w:cs="Tahoma"/>
          <w:sz w:val="24"/>
          <w:szCs w:val="24"/>
        </w:rPr>
        <w:t xml:space="preserve">  </w:t>
      </w:r>
      <w:r w:rsidRPr="0038508A">
        <w:rPr>
          <w:rFonts w:ascii="Tahoma" w:eastAsia="Times New Roman" w:hAnsi="Tahoma" w:cs="Tahoma"/>
          <w:sz w:val="24"/>
          <w:szCs w:val="24"/>
        </w:rPr>
        <w:t xml:space="preserve"> </w:t>
      </w:r>
      <w:r w:rsidR="00290F6C" w:rsidRPr="0038508A">
        <w:rPr>
          <w:rFonts w:ascii="Tahoma" w:eastAsia="Times New Roman" w:hAnsi="Tahoma" w:cs="Tahoma"/>
          <w:sz w:val="24"/>
          <w:szCs w:val="24"/>
        </w:rPr>
        <w:t xml:space="preserve">  </w:t>
      </w:r>
      <w:r w:rsidRPr="0038508A">
        <w:rPr>
          <w:rFonts w:ascii="Tahoma" w:eastAsia="Times New Roman" w:hAnsi="Tahoma" w:cs="Tahoma"/>
          <w:sz w:val="24"/>
          <w:szCs w:val="24"/>
        </w:rPr>
        <w:t xml:space="preserve"> </w:t>
      </w:r>
      <w:r w:rsidR="0038508A" w:rsidRPr="0038508A">
        <w:rPr>
          <w:rFonts w:ascii="Tahoma" w:eastAsia="Times New Roman" w:hAnsi="Tahoma" w:cs="Tahoma"/>
          <w:sz w:val="24"/>
          <w:szCs w:val="24"/>
        </w:rPr>
        <w:t xml:space="preserve">               Ciril Kozjek</w:t>
      </w:r>
      <w:r w:rsidRPr="0038508A">
        <w:rPr>
          <w:rFonts w:ascii="Tahoma" w:eastAsia="Times New Roman" w:hAnsi="Tahoma" w:cs="Tahoma"/>
          <w:sz w:val="24"/>
          <w:szCs w:val="24"/>
        </w:rPr>
        <w:tab/>
      </w:r>
    </w:p>
    <w:p w:rsidR="00C255E7" w:rsidRPr="0038508A" w:rsidRDefault="00C255E7" w:rsidP="00C255E7">
      <w:pPr>
        <w:spacing w:after="0" w:line="240" w:lineRule="auto"/>
        <w:jc w:val="both"/>
        <w:rPr>
          <w:rFonts w:ascii="Tahoma" w:eastAsia="Times New Roman" w:hAnsi="Tahoma" w:cs="Tahoma"/>
          <w:sz w:val="24"/>
          <w:szCs w:val="24"/>
        </w:rPr>
      </w:pPr>
    </w:p>
    <w:p w:rsidR="00A2559B" w:rsidRPr="0038508A" w:rsidRDefault="00A2559B" w:rsidP="00C255E7">
      <w:pPr>
        <w:spacing w:after="0" w:line="240" w:lineRule="auto"/>
        <w:jc w:val="both"/>
        <w:rPr>
          <w:rFonts w:ascii="Tahoma" w:eastAsia="Times New Roman" w:hAnsi="Tahoma" w:cs="Tahoma"/>
          <w:sz w:val="24"/>
          <w:szCs w:val="24"/>
        </w:rPr>
      </w:pPr>
    </w:p>
    <w:p w:rsidR="00A2559B" w:rsidRPr="0038508A" w:rsidRDefault="00A2559B" w:rsidP="00C255E7">
      <w:pPr>
        <w:spacing w:after="0" w:line="240" w:lineRule="auto"/>
        <w:jc w:val="both"/>
        <w:rPr>
          <w:rFonts w:ascii="Tahoma" w:eastAsia="Times New Roman" w:hAnsi="Tahoma" w:cs="Tahoma"/>
          <w:sz w:val="24"/>
          <w:szCs w:val="24"/>
        </w:rPr>
      </w:pPr>
    </w:p>
    <w:p w:rsidR="00DA4D89" w:rsidRPr="0038508A" w:rsidRDefault="00DA4D89" w:rsidP="00C255E7">
      <w:pPr>
        <w:spacing w:after="0" w:line="240" w:lineRule="auto"/>
        <w:jc w:val="both"/>
        <w:rPr>
          <w:rFonts w:ascii="Tahoma" w:eastAsia="Times New Roman" w:hAnsi="Tahoma" w:cs="Tahoma"/>
          <w:i/>
          <w:sz w:val="24"/>
          <w:szCs w:val="24"/>
        </w:rPr>
      </w:pPr>
    </w:p>
    <w:p w:rsidR="006B2527" w:rsidRPr="0038508A" w:rsidRDefault="006B2527" w:rsidP="00C255E7">
      <w:pPr>
        <w:spacing w:after="0" w:line="240" w:lineRule="auto"/>
        <w:jc w:val="both"/>
        <w:rPr>
          <w:rFonts w:ascii="Tahoma" w:eastAsia="Times New Roman" w:hAnsi="Tahoma" w:cs="Tahoma"/>
          <w:i/>
          <w:sz w:val="24"/>
          <w:szCs w:val="24"/>
        </w:rPr>
      </w:pPr>
    </w:p>
    <w:p w:rsidR="00466C52" w:rsidRPr="00791142" w:rsidRDefault="00466C52" w:rsidP="00791142">
      <w:pPr>
        <w:jc w:val="both"/>
        <w:rPr>
          <w:rFonts w:ascii="Tahoma" w:eastAsia="Times New Roman" w:hAnsi="Tahoma" w:cs="Tahoma"/>
        </w:rPr>
      </w:pPr>
      <w:r w:rsidRPr="00791142">
        <w:rPr>
          <w:rFonts w:ascii="Tahoma" w:eastAsia="Times New Roman" w:hAnsi="Tahoma" w:cs="Tahoma"/>
        </w:rPr>
        <w:t>Priloga:</w:t>
      </w:r>
      <w:bookmarkStart w:id="2" w:name="_GoBack"/>
      <w:bookmarkEnd w:id="2"/>
    </w:p>
    <w:p w:rsidR="00466C52" w:rsidRPr="00791142" w:rsidRDefault="00466C52" w:rsidP="00791142">
      <w:pPr>
        <w:pStyle w:val="Odstavekseznama"/>
        <w:numPr>
          <w:ilvl w:val="0"/>
          <w:numId w:val="15"/>
        </w:numPr>
        <w:jc w:val="both"/>
        <w:rPr>
          <w:rFonts w:ascii="Tahoma" w:hAnsi="Tahoma" w:cs="Tahoma"/>
        </w:rPr>
      </w:pPr>
      <w:r w:rsidRPr="00791142">
        <w:rPr>
          <w:rFonts w:ascii="Tahoma" w:hAnsi="Tahoma" w:cs="Tahoma"/>
        </w:rPr>
        <w:t>Temeljna listina Konvencije (</w:t>
      </w:r>
      <w:proofErr w:type="spellStart"/>
      <w:r w:rsidRPr="00791142">
        <w:rPr>
          <w:rFonts w:ascii="Tahoma" w:hAnsi="Tahoma" w:cs="Tahoma"/>
        </w:rPr>
        <w:t>Commitment</w:t>
      </w:r>
      <w:proofErr w:type="spellEnd"/>
      <w:r w:rsidRPr="00791142">
        <w:rPr>
          <w:rFonts w:ascii="Tahoma" w:hAnsi="Tahoma" w:cs="Tahoma"/>
        </w:rPr>
        <w:t xml:space="preserve"> </w:t>
      </w:r>
      <w:proofErr w:type="spellStart"/>
      <w:r w:rsidRPr="00791142">
        <w:rPr>
          <w:rFonts w:ascii="Tahoma" w:hAnsi="Tahoma" w:cs="Tahoma"/>
        </w:rPr>
        <w:t>document</w:t>
      </w:r>
      <w:proofErr w:type="spellEnd"/>
      <w:r w:rsidRPr="00791142">
        <w:rPr>
          <w:rFonts w:ascii="Tahoma" w:hAnsi="Tahoma" w:cs="Tahoma"/>
        </w:rPr>
        <w:t>),</w:t>
      </w:r>
    </w:p>
    <w:p w:rsidR="00466C52" w:rsidRPr="00791142" w:rsidRDefault="00466C52" w:rsidP="00791142">
      <w:pPr>
        <w:pStyle w:val="Odstavekseznama"/>
        <w:numPr>
          <w:ilvl w:val="0"/>
          <w:numId w:val="15"/>
        </w:numPr>
        <w:jc w:val="both"/>
        <w:rPr>
          <w:rFonts w:ascii="Tahoma" w:hAnsi="Tahoma" w:cs="Tahoma"/>
        </w:rPr>
      </w:pPr>
      <w:r w:rsidRPr="00791142">
        <w:rPr>
          <w:rFonts w:ascii="Tahoma" w:hAnsi="Tahoma" w:cs="Tahoma"/>
        </w:rPr>
        <w:t>Predstavitev Konvencije županov za podnebne spremembe in energijo.</w:t>
      </w:r>
    </w:p>
    <w:sectPr w:rsidR="00466C52" w:rsidRPr="00791142" w:rsidSect="00777841">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C67" w:rsidRDefault="00315C67">
      <w:pPr>
        <w:spacing w:after="0" w:line="240" w:lineRule="auto"/>
      </w:pPr>
      <w:r>
        <w:separator/>
      </w:r>
    </w:p>
  </w:endnote>
  <w:endnote w:type="continuationSeparator" w:id="0">
    <w:p w:rsidR="00315C67" w:rsidRDefault="00315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41" w:rsidRDefault="00693B50" w:rsidP="00777841">
    <w:pPr>
      <w:pStyle w:val="Noga"/>
      <w:framePr w:wrap="around" w:vAnchor="text" w:hAnchor="margin" w:xAlign="right" w:y="1"/>
      <w:rPr>
        <w:rStyle w:val="tevilkastrani"/>
      </w:rPr>
    </w:pPr>
    <w:r>
      <w:rPr>
        <w:rStyle w:val="tevilkastrani"/>
      </w:rPr>
      <w:fldChar w:fldCharType="begin"/>
    </w:r>
    <w:r w:rsidR="00777841">
      <w:rPr>
        <w:rStyle w:val="tevilkastrani"/>
      </w:rPr>
      <w:instrText xml:space="preserve">PAGE  </w:instrText>
    </w:r>
    <w:r>
      <w:rPr>
        <w:rStyle w:val="tevilkastrani"/>
      </w:rPr>
      <w:fldChar w:fldCharType="end"/>
    </w:r>
  </w:p>
  <w:p w:rsidR="00777841" w:rsidRDefault="00777841" w:rsidP="0077784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41" w:rsidRDefault="00693B50" w:rsidP="00777841">
    <w:pPr>
      <w:pStyle w:val="Noga"/>
      <w:framePr w:wrap="around" w:vAnchor="text" w:hAnchor="margin" w:xAlign="right" w:y="1"/>
      <w:rPr>
        <w:rStyle w:val="tevilkastrani"/>
      </w:rPr>
    </w:pPr>
    <w:r>
      <w:rPr>
        <w:rStyle w:val="tevilkastrani"/>
      </w:rPr>
      <w:fldChar w:fldCharType="begin"/>
    </w:r>
    <w:r w:rsidR="00777841">
      <w:rPr>
        <w:rStyle w:val="tevilkastrani"/>
      </w:rPr>
      <w:instrText xml:space="preserve">PAGE  </w:instrText>
    </w:r>
    <w:r>
      <w:rPr>
        <w:rStyle w:val="tevilkastrani"/>
      </w:rPr>
      <w:fldChar w:fldCharType="separate"/>
    </w:r>
    <w:r w:rsidR="00BD3B7E">
      <w:rPr>
        <w:rStyle w:val="tevilkastrani"/>
        <w:noProof/>
      </w:rPr>
      <w:t>2</w:t>
    </w:r>
    <w:r>
      <w:rPr>
        <w:rStyle w:val="tevilkastrani"/>
      </w:rPr>
      <w:fldChar w:fldCharType="end"/>
    </w:r>
  </w:p>
  <w:p w:rsidR="00777841" w:rsidRDefault="00777841" w:rsidP="0077784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C67" w:rsidRDefault="00315C67">
      <w:pPr>
        <w:spacing w:after="0" w:line="240" w:lineRule="auto"/>
      </w:pPr>
      <w:r>
        <w:separator/>
      </w:r>
    </w:p>
  </w:footnote>
  <w:footnote w:type="continuationSeparator" w:id="0">
    <w:p w:rsidR="00315C67" w:rsidRDefault="00315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2FA1"/>
    <w:multiLevelType w:val="hybridMultilevel"/>
    <w:tmpl w:val="E49CC9AC"/>
    <w:lvl w:ilvl="0" w:tplc="0424000F">
      <w:start w:val="1"/>
      <w:numFmt w:val="decimal"/>
      <w:lvlText w:val="%1."/>
      <w:lvlJc w:val="left"/>
      <w:pPr>
        <w:ind w:left="720" w:hanging="360"/>
      </w:pPr>
    </w:lvl>
    <w:lvl w:ilvl="1" w:tplc="8916B27A">
      <w:numFmt w:val="bullet"/>
      <w:lvlText w:val="-"/>
      <w:lvlJc w:val="left"/>
      <w:pPr>
        <w:ind w:left="1785" w:hanging="705"/>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D1114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50D00"/>
    <w:multiLevelType w:val="hybridMultilevel"/>
    <w:tmpl w:val="1CE870DE"/>
    <w:lvl w:ilvl="0" w:tplc="710EA09C">
      <w:start w:val="1"/>
      <w:numFmt w:val="decimal"/>
      <w:lvlText w:val="%1."/>
      <w:lvlJc w:val="left"/>
      <w:pPr>
        <w:tabs>
          <w:tab w:val="num" w:pos="720"/>
        </w:tabs>
        <w:ind w:left="720" w:hanging="360"/>
      </w:pPr>
      <w:rPr>
        <w:rFonts w:hint="default"/>
        <w:color w:val="auto"/>
        <w:vertAlign w:val="baseli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56F3AC2"/>
    <w:multiLevelType w:val="hybridMultilevel"/>
    <w:tmpl w:val="EA28870E"/>
    <w:lvl w:ilvl="0" w:tplc="5C9640E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C877BF"/>
    <w:multiLevelType w:val="hybridMultilevel"/>
    <w:tmpl w:val="5420B8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3D106BC"/>
    <w:multiLevelType w:val="hybridMultilevel"/>
    <w:tmpl w:val="2458A220"/>
    <w:lvl w:ilvl="0" w:tplc="291442C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8C80ABE"/>
    <w:multiLevelType w:val="hybridMultilevel"/>
    <w:tmpl w:val="735E5954"/>
    <w:lvl w:ilvl="0" w:tplc="5C9640E2">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0664A8C"/>
    <w:multiLevelType w:val="hybridMultilevel"/>
    <w:tmpl w:val="43988AAA"/>
    <w:lvl w:ilvl="0" w:tplc="0512EE5E">
      <w:start w:val="1"/>
      <w:numFmt w:val="bullet"/>
      <w:lvlText w:val=""/>
      <w:lvlJc w:val="left"/>
      <w:pPr>
        <w:tabs>
          <w:tab w:val="num" w:pos="720"/>
        </w:tabs>
        <w:ind w:left="720" w:hanging="360"/>
      </w:pPr>
      <w:rPr>
        <w:rFonts w:ascii="Wingdings" w:hAnsi="Wingdings" w:hint="default"/>
      </w:rPr>
    </w:lvl>
    <w:lvl w:ilvl="1" w:tplc="2DD6C362" w:tentative="1">
      <w:start w:val="1"/>
      <w:numFmt w:val="bullet"/>
      <w:lvlText w:val=""/>
      <w:lvlJc w:val="left"/>
      <w:pPr>
        <w:tabs>
          <w:tab w:val="num" w:pos="1440"/>
        </w:tabs>
        <w:ind w:left="1440" w:hanging="360"/>
      </w:pPr>
      <w:rPr>
        <w:rFonts w:ascii="Wingdings" w:hAnsi="Wingdings" w:hint="default"/>
      </w:rPr>
    </w:lvl>
    <w:lvl w:ilvl="2" w:tplc="FF66A76C" w:tentative="1">
      <w:start w:val="1"/>
      <w:numFmt w:val="bullet"/>
      <w:lvlText w:val=""/>
      <w:lvlJc w:val="left"/>
      <w:pPr>
        <w:tabs>
          <w:tab w:val="num" w:pos="2160"/>
        </w:tabs>
        <w:ind w:left="2160" w:hanging="360"/>
      </w:pPr>
      <w:rPr>
        <w:rFonts w:ascii="Wingdings" w:hAnsi="Wingdings" w:hint="default"/>
      </w:rPr>
    </w:lvl>
    <w:lvl w:ilvl="3" w:tplc="4394DC06" w:tentative="1">
      <w:start w:val="1"/>
      <w:numFmt w:val="bullet"/>
      <w:lvlText w:val=""/>
      <w:lvlJc w:val="left"/>
      <w:pPr>
        <w:tabs>
          <w:tab w:val="num" w:pos="2880"/>
        </w:tabs>
        <w:ind w:left="2880" w:hanging="360"/>
      </w:pPr>
      <w:rPr>
        <w:rFonts w:ascii="Wingdings" w:hAnsi="Wingdings" w:hint="default"/>
      </w:rPr>
    </w:lvl>
    <w:lvl w:ilvl="4" w:tplc="803CFA1C" w:tentative="1">
      <w:start w:val="1"/>
      <w:numFmt w:val="bullet"/>
      <w:lvlText w:val=""/>
      <w:lvlJc w:val="left"/>
      <w:pPr>
        <w:tabs>
          <w:tab w:val="num" w:pos="3600"/>
        </w:tabs>
        <w:ind w:left="3600" w:hanging="360"/>
      </w:pPr>
      <w:rPr>
        <w:rFonts w:ascii="Wingdings" w:hAnsi="Wingdings" w:hint="default"/>
      </w:rPr>
    </w:lvl>
    <w:lvl w:ilvl="5" w:tplc="A1F4B79E" w:tentative="1">
      <w:start w:val="1"/>
      <w:numFmt w:val="bullet"/>
      <w:lvlText w:val=""/>
      <w:lvlJc w:val="left"/>
      <w:pPr>
        <w:tabs>
          <w:tab w:val="num" w:pos="4320"/>
        </w:tabs>
        <w:ind w:left="4320" w:hanging="360"/>
      </w:pPr>
      <w:rPr>
        <w:rFonts w:ascii="Wingdings" w:hAnsi="Wingdings" w:hint="default"/>
      </w:rPr>
    </w:lvl>
    <w:lvl w:ilvl="6" w:tplc="E0B4ED2E" w:tentative="1">
      <w:start w:val="1"/>
      <w:numFmt w:val="bullet"/>
      <w:lvlText w:val=""/>
      <w:lvlJc w:val="left"/>
      <w:pPr>
        <w:tabs>
          <w:tab w:val="num" w:pos="5040"/>
        </w:tabs>
        <w:ind w:left="5040" w:hanging="360"/>
      </w:pPr>
      <w:rPr>
        <w:rFonts w:ascii="Wingdings" w:hAnsi="Wingdings" w:hint="default"/>
      </w:rPr>
    </w:lvl>
    <w:lvl w:ilvl="7" w:tplc="8F4826A2" w:tentative="1">
      <w:start w:val="1"/>
      <w:numFmt w:val="bullet"/>
      <w:lvlText w:val=""/>
      <w:lvlJc w:val="left"/>
      <w:pPr>
        <w:tabs>
          <w:tab w:val="num" w:pos="5760"/>
        </w:tabs>
        <w:ind w:left="5760" w:hanging="360"/>
      </w:pPr>
      <w:rPr>
        <w:rFonts w:ascii="Wingdings" w:hAnsi="Wingdings" w:hint="default"/>
      </w:rPr>
    </w:lvl>
    <w:lvl w:ilvl="8" w:tplc="5E74205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A0E97"/>
    <w:multiLevelType w:val="hybridMultilevel"/>
    <w:tmpl w:val="E8326B08"/>
    <w:lvl w:ilvl="0" w:tplc="04240013">
      <w:start w:val="1"/>
      <w:numFmt w:val="upperRoman"/>
      <w:lvlText w:val="%1."/>
      <w:lvlJc w:val="right"/>
      <w:pPr>
        <w:ind w:left="795" w:hanging="360"/>
      </w:pPr>
    </w:lvl>
    <w:lvl w:ilvl="1" w:tplc="04240019" w:tentative="1">
      <w:start w:val="1"/>
      <w:numFmt w:val="lowerLetter"/>
      <w:lvlText w:val="%2."/>
      <w:lvlJc w:val="left"/>
      <w:pPr>
        <w:ind w:left="1515" w:hanging="360"/>
      </w:pPr>
    </w:lvl>
    <w:lvl w:ilvl="2" w:tplc="0424001B" w:tentative="1">
      <w:start w:val="1"/>
      <w:numFmt w:val="lowerRoman"/>
      <w:lvlText w:val="%3."/>
      <w:lvlJc w:val="right"/>
      <w:pPr>
        <w:ind w:left="2235" w:hanging="180"/>
      </w:pPr>
    </w:lvl>
    <w:lvl w:ilvl="3" w:tplc="0424000F" w:tentative="1">
      <w:start w:val="1"/>
      <w:numFmt w:val="decimal"/>
      <w:lvlText w:val="%4."/>
      <w:lvlJc w:val="left"/>
      <w:pPr>
        <w:ind w:left="2955" w:hanging="360"/>
      </w:pPr>
    </w:lvl>
    <w:lvl w:ilvl="4" w:tplc="04240019" w:tentative="1">
      <w:start w:val="1"/>
      <w:numFmt w:val="lowerLetter"/>
      <w:lvlText w:val="%5."/>
      <w:lvlJc w:val="left"/>
      <w:pPr>
        <w:ind w:left="3675" w:hanging="360"/>
      </w:pPr>
    </w:lvl>
    <w:lvl w:ilvl="5" w:tplc="0424001B" w:tentative="1">
      <w:start w:val="1"/>
      <w:numFmt w:val="lowerRoman"/>
      <w:lvlText w:val="%6."/>
      <w:lvlJc w:val="right"/>
      <w:pPr>
        <w:ind w:left="4395" w:hanging="180"/>
      </w:pPr>
    </w:lvl>
    <w:lvl w:ilvl="6" w:tplc="0424000F" w:tentative="1">
      <w:start w:val="1"/>
      <w:numFmt w:val="decimal"/>
      <w:lvlText w:val="%7."/>
      <w:lvlJc w:val="left"/>
      <w:pPr>
        <w:ind w:left="5115" w:hanging="360"/>
      </w:pPr>
    </w:lvl>
    <w:lvl w:ilvl="7" w:tplc="04240019" w:tentative="1">
      <w:start w:val="1"/>
      <w:numFmt w:val="lowerLetter"/>
      <w:lvlText w:val="%8."/>
      <w:lvlJc w:val="left"/>
      <w:pPr>
        <w:ind w:left="5835" w:hanging="360"/>
      </w:pPr>
    </w:lvl>
    <w:lvl w:ilvl="8" w:tplc="0424001B" w:tentative="1">
      <w:start w:val="1"/>
      <w:numFmt w:val="lowerRoman"/>
      <w:lvlText w:val="%9."/>
      <w:lvlJc w:val="right"/>
      <w:pPr>
        <w:ind w:left="6555" w:hanging="180"/>
      </w:pPr>
    </w:lvl>
  </w:abstractNum>
  <w:abstractNum w:abstractNumId="9" w15:restartNumberingAfterBreak="0">
    <w:nsid w:val="4D6978EC"/>
    <w:multiLevelType w:val="hybridMultilevel"/>
    <w:tmpl w:val="E6469EAC"/>
    <w:lvl w:ilvl="0" w:tplc="C7BADF04">
      <w:start w:val="1"/>
      <w:numFmt w:val="decimal"/>
      <w:lvlText w:val="%1."/>
      <w:lvlJc w:val="left"/>
      <w:pPr>
        <w:ind w:left="720" w:hanging="360"/>
      </w:pPr>
      <w:rPr>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F3612EC"/>
    <w:multiLevelType w:val="hybridMultilevel"/>
    <w:tmpl w:val="1ED8AB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2FA0D3F"/>
    <w:multiLevelType w:val="hybridMultilevel"/>
    <w:tmpl w:val="CB50437A"/>
    <w:lvl w:ilvl="0" w:tplc="1FFA3EAA">
      <w:start w:val="1"/>
      <w:numFmt w:val="bullet"/>
      <w:lvlText w:val=""/>
      <w:lvlJc w:val="left"/>
      <w:pPr>
        <w:tabs>
          <w:tab w:val="num" w:pos="720"/>
        </w:tabs>
        <w:ind w:left="720" w:hanging="360"/>
      </w:pPr>
      <w:rPr>
        <w:rFonts w:ascii="Wingdings" w:hAnsi="Wingdings" w:hint="default"/>
      </w:rPr>
    </w:lvl>
    <w:lvl w:ilvl="1" w:tplc="5F8636C8" w:tentative="1">
      <w:start w:val="1"/>
      <w:numFmt w:val="bullet"/>
      <w:lvlText w:val=""/>
      <w:lvlJc w:val="left"/>
      <w:pPr>
        <w:tabs>
          <w:tab w:val="num" w:pos="1440"/>
        </w:tabs>
        <w:ind w:left="1440" w:hanging="360"/>
      </w:pPr>
      <w:rPr>
        <w:rFonts w:ascii="Wingdings" w:hAnsi="Wingdings" w:hint="default"/>
      </w:rPr>
    </w:lvl>
    <w:lvl w:ilvl="2" w:tplc="246CC71A" w:tentative="1">
      <w:start w:val="1"/>
      <w:numFmt w:val="bullet"/>
      <w:lvlText w:val=""/>
      <w:lvlJc w:val="left"/>
      <w:pPr>
        <w:tabs>
          <w:tab w:val="num" w:pos="2160"/>
        </w:tabs>
        <w:ind w:left="2160" w:hanging="360"/>
      </w:pPr>
      <w:rPr>
        <w:rFonts w:ascii="Wingdings" w:hAnsi="Wingdings" w:hint="default"/>
      </w:rPr>
    </w:lvl>
    <w:lvl w:ilvl="3" w:tplc="A75E4B6C" w:tentative="1">
      <w:start w:val="1"/>
      <w:numFmt w:val="bullet"/>
      <w:lvlText w:val=""/>
      <w:lvlJc w:val="left"/>
      <w:pPr>
        <w:tabs>
          <w:tab w:val="num" w:pos="2880"/>
        </w:tabs>
        <w:ind w:left="2880" w:hanging="360"/>
      </w:pPr>
      <w:rPr>
        <w:rFonts w:ascii="Wingdings" w:hAnsi="Wingdings" w:hint="default"/>
      </w:rPr>
    </w:lvl>
    <w:lvl w:ilvl="4" w:tplc="05169172" w:tentative="1">
      <w:start w:val="1"/>
      <w:numFmt w:val="bullet"/>
      <w:lvlText w:val=""/>
      <w:lvlJc w:val="left"/>
      <w:pPr>
        <w:tabs>
          <w:tab w:val="num" w:pos="3600"/>
        </w:tabs>
        <w:ind w:left="3600" w:hanging="360"/>
      </w:pPr>
      <w:rPr>
        <w:rFonts w:ascii="Wingdings" w:hAnsi="Wingdings" w:hint="default"/>
      </w:rPr>
    </w:lvl>
    <w:lvl w:ilvl="5" w:tplc="60C8630A" w:tentative="1">
      <w:start w:val="1"/>
      <w:numFmt w:val="bullet"/>
      <w:lvlText w:val=""/>
      <w:lvlJc w:val="left"/>
      <w:pPr>
        <w:tabs>
          <w:tab w:val="num" w:pos="4320"/>
        </w:tabs>
        <w:ind w:left="4320" w:hanging="360"/>
      </w:pPr>
      <w:rPr>
        <w:rFonts w:ascii="Wingdings" w:hAnsi="Wingdings" w:hint="default"/>
      </w:rPr>
    </w:lvl>
    <w:lvl w:ilvl="6" w:tplc="1054D314" w:tentative="1">
      <w:start w:val="1"/>
      <w:numFmt w:val="bullet"/>
      <w:lvlText w:val=""/>
      <w:lvlJc w:val="left"/>
      <w:pPr>
        <w:tabs>
          <w:tab w:val="num" w:pos="5040"/>
        </w:tabs>
        <w:ind w:left="5040" w:hanging="360"/>
      </w:pPr>
      <w:rPr>
        <w:rFonts w:ascii="Wingdings" w:hAnsi="Wingdings" w:hint="default"/>
      </w:rPr>
    </w:lvl>
    <w:lvl w:ilvl="7" w:tplc="215E5E24" w:tentative="1">
      <w:start w:val="1"/>
      <w:numFmt w:val="bullet"/>
      <w:lvlText w:val=""/>
      <w:lvlJc w:val="left"/>
      <w:pPr>
        <w:tabs>
          <w:tab w:val="num" w:pos="5760"/>
        </w:tabs>
        <w:ind w:left="5760" w:hanging="360"/>
      </w:pPr>
      <w:rPr>
        <w:rFonts w:ascii="Wingdings" w:hAnsi="Wingdings" w:hint="default"/>
      </w:rPr>
    </w:lvl>
    <w:lvl w:ilvl="8" w:tplc="E0083AB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160907"/>
    <w:multiLevelType w:val="hybridMultilevel"/>
    <w:tmpl w:val="2A92AE5E"/>
    <w:lvl w:ilvl="0" w:tplc="5BA2DD24">
      <w:start w:val="1"/>
      <w:numFmt w:val="upperRoman"/>
      <w:lvlText w:val="(%1)"/>
      <w:lvlJc w:val="left"/>
      <w:pPr>
        <w:ind w:left="1440" w:hanging="10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C465F4"/>
    <w:multiLevelType w:val="hybridMultilevel"/>
    <w:tmpl w:val="580299A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BBB7A22"/>
    <w:multiLevelType w:val="hybridMultilevel"/>
    <w:tmpl w:val="91669CF8"/>
    <w:lvl w:ilvl="0" w:tplc="62BA12EE">
      <w:start w:val="1"/>
      <w:numFmt w:val="bullet"/>
      <w:lvlText w:val=""/>
      <w:lvlJc w:val="left"/>
      <w:pPr>
        <w:tabs>
          <w:tab w:val="num" w:pos="720"/>
        </w:tabs>
        <w:ind w:left="720" w:hanging="360"/>
      </w:pPr>
      <w:rPr>
        <w:rFonts w:ascii="Wingdings" w:hAnsi="Wingdings" w:hint="default"/>
      </w:rPr>
    </w:lvl>
    <w:lvl w:ilvl="1" w:tplc="AE22D6B6" w:tentative="1">
      <w:start w:val="1"/>
      <w:numFmt w:val="bullet"/>
      <w:lvlText w:val=""/>
      <w:lvlJc w:val="left"/>
      <w:pPr>
        <w:tabs>
          <w:tab w:val="num" w:pos="1440"/>
        </w:tabs>
        <w:ind w:left="1440" w:hanging="360"/>
      </w:pPr>
      <w:rPr>
        <w:rFonts w:ascii="Wingdings" w:hAnsi="Wingdings" w:hint="default"/>
      </w:rPr>
    </w:lvl>
    <w:lvl w:ilvl="2" w:tplc="873A5BB6" w:tentative="1">
      <w:start w:val="1"/>
      <w:numFmt w:val="bullet"/>
      <w:lvlText w:val=""/>
      <w:lvlJc w:val="left"/>
      <w:pPr>
        <w:tabs>
          <w:tab w:val="num" w:pos="2160"/>
        </w:tabs>
        <w:ind w:left="2160" w:hanging="360"/>
      </w:pPr>
      <w:rPr>
        <w:rFonts w:ascii="Wingdings" w:hAnsi="Wingdings" w:hint="default"/>
      </w:rPr>
    </w:lvl>
    <w:lvl w:ilvl="3" w:tplc="E9748BA8" w:tentative="1">
      <w:start w:val="1"/>
      <w:numFmt w:val="bullet"/>
      <w:lvlText w:val=""/>
      <w:lvlJc w:val="left"/>
      <w:pPr>
        <w:tabs>
          <w:tab w:val="num" w:pos="2880"/>
        </w:tabs>
        <w:ind w:left="2880" w:hanging="360"/>
      </w:pPr>
      <w:rPr>
        <w:rFonts w:ascii="Wingdings" w:hAnsi="Wingdings" w:hint="default"/>
      </w:rPr>
    </w:lvl>
    <w:lvl w:ilvl="4" w:tplc="569C1BF6" w:tentative="1">
      <w:start w:val="1"/>
      <w:numFmt w:val="bullet"/>
      <w:lvlText w:val=""/>
      <w:lvlJc w:val="left"/>
      <w:pPr>
        <w:tabs>
          <w:tab w:val="num" w:pos="3600"/>
        </w:tabs>
        <w:ind w:left="3600" w:hanging="360"/>
      </w:pPr>
      <w:rPr>
        <w:rFonts w:ascii="Wingdings" w:hAnsi="Wingdings" w:hint="default"/>
      </w:rPr>
    </w:lvl>
    <w:lvl w:ilvl="5" w:tplc="00F2A2E4" w:tentative="1">
      <w:start w:val="1"/>
      <w:numFmt w:val="bullet"/>
      <w:lvlText w:val=""/>
      <w:lvlJc w:val="left"/>
      <w:pPr>
        <w:tabs>
          <w:tab w:val="num" w:pos="4320"/>
        </w:tabs>
        <w:ind w:left="4320" w:hanging="360"/>
      </w:pPr>
      <w:rPr>
        <w:rFonts w:ascii="Wingdings" w:hAnsi="Wingdings" w:hint="default"/>
      </w:rPr>
    </w:lvl>
    <w:lvl w:ilvl="6" w:tplc="B4908258" w:tentative="1">
      <w:start w:val="1"/>
      <w:numFmt w:val="bullet"/>
      <w:lvlText w:val=""/>
      <w:lvlJc w:val="left"/>
      <w:pPr>
        <w:tabs>
          <w:tab w:val="num" w:pos="5040"/>
        </w:tabs>
        <w:ind w:left="5040" w:hanging="360"/>
      </w:pPr>
      <w:rPr>
        <w:rFonts w:ascii="Wingdings" w:hAnsi="Wingdings" w:hint="default"/>
      </w:rPr>
    </w:lvl>
    <w:lvl w:ilvl="7" w:tplc="13064908" w:tentative="1">
      <w:start w:val="1"/>
      <w:numFmt w:val="bullet"/>
      <w:lvlText w:val=""/>
      <w:lvlJc w:val="left"/>
      <w:pPr>
        <w:tabs>
          <w:tab w:val="num" w:pos="5760"/>
        </w:tabs>
        <w:ind w:left="5760" w:hanging="360"/>
      </w:pPr>
      <w:rPr>
        <w:rFonts w:ascii="Wingdings" w:hAnsi="Wingdings" w:hint="default"/>
      </w:rPr>
    </w:lvl>
    <w:lvl w:ilvl="8" w:tplc="1DDAAB8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3"/>
  </w:num>
  <w:num w:numId="4">
    <w:abstractNumId w:val="8"/>
  </w:num>
  <w:num w:numId="5">
    <w:abstractNumId w:val="5"/>
  </w:num>
  <w:num w:numId="6">
    <w:abstractNumId w:val="0"/>
  </w:num>
  <w:num w:numId="7">
    <w:abstractNumId w:val="9"/>
  </w:num>
  <w:num w:numId="8">
    <w:abstractNumId w:val="12"/>
  </w:num>
  <w:num w:numId="9">
    <w:abstractNumId w:val="1"/>
  </w:num>
  <w:num w:numId="10">
    <w:abstractNumId w:val="10"/>
  </w:num>
  <w:num w:numId="11">
    <w:abstractNumId w:val="6"/>
  </w:num>
  <w:num w:numId="12">
    <w:abstractNumId w:val="14"/>
  </w:num>
  <w:num w:numId="13">
    <w:abstractNumId w:val="1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E7"/>
    <w:rsid w:val="00002E9F"/>
    <w:rsid w:val="000172BC"/>
    <w:rsid w:val="00036AB9"/>
    <w:rsid w:val="000468CB"/>
    <w:rsid w:val="00057917"/>
    <w:rsid w:val="000710BF"/>
    <w:rsid w:val="000720A3"/>
    <w:rsid w:val="000B1025"/>
    <w:rsid w:val="000B7BEC"/>
    <w:rsid w:val="0010692D"/>
    <w:rsid w:val="00120216"/>
    <w:rsid w:val="00121EA6"/>
    <w:rsid w:val="00131BE3"/>
    <w:rsid w:val="00136D8C"/>
    <w:rsid w:val="00145D4E"/>
    <w:rsid w:val="0014699C"/>
    <w:rsid w:val="00161F03"/>
    <w:rsid w:val="00170AD0"/>
    <w:rsid w:val="0018201C"/>
    <w:rsid w:val="00186100"/>
    <w:rsid w:val="001919AA"/>
    <w:rsid w:val="001A0003"/>
    <w:rsid w:val="001A44DA"/>
    <w:rsid w:val="001B2308"/>
    <w:rsid w:val="001D0103"/>
    <w:rsid w:val="001D3CED"/>
    <w:rsid w:val="001D56E9"/>
    <w:rsid w:val="001F548B"/>
    <w:rsid w:val="001F6049"/>
    <w:rsid w:val="0026713C"/>
    <w:rsid w:val="00270CBF"/>
    <w:rsid w:val="00287861"/>
    <w:rsid w:val="00290F6C"/>
    <w:rsid w:val="002910DB"/>
    <w:rsid w:val="002C19C0"/>
    <w:rsid w:val="002C1FE3"/>
    <w:rsid w:val="002D3FC8"/>
    <w:rsid w:val="002E4223"/>
    <w:rsid w:val="002F6738"/>
    <w:rsid w:val="00305F49"/>
    <w:rsid w:val="00315C67"/>
    <w:rsid w:val="00335331"/>
    <w:rsid w:val="00345AF7"/>
    <w:rsid w:val="003530B0"/>
    <w:rsid w:val="003542EB"/>
    <w:rsid w:val="00360224"/>
    <w:rsid w:val="00361A5F"/>
    <w:rsid w:val="00363956"/>
    <w:rsid w:val="00365068"/>
    <w:rsid w:val="0037029C"/>
    <w:rsid w:val="0037484E"/>
    <w:rsid w:val="00384D35"/>
    <w:rsid w:val="0038508A"/>
    <w:rsid w:val="003B23D7"/>
    <w:rsid w:val="003D1108"/>
    <w:rsid w:val="003E095B"/>
    <w:rsid w:val="003E1C18"/>
    <w:rsid w:val="003F59BC"/>
    <w:rsid w:val="00402E0B"/>
    <w:rsid w:val="004103BC"/>
    <w:rsid w:val="00432A03"/>
    <w:rsid w:val="00456F15"/>
    <w:rsid w:val="00466C52"/>
    <w:rsid w:val="004958A0"/>
    <w:rsid w:val="004A52E7"/>
    <w:rsid w:val="004D350D"/>
    <w:rsid w:val="004E060F"/>
    <w:rsid w:val="004E06BD"/>
    <w:rsid w:val="004F1019"/>
    <w:rsid w:val="005003EB"/>
    <w:rsid w:val="005116A1"/>
    <w:rsid w:val="00524BBC"/>
    <w:rsid w:val="00551F40"/>
    <w:rsid w:val="00574A10"/>
    <w:rsid w:val="00583279"/>
    <w:rsid w:val="00595EEF"/>
    <w:rsid w:val="005A5152"/>
    <w:rsid w:val="005A789D"/>
    <w:rsid w:val="005B38AF"/>
    <w:rsid w:val="005B57E6"/>
    <w:rsid w:val="005B7051"/>
    <w:rsid w:val="005B781F"/>
    <w:rsid w:val="005E0F2D"/>
    <w:rsid w:val="005E63BE"/>
    <w:rsid w:val="005F7ADE"/>
    <w:rsid w:val="0061661C"/>
    <w:rsid w:val="00624084"/>
    <w:rsid w:val="00625253"/>
    <w:rsid w:val="006354C2"/>
    <w:rsid w:val="006367DB"/>
    <w:rsid w:val="00654A8F"/>
    <w:rsid w:val="00673B8F"/>
    <w:rsid w:val="00690B29"/>
    <w:rsid w:val="00690D6B"/>
    <w:rsid w:val="00693B50"/>
    <w:rsid w:val="006A0096"/>
    <w:rsid w:val="006B2527"/>
    <w:rsid w:val="006C54C2"/>
    <w:rsid w:val="006E0464"/>
    <w:rsid w:val="006F70D9"/>
    <w:rsid w:val="00705C6E"/>
    <w:rsid w:val="00731E9D"/>
    <w:rsid w:val="00734071"/>
    <w:rsid w:val="00745838"/>
    <w:rsid w:val="00772A3D"/>
    <w:rsid w:val="00777841"/>
    <w:rsid w:val="00781DA0"/>
    <w:rsid w:val="00791142"/>
    <w:rsid w:val="007924F8"/>
    <w:rsid w:val="00793692"/>
    <w:rsid w:val="007A7984"/>
    <w:rsid w:val="007B0778"/>
    <w:rsid w:val="007C0676"/>
    <w:rsid w:val="007E7830"/>
    <w:rsid w:val="007F519A"/>
    <w:rsid w:val="008056E0"/>
    <w:rsid w:val="00816FDD"/>
    <w:rsid w:val="00857476"/>
    <w:rsid w:val="00887C81"/>
    <w:rsid w:val="008A2F50"/>
    <w:rsid w:val="008D64F0"/>
    <w:rsid w:val="008D6BE3"/>
    <w:rsid w:val="008F2B1C"/>
    <w:rsid w:val="009301F0"/>
    <w:rsid w:val="00965DE7"/>
    <w:rsid w:val="00970DE2"/>
    <w:rsid w:val="009A2253"/>
    <w:rsid w:val="009A64A9"/>
    <w:rsid w:val="009C1AAF"/>
    <w:rsid w:val="009E312C"/>
    <w:rsid w:val="009F4B74"/>
    <w:rsid w:val="009F5A4E"/>
    <w:rsid w:val="009F7D2B"/>
    <w:rsid w:val="00A1736C"/>
    <w:rsid w:val="00A24FBC"/>
    <w:rsid w:val="00A2559B"/>
    <w:rsid w:val="00A57C71"/>
    <w:rsid w:val="00A64B69"/>
    <w:rsid w:val="00A84CFA"/>
    <w:rsid w:val="00AB6EFE"/>
    <w:rsid w:val="00AB7260"/>
    <w:rsid w:val="00AC5DEF"/>
    <w:rsid w:val="00AC7AC6"/>
    <w:rsid w:val="00AD0750"/>
    <w:rsid w:val="00AF1C76"/>
    <w:rsid w:val="00B0189B"/>
    <w:rsid w:val="00B04B5B"/>
    <w:rsid w:val="00B364D2"/>
    <w:rsid w:val="00B5175E"/>
    <w:rsid w:val="00B62DF3"/>
    <w:rsid w:val="00B7672C"/>
    <w:rsid w:val="00B931F0"/>
    <w:rsid w:val="00BA7780"/>
    <w:rsid w:val="00BC30AB"/>
    <w:rsid w:val="00BD0621"/>
    <w:rsid w:val="00BD3B7E"/>
    <w:rsid w:val="00BE112B"/>
    <w:rsid w:val="00BF3AD0"/>
    <w:rsid w:val="00C00959"/>
    <w:rsid w:val="00C0429F"/>
    <w:rsid w:val="00C141A7"/>
    <w:rsid w:val="00C214D7"/>
    <w:rsid w:val="00C255E7"/>
    <w:rsid w:val="00C32EBF"/>
    <w:rsid w:val="00C36151"/>
    <w:rsid w:val="00C37018"/>
    <w:rsid w:val="00C40671"/>
    <w:rsid w:val="00C41360"/>
    <w:rsid w:val="00C563AD"/>
    <w:rsid w:val="00C64EA7"/>
    <w:rsid w:val="00C720CD"/>
    <w:rsid w:val="00C86E44"/>
    <w:rsid w:val="00CA54BC"/>
    <w:rsid w:val="00CE06CB"/>
    <w:rsid w:val="00CE2AAE"/>
    <w:rsid w:val="00CE745D"/>
    <w:rsid w:val="00D247FD"/>
    <w:rsid w:val="00D254A8"/>
    <w:rsid w:val="00D25EB7"/>
    <w:rsid w:val="00D468B3"/>
    <w:rsid w:val="00D53929"/>
    <w:rsid w:val="00D72846"/>
    <w:rsid w:val="00D72DA1"/>
    <w:rsid w:val="00D8696F"/>
    <w:rsid w:val="00D9780B"/>
    <w:rsid w:val="00DA1AB9"/>
    <w:rsid w:val="00DA4D89"/>
    <w:rsid w:val="00DA6721"/>
    <w:rsid w:val="00DA7082"/>
    <w:rsid w:val="00DC6D70"/>
    <w:rsid w:val="00DD6201"/>
    <w:rsid w:val="00E16D5E"/>
    <w:rsid w:val="00E507D7"/>
    <w:rsid w:val="00E55B14"/>
    <w:rsid w:val="00E61E20"/>
    <w:rsid w:val="00E732AE"/>
    <w:rsid w:val="00EB15E6"/>
    <w:rsid w:val="00ED4DD4"/>
    <w:rsid w:val="00ED4E02"/>
    <w:rsid w:val="00EE70FE"/>
    <w:rsid w:val="00EF602A"/>
    <w:rsid w:val="00EF708B"/>
    <w:rsid w:val="00F0326F"/>
    <w:rsid w:val="00F222FC"/>
    <w:rsid w:val="00F30247"/>
    <w:rsid w:val="00F46099"/>
    <w:rsid w:val="00F65EB9"/>
    <w:rsid w:val="00F660DD"/>
    <w:rsid w:val="00F734AE"/>
    <w:rsid w:val="00F90B5A"/>
    <w:rsid w:val="00F94339"/>
    <w:rsid w:val="00F96D04"/>
    <w:rsid w:val="00FA5A2D"/>
    <w:rsid w:val="00FB2502"/>
    <w:rsid w:val="00FE0E69"/>
    <w:rsid w:val="00FE2656"/>
    <w:rsid w:val="00FF5A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35C5"/>
  <w15:docId w15:val="{FD13E904-C5A3-4930-9241-E21931F7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2">
    <w:name w:val="heading 2"/>
    <w:basedOn w:val="Navaden"/>
    <w:next w:val="Navaden"/>
    <w:link w:val="Naslov2Znak"/>
    <w:qFormat/>
    <w:rsid w:val="00595EEF"/>
    <w:pPr>
      <w:keepNext/>
      <w:spacing w:after="0" w:line="240" w:lineRule="auto"/>
      <w:jc w:val="both"/>
      <w:outlineLvl w:val="1"/>
    </w:pPr>
    <w:rPr>
      <w:rFonts w:ascii="Times New Roman" w:eastAsia="Times New Roman" w:hAnsi="Times New Roman" w:cs="Times New Roman"/>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C255E7"/>
    <w:pPr>
      <w:tabs>
        <w:tab w:val="center" w:pos="4536"/>
        <w:tab w:val="right" w:pos="9072"/>
      </w:tabs>
      <w:spacing w:after="0" w:line="240" w:lineRule="auto"/>
      <w:jc w:val="both"/>
    </w:pPr>
    <w:rPr>
      <w:rFonts w:ascii="Times New Roman" w:eastAsia="Times New Roman" w:hAnsi="Times New Roman" w:cs="Times New Roman"/>
      <w:sz w:val="24"/>
      <w:szCs w:val="24"/>
    </w:rPr>
  </w:style>
  <w:style w:type="character" w:customStyle="1" w:styleId="NogaZnak">
    <w:name w:val="Noga Znak"/>
    <w:basedOn w:val="Privzetapisavaodstavka"/>
    <w:link w:val="Noga"/>
    <w:uiPriority w:val="99"/>
    <w:rsid w:val="00C255E7"/>
    <w:rPr>
      <w:rFonts w:ascii="Times New Roman" w:eastAsia="Times New Roman" w:hAnsi="Times New Roman" w:cs="Times New Roman"/>
      <w:sz w:val="24"/>
      <w:szCs w:val="24"/>
      <w:lang w:eastAsia="sl-SI"/>
    </w:rPr>
  </w:style>
  <w:style w:type="character" w:styleId="tevilkastrani">
    <w:name w:val="page number"/>
    <w:basedOn w:val="Privzetapisavaodstavka"/>
    <w:uiPriority w:val="99"/>
    <w:rsid w:val="00C255E7"/>
    <w:rPr>
      <w:rFonts w:cs="Times New Roman"/>
    </w:rPr>
  </w:style>
  <w:style w:type="paragraph" w:styleId="Besedilooblaka">
    <w:name w:val="Balloon Text"/>
    <w:basedOn w:val="Navaden"/>
    <w:link w:val="BesedilooblakaZnak"/>
    <w:uiPriority w:val="99"/>
    <w:semiHidden/>
    <w:unhideWhenUsed/>
    <w:rsid w:val="00C255E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255E7"/>
    <w:rPr>
      <w:rFonts w:ascii="Tahoma" w:hAnsi="Tahoma" w:cs="Tahoma"/>
      <w:sz w:val="16"/>
      <w:szCs w:val="16"/>
    </w:rPr>
  </w:style>
  <w:style w:type="paragraph" w:styleId="Odstavekseznama">
    <w:name w:val="List Paragraph"/>
    <w:basedOn w:val="Navaden"/>
    <w:uiPriority w:val="34"/>
    <w:qFormat/>
    <w:rsid w:val="00673B8F"/>
    <w:pPr>
      <w:spacing w:after="0" w:line="240" w:lineRule="auto"/>
      <w:ind w:left="720"/>
      <w:contextualSpacing/>
    </w:pPr>
    <w:rPr>
      <w:rFonts w:ascii="Times New Roman" w:eastAsia="Times New Roman" w:hAnsi="Times New Roman" w:cs="Times New Roman"/>
      <w:sz w:val="24"/>
      <w:szCs w:val="24"/>
    </w:rPr>
  </w:style>
  <w:style w:type="paragraph" w:styleId="Glava">
    <w:name w:val="header"/>
    <w:basedOn w:val="Navaden"/>
    <w:link w:val="GlavaZnak"/>
    <w:unhideWhenUsed/>
    <w:rsid w:val="00402E0B"/>
    <w:pPr>
      <w:tabs>
        <w:tab w:val="center" w:pos="4536"/>
        <w:tab w:val="right" w:pos="9072"/>
      </w:tabs>
      <w:spacing w:after="0" w:line="240" w:lineRule="auto"/>
    </w:pPr>
  </w:style>
  <w:style w:type="character" w:customStyle="1" w:styleId="GlavaZnak">
    <w:name w:val="Glava Znak"/>
    <w:basedOn w:val="Privzetapisavaodstavka"/>
    <w:link w:val="Glava"/>
    <w:rsid w:val="00402E0B"/>
  </w:style>
  <w:style w:type="character" w:styleId="Hiperpovezava">
    <w:name w:val="Hyperlink"/>
    <w:basedOn w:val="Privzetapisavaodstavka"/>
    <w:uiPriority w:val="99"/>
    <w:unhideWhenUsed/>
    <w:rsid w:val="003B23D7"/>
    <w:rPr>
      <w:color w:val="0000FF" w:themeColor="hyperlink"/>
      <w:u w:val="single"/>
    </w:rPr>
  </w:style>
  <w:style w:type="paragraph" w:styleId="Brezrazmikov">
    <w:name w:val="No Spacing"/>
    <w:uiPriority w:val="1"/>
    <w:qFormat/>
    <w:rsid w:val="00466C52"/>
    <w:pPr>
      <w:spacing w:after="0" w:line="240" w:lineRule="auto"/>
    </w:pPr>
    <w:rPr>
      <w:lang w:val="sr-Latn-ME"/>
    </w:rPr>
  </w:style>
  <w:style w:type="paragraph" w:styleId="Napis">
    <w:name w:val="caption"/>
    <w:basedOn w:val="Navaden"/>
    <w:next w:val="Navaden"/>
    <w:qFormat/>
    <w:rsid w:val="00551F40"/>
    <w:pPr>
      <w:spacing w:after="0" w:line="240" w:lineRule="auto"/>
      <w:jc w:val="both"/>
    </w:pPr>
    <w:rPr>
      <w:rFonts w:ascii="Times New Roman" w:eastAsia="Times New Roman" w:hAnsi="Times New Roman" w:cs="Times New Roman"/>
      <w:sz w:val="28"/>
      <w:szCs w:val="20"/>
    </w:rPr>
  </w:style>
  <w:style w:type="character" w:customStyle="1" w:styleId="Naslov2Znak">
    <w:name w:val="Naslov 2 Znak"/>
    <w:basedOn w:val="Privzetapisavaodstavka"/>
    <w:link w:val="Naslov2"/>
    <w:rsid w:val="00595EE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7F35C-FCC2-40E0-9829-F339241A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Cankar Marija</cp:lastModifiedBy>
  <cp:revision>3</cp:revision>
  <cp:lastPrinted>2017-11-17T12:21:00Z</cp:lastPrinted>
  <dcterms:created xsi:type="dcterms:W3CDTF">2018-09-14T11:37:00Z</dcterms:created>
  <dcterms:modified xsi:type="dcterms:W3CDTF">2018-09-14T11:39:00Z</dcterms:modified>
</cp:coreProperties>
</file>