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B2FC" w14:textId="5616C9B0" w:rsidR="00901A8D" w:rsidRPr="00591178" w:rsidRDefault="00901A8D" w:rsidP="001679EC">
      <w:pPr>
        <w:pageBreakBefore/>
        <w:autoSpaceDE w:val="0"/>
        <w:autoSpaceDN w:val="0"/>
        <w:adjustRightInd w:val="0"/>
        <w:spacing w:after="0" w:line="240" w:lineRule="auto"/>
        <w:jc w:val="both"/>
        <w:rPr>
          <w:rFonts w:asciiTheme="minorHAnsi" w:hAnsiTheme="minorHAnsi" w:cs="Times New Roman"/>
          <w:color w:val="000000"/>
          <w:sz w:val="23"/>
          <w:szCs w:val="23"/>
        </w:rPr>
      </w:pPr>
      <w:bookmarkStart w:id="0" w:name="_GoBack"/>
      <w:bookmarkEnd w:id="0"/>
      <w:r w:rsidRPr="00591178">
        <w:rPr>
          <w:rFonts w:asciiTheme="minorHAnsi" w:hAnsiTheme="minorHAnsi" w:cs="Times New Roman"/>
          <w:color w:val="000000"/>
          <w:sz w:val="23"/>
          <w:szCs w:val="23"/>
        </w:rPr>
        <w:t>Na podlagi tretjega odstavka 149. člena Zakona o varstvu okolj</w:t>
      </w:r>
      <w:r w:rsidR="001679EC" w:rsidRPr="00591178">
        <w:rPr>
          <w:rFonts w:asciiTheme="minorHAnsi" w:hAnsiTheme="minorHAnsi" w:cs="Times New Roman"/>
          <w:color w:val="000000"/>
          <w:sz w:val="23"/>
          <w:szCs w:val="23"/>
        </w:rPr>
        <w:t xml:space="preserve">a </w:t>
      </w:r>
      <w:r w:rsidRPr="00591178">
        <w:rPr>
          <w:rFonts w:asciiTheme="minorHAnsi" w:hAnsiTheme="minorHAnsi" w:cs="Times New Roman"/>
          <w:color w:val="000000"/>
          <w:sz w:val="23"/>
          <w:szCs w:val="23"/>
        </w:rPr>
        <w:t xml:space="preserve">(Uradni list RS, št. 39/06 – uradno prečiščeno besedilo, 49/06 – </w:t>
      </w:r>
      <w:proofErr w:type="spellStart"/>
      <w:r w:rsidRPr="00591178">
        <w:rPr>
          <w:rFonts w:asciiTheme="minorHAnsi" w:hAnsiTheme="minorHAnsi" w:cs="Times New Roman"/>
          <w:color w:val="000000"/>
          <w:sz w:val="23"/>
          <w:szCs w:val="23"/>
        </w:rPr>
        <w:t>ZmetD</w:t>
      </w:r>
      <w:proofErr w:type="spellEnd"/>
      <w:r w:rsidRPr="00591178">
        <w:rPr>
          <w:rFonts w:asciiTheme="minorHAnsi" w:hAnsiTheme="minorHAnsi" w:cs="Times New Roman"/>
          <w:color w:val="000000"/>
          <w:sz w:val="23"/>
          <w:szCs w:val="23"/>
        </w:rPr>
        <w:t xml:space="preserve">, 66/06 – </w:t>
      </w:r>
      <w:proofErr w:type="spellStart"/>
      <w:r w:rsidRPr="00591178">
        <w:rPr>
          <w:rFonts w:asciiTheme="minorHAnsi" w:hAnsiTheme="minorHAnsi" w:cs="Times New Roman"/>
          <w:color w:val="000000"/>
          <w:sz w:val="23"/>
          <w:szCs w:val="23"/>
        </w:rPr>
        <w:t>odl</w:t>
      </w:r>
      <w:proofErr w:type="spellEnd"/>
      <w:r w:rsidRPr="00591178">
        <w:rPr>
          <w:rFonts w:asciiTheme="minorHAnsi" w:hAnsiTheme="minorHAnsi" w:cs="Times New Roman"/>
          <w:color w:val="000000"/>
          <w:sz w:val="23"/>
          <w:szCs w:val="23"/>
        </w:rPr>
        <w:t>. US, 33/07 – ZPNačrt, 57/08 – ZFO-1A, 70/08 in 108/09), 59. člena Zakona o gospodarskih javnih slu</w:t>
      </w:r>
      <w:r w:rsidR="001D4B51" w:rsidRPr="00591178">
        <w:rPr>
          <w:rFonts w:asciiTheme="minorHAnsi" w:hAnsiTheme="minorHAnsi" w:cs="Times New Roman"/>
          <w:color w:val="000000"/>
          <w:sz w:val="23"/>
          <w:szCs w:val="23"/>
        </w:rPr>
        <w:t>ž</w:t>
      </w:r>
      <w:r w:rsidRPr="00591178">
        <w:rPr>
          <w:rFonts w:asciiTheme="minorHAnsi" w:hAnsiTheme="minorHAnsi" w:cs="Times New Roman"/>
          <w:color w:val="000000"/>
          <w:sz w:val="23"/>
          <w:szCs w:val="23"/>
        </w:rPr>
        <w:t xml:space="preserve">bah (Uradni list RS, št. 32/93, 30/98 – ZZLPPO in 127/06 – ZJZP), </w:t>
      </w:r>
      <w:r w:rsidR="00524120" w:rsidRPr="00591178">
        <w:rPr>
          <w:rFonts w:asciiTheme="minorHAnsi" w:hAnsiTheme="minorHAnsi" w:cs="Times New Roman"/>
          <w:color w:val="000000" w:themeColor="text1"/>
          <w:sz w:val="23"/>
          <w:szCs w:val="23"/>
        </w:rPr>
        <w:t>5</w:t>
      </w:r>
      <w:r w:rsidRPr="00591178">
        <w:rPr>
          <w:rFonts w:asciiTheme="minorHAnsi" w:hAnsiTheme="minorHAnsi" w:cs="Times New Roman"/>
          <w:color w:val="000000" w:themeColor="text1"/>
          <w:sz w:val="23"/>
          <w:szCs w:val="23"/>
        </w:rPr>
        <w:t xml:space="preserve">. člena </w:t>
      </w:r>
      <w:r w:rsidRPr="00591178">
        <w:rPr>
          <w:rFonts w:asciiTheme="minorHAnsi" w:hAnsiTheme="minorHAnsi" w:cs="Times New Roman"/>
          <w:color w:val="000000"/>
          <w:sz w:val="23"/>
          <w:szCs w:val="23"/>
        </w:rPr>
        <w:t>Uredbe o metodologiji za oblikovanje cen storitev obveznih občinskih gospodarskih javnih slu</w:t>
      </w:r>
      <w:r w:rsidR="001D4B51" w:rsidRPr="00591178">
        <w:rPr>
          <w:rFonts w:asciiTheme="minorHAnsi" w:hAnsiTheme="minorHAnsi" w:cs="Times New Roman"/>
          <w:color w:val="000000"/>
          <w:sz w:val="23"/>
          <w:szCs w:val="23"/>
        </w:rPr>
        <w:t>ž</w:t>
      </w:r>
      <w:r w:rsidRPr="00591178">
        <w:rPr>
          <w:rFonts w:asciiTheme="minorHAnsi" w:hAnsiTheme="minorHAnsi" w:cs="Times New Roman"/>
          <w:color w:val="000000"/>
          <w:sz w:val="23"/>
          <w:szCs w:val="23"/>
        </w:rPr>
        <w:t xml:space="preserve">b varstva okolja (Uradni </w:t>
      </w:r>
      <w:r w:rsidR="0093393C" w:rsidRPr="00591178">
        <w:rPr>
          <w:rFonts w:asciiTheme="minorHAnsi" w:hAnsiTheme="minorHAnsi" w:cs="Times New Roman"/>
          <w:color w:val="000000"/>
          <w:sz w:val="23"/>
          <w:szCs w:val="23"/>
        </w:rPr>
        <w:t xml:space="preserve">list RS, št. 87/2012, 109/2012), Uredbe komisije (EU) št. 360/2012 z dne 25. aprila 2012 o uporabi členov 107 in 108 Pogodbe o delovanju Evropske unije pri pomoči de </w:t>
      </w:r>
      <w:proofErr w:type="spellStart"/>
      <w:r w:rsidR="0093393C" w:rsidRPr="00591178">
        <w:rPr>
          <w:rFonts w:asciiTheme="minorHAnsi" w:hAnsiTheme="minorHAnsi" w:cs="Times New Roman"/>
          <w:color w:val="000000"/>
          <w:sz w:val="23"/>
          <w:szCs w:val="23"/>
        </w:rPr>
        <w:t>minimis</w:t>
      </w:r>
      <w:proofErr w:type="spellEnd"/>
      <w:r w:rsidR="0093393C" w:rsidRPr="00591178">
        <w:rPr>
          <w:rFonts w:asciiTheme="minorHAnsi" w:hAnsiTheme="minorHAnsi" w:cs="Times New Roman"/>
          <w:color w:val="000000"/>
          <w:sz w:val="23"/>
          <w:szCs w:val="23"/>
        </w:rPr>
        <w:t xml:space="preserve"> za podjetja, ki opravljajo storitve splošnega gospodarskega pomena (Ur. l. EU L 114) </w:t>
      </w:r>
      <w:r w:rsidRPr="00591178">
        <w:rPr>
          <w:rFonts w:asciiTheme="minorHAnsi" w:hAnsiTheme="minorHAnsi" w:cs="Times New Roman"/>
          <w:color w:val="000000"/>
          <w:sz w:val="23"/>
          <w:szCs w:val="23"/>
        </w:rPr>
        <w:t>ter 1</w:t>
      </w:r>
      <w:r w:rsidR="001679EC" w:rsidRPr="00591178">
        <w:rPr>
          <w:rFonts w:asciiTheme="minorHAnsi" w:hAnsiTheme="minorHAnsi" w:cs="Times New Roman"/>
          <w:color w:val="000000"/>
          <w:sz w:val="23"/>
          <w:szCs w:val="23"/>
        </w:rPr>
        <w:t>4</w:t>
      </w:r>
      <w:r w:rsidRPr="00591178">
        <w:rPr>
          <w:rFonts w:asciiTheme="minorHAnsi" w:hAnsiTheme="minorHAnsi" w:cs="Times New Roman"/>
          <w:color w:val="000000"/>
          <w:sz w:val="23"/>
          <w:szCs w:val="23"/>
        </w:rPr>
        <w:t xml:space="preserve">. člena Statuta Občine </w:t>
      </w:r>
      <w:r w:rsidR="001D4B51" w:rsidRPr="00591178">
        <w:rPr>
          <w:rFonts w:asciiTheme="minorHAnsi" w:hAnsiTheme="minorHAnsi" w:cs="Times New Roman"/>
          <w:color w:val="000000"/>
          <w:sz w:val="23"/>
          <w:szCs w:val="23"/>
        </w:rPr>
        <w:t>Lovrenc na Pohorju</w:t>
      </w:r>
      <w:r w:rsidRPr="00591178">
        <w:rPr>
          <w:rFonts w:asciiTheme="minorHAnsi" w:hAnsiTheme="minorHAnsi" w:cs="Times New Roman"/>
          <w:color w:val="000000"/>
          <w:sz w:val="23"/>
          <w:szCs w:val="23"/>
        </w:rPr>
        <w:t xml:space="preserve"> (</w:t>
      </w:r>
      <w:r w:rsidR="001679EC" w:rsidRPr="00591178">
        <w:rPr>
          <w:rFonts w:asciiTheme="minorHAnsi" w:hAnsiTheme="minorHAnsi" w:cs="Times New Roman"/>
          <w:color w:val="000000"/>
          <w:sz w:val="23"/>
          <w:szCs w:val="23"/>
        </w:rPr>
        <w:t>Uradno glasilo slovenskih občin, št. 13/2011</w:t>
      </w:r>
      <w:r w:rsidR="00FD07A3" w:rsidRPr="00591178">
        <w:rPr>
          <w:rFonts w:asciiTheme="minorHAnsi" w:hAnsiTheme="minorHAnsi" w:cs="Times New Roman"/>
          <w:color w:val="000000"/>
          <w:sz w:val="23"/>
          <w:szCs w:val="23"/>
        </w:rPr>
        <w:t>, 17/2014</w:t>
      </w:r>
      <w:r w:rsidR="001679EC" w:rsidRPr="00591178">
        <w:rPr>
          <w:rFonts w:asciiTheme="minorHAnsi" w:hAnsiTheme="minorHAnsi" w:cs="Times New Roman"/>
          <w:color w:val="000000"/>
          <w:sz w:val="23"/>
          <w:szCs w:val="23"/>
        </w:rPr>
        <w:t>)</w:t>
      </w:r>
      <w:r w:rsidRPr="00591178">
        <w:rPr>
          <w:rFonts w:asciiTheme="minorHAnsi" w:hAnsiTheme="minorHAnsi" w:cs="Times New Roman"/>
          <w:color w:val="000000"/>
          <w:sz w:val="23"/>
          <w:szCs w:val="23"/>
        </w:rPr>
        <w:t xml:space="preserve"> je Občinski svet Občine </w:t>
      </w:r>
      <w:r w:rsidR="001D4B51" w:rsidRPr="00591178">
        <w:rPr>
          <w:rFonts w:asciiTheme="minorHAnsi" w:hAnsiTheme="minorHAnsi" w:cs="Times New Roman"/>
          <w:color w:val="000000"/>
          <w:sz w:val="23"/>
          <w:szCs w:val="23"/>
        </w:rPr>
        <w:t>Lovrenc na Pohorju</w:t>
      </w:r>
      <w:r w:rsidRPr="00591178">
        <w:rPr>
          <w:rFonts w:asciiTheme="minorHAnsi" w:hAnsiTheme="minorHAnsi" w:cs="Times New Roman"/>
          <w:color w:val="000000"/>
          <w:sz w:val="23"/>
          <w:szCs w:val="23"/>
        </w:rPr>
        <w:t xml:space="preserve"> na </w:t>
      </w:r>
      <w:r w:rsidR="008553FC" w:rsidRPr="008553FC">
        <w:rPr>
          <w:rFonts w:asciiTheme="minorHAnsi" w:hAnsiTheme="minorHAnsi" w:cs="Times New Roman"/>
          <w:color w:val="000000"/>
          <w:sz w:val="23"/>
          <w:szCs w:val="23"/>
        </w:rPr>
        <w:t>1</w:t>
      </w:r>
      <w:r w:rsidR="00F001B4" w:rsidRPr="008553FC">
        <w:rPr>
          <w:rFonts w:asciiTheme="minorHAnsi" w:hAnsiTheme="minorHAnsi" w:cs="Times New Roman"/>
          <w:color w:val="000000"/>
          <w:sz w:val="23"/>
          <w:szCs w:val="23"/>
        </w:rPr>
        <w:t xml:space="preserve">. </w:t>
      </w:r>
      <w:r w:rsidR="008553FC" w:rsidRPr="008553FC">
        <w:rPr>
          <w:rFonts w:asciiTheme="minorHAnsi" w:hAnsiTheme="minorHAnsi" w:cs="Times New Roman"/>
          <w:color w:val="000000"/>
          <w:sz w:val="23"/>
          <w:szCs w:val="23"/>
        </w:rPr>
        <w:t>iz</w:t>
      </w:r>
      <w:r w:rsidRPr="008553FC">
        <w:rPr>
          <w:rFonts w:asciiTheme="minorHAnsi" w:hAnsiTheme="minorHAnsi" w:cs="Times New Roman"/>
          <w:color w:val="000000"/>
          <w:sz w:val="23"/>
          <w:szCs w:val="23"/>
        </w:rPr>
        <w:t>redni seji, dne</w:t>
      </w:r>
      <w:r w:rsidR="00591178" w:rsidRPr="008553FC">
        <w:rPr>
          <w:rFonts w:asciiTheme="minorHAnsi" w:hAnsiTheme="minorHAnsi" w:cs="Times New Roman"/>
          <w:color w:val="000000"/>
          <w:sz w:val="23"/>
          <w:szCs w:val="23"/>
        </w:rPr>
        <w:t xml:space="preserve"> </w:t>
      </w:r>
      <w:r w:rsidR="008553FC">
        <w:rPr>
          <w:rFonts w:asciiTheme="minorHAnsi" w:hAnsiTheme="minorHAnsi" w:cs="Times New Roman"/>
          <w:color w:val="000000"/>
          <w:sz w:val="23"/>
          <w:szCs w:val="23"/>
        </w:rPr>
        <w:t>20.12.2018</w:t>
      </w:r>
      <w:r w:rsidRPr="00591178">
        <w:rPr>
          <w:rFonts w:asciiTheme="minorHAnsi" w:hAnsiTheme="minorHAnsi" w:cs="Times New Roman"/>
          <w:color w:val="000000"/>
          <w:sz w:val="23"/>
          <w:szCs w:val="23"/>
        </w:rPr>
        <w:t xml:space="preserve"> sprejel </w:t>
      </w:r>
    </w:p>
    <w:p w14:paraId="669C4BFE" w14:textId="77777777" w:rsidR="00901A8D" w:rsidRPr="00591178" w:rsidRDefault="00901A8D" w:rsidP="00813809">
      <w:pPr>
        <w:autoSpaceDE w:val="0"/>
        <w:autoSpaceDN w:val="0"/>
        <w:adjustRightInd w:val="0"/>
        <w:spacing w:before="120" w:after="120" w:line="240" w:lineRule="auto"/>
        <w:jc w:val="center"/>
        <w:rPr>
          <w:rFonts w:asciiTheme="minorHAnsi" w:hAnsiTheme="minorHAnsi" w:cs="Times New Roman"/>
          <w:b/>
          <w:color w:val="000000"/>
          <w:sz w:val="26"/>
          <w:szCs w:val="26"/>
        </w:rPr>
      </w:pPr>
      <w:r w:rsidRPr="00591178">
        <w:rPr>
          <w:rFonts w:asciiTheme="minorHAnsi" w:hAnsiTheme="minorHAnsi" w:cs="Times New Roman"/>
          <w:b/>
          <w:color w:val="000000"/>
          <w:sz w:val="26"/>
          <w:szCs w:val="26"/>
        </w:rPr>
        <w:t>S K L E P</w:t>
      </w:r>
    </w:p>
    <w:p w14:paraId="151C3AB9" w14:textId="46B4B182" w:rsidR="00A775E7" w:rsidRPr="00591178" w:rsidRDefault="00A775E7" w:rsidP="001679EC">
      <w:pPr>
        <w:autoSpaceDE w:val="0"/>
        <w:autoSpaceDN w:val="0"/>
        <w:adjustRightInd w:val="0"/>
        <w:spacing w:after="0" w:line="240" w:lineRule="auto"/>
        <w:jc w:val="both"/>
        <w:rPr>
          <w:rFonts w:asciiTheme="minorHAnsi" w:hAnsiTheme="minorHAnsi" w:cs="Times New Roman"/>
          <w:b/>
          <w:color w:val="000000"/>
          <w:sz w:val="23"/>
          <w:szCs w:val="23"/>
        </w:rPr>
      </w:pPr>
      <w:r w:rsidRPr="00591178">
        <w:rPr>
          <w:rFonts w:asciiTheme="minorHAnsi" w:hAnsiTheme="minorHAnsi" w:cs="Times New Roman"/>
          <w:b/>
          <w:color w:val="000000"/>
          <w:sz w:val="23"/>
          <w:szCs w:val="23"/>
        </w:rPr>
        <w:t xml:space="preserve">O DOLOČITVI VIŠINE SUBVENCIONIRANJA CENE IZVAJANJA STORITEV OBVEZNE </w:t>
      </w:r>
      <w:r w:rsidR="00591178">
        <w:rPr>
          <w:rFonts w:asciiTheme="minorHAnsi" w:hAnsiTheme="minorHAnsi" w:cs="Times New Roman"/>
          <w:b/>
          <w:color w:val="000000"/>
          <w:sz w:val="23"/>
          <w:szCs w:val="23"/>
        </w:rPr>
        <w:t>LOKALNE GOSPODARSKE JAVNE SLUŽBE OSKRBA S PITNO VODO</w:t>
      </w:r>
      <w:r w:rsidRPr="00591178">
        <w:rPr>
          <w:rFonts w:asciiTheme="minorHAnsi" w:hAnsiTheme="minorHAnsi" w:cs="Times New Roman"/>
          <w:b/>
          <w:color w:val="000000"/>
          <w:sz w:val="23"/>
          <w:szCs w:val="23"/>
        </w:rPr>
        <w:t xml:space="preserve"> TER PRIPADAJOČE OMREŽNINE ZA UPORABO JAVNIH INFRASTRUKTURNIH OBJEKTOV IN NAPRAV V OBČINI LOVRENC NA POHORJU ZA LETO 201</w:t>
      </w:r>
      <w:r w:rsidR="007D06E7">
        <w:rPr>
          <w:rFonts w:asciiTheme="minorHAnsi" w:hAnsiTheme="minorHAnsi" w:cs="Times New Roman"/>
          <w:b/>
          <w:color w:val="000000"/>
          <w:sz w:val="23"/>
          <w:szCs w:val="23"/>
        </w:rPr>
        <w:t>9</w:t>
      </w:r>
    </w:p>
    <w:p w14:paraId="770590D0" w14:textId="77777777" w:rsidR="00901A8D" w:rsidRPr="00591178" w:rsidRDefault="00901A8D" w:rsidP="002F45EF">
      <w:pPr>
        <w:autoSpaceDE w:val="0"/>
        <w:autoSpaceDN w:val="0"/>
        <w:adjustRightInd w:val="0"/>
        <w:spacing w:before="120" w:after="0" w:line="240" w:lineRule="auto"/>
        <w:jc w:val="center"/>
        <w:rPr>
          <w:rFonts w:asciiTheme="minorHAnsi" w:hAnsiTheme="minorHAnsi" w:cs="Times New Roman"/>
          <w:color w:val="000000"/>
          <w:sz w:val="23"/>
          <w:szCs w:val="23"/>
        </w:rPr>
      </w:pPr>
      <w:r w:rsidRPr="00591178">
        <w:rPr>
          <w:rFonts w:asciiTheme="minorHAnsi" w:hAnsiTheme="minorHAnsi" w:cs="Times New Roman"/>
          <w:color w:val="000000"/>
          <w:sz w:val="23"/>
          <w:szCs w:val="23"/>
        </w:rPr>
        <w:t>I.</w:t>
      </w:r>
    </w:p>
    <w:p w14:paraId="2B9171F3" w14:textId="3B687E51" w:rsidR="00CC2E0E" w:rsidRPr="00591178" w:rsidRDefault="00901A8D" w:rsidP="00700C98">
      <w:pPr>
        <w:autoSpaceDE w:val="0"/>
        <w:autoSpaceDN w:val="0"/>
        <w:adjustRightInd w:val="0"/>
        <w:spacing w:after="0" w:line="240" w:lineRule="auto"/>
        <w:jc w:val="both"/>
        <w:rPr>
          <w:rFonts w:asciiTheme="minorHAnsi" w:hAnsiTheme="minorHAnsi" w:cs="Times New Roman"/>
          <w:color w:val="000000"/>
          <w:sz w:val="23"/>
          <w:szCs w:val="23"/>
        </w:rPr>
      </w:pPr>
      <w:r w:rsidRPr="00591178">
        <w:rPr>
          <w:rFonts w:asciiTheme="minorHAnsi" w:hAnsiTheme="minorHAnsi" w:cs="Times New Roman"/>
          <w:color w:val="000000"/>
          <w:sz w:val="23"/>
          <w:szCs w:val="23"/>
        </w:rPr>
        <w:t xml:space="preserve">Občina </w:t>
      </w:r>
      <w:r w:rsidR="001D4B51" w:rsidRPr="00591178">
        <w:rPr>
          <w:rFonts w:asciiTheme="minorHAnsi" w:hAnsiTheme="minorHAnsi" w:cs="Times New Roman"/>
          <w:color w:val="000000"/>
          <w:sz w:val="23"/>
          <w:szCs w:val="23"/>
        </w:rPr>
        <w:t>Lovrenc na Pohorju</w:t>
      </w:r>
      <w:r w:rsidRPr="00591178">
        <w:rPr>
          <w:rFonts w:asciiTheme="minorHAnsi" w:hAnsiTheme="minorHAnsi" w:cs="Times New Roman"/>
          <w:color w:val="000000"/>
          <w:sz w:val="23"/>
          <w:szCs w:val="23"/>
        </w:rPr>
        <w:t xml:space="preserve"> bo storitve </w:t>
      </w:r>
      <w:r w:rsidR="001426BC" w:rsidRPr="00591178">
        <w:rPr>
          <w:rFonts w:asciiTheme="minorHAnsi" w:hAnsiTheme="minorHAnsi" w:cs="Times New Roman"/>
          <w:color w:val="000000"/>
          <w:sz w:val="23"/>
          <w:szCs w:val="23"/>
        </w:rPr>
        <w:t>obvezne lokalne gospodarske javne službe</w:t>
      </w:r>
      <w:r w:rsidR="0017425E" w:rsidRPr="00591178">
        <w:rPr>
          <w:rFonts w:asciiTheme="minorHAnsi" w:hAnsiTheme="minorHAnsi" w:cs="Times New Roman"/>
          <w:color w:val="000000"/>
          <w:sz w:val="23"/>
          <w:szCs w:val="23"/>
        </w:rPr>
        <w:t xml:space="preserve"> </w:t>
      </w:r>
      <w:r w:rsidR="005B19B8" w:rsidRPr="00591178">
        <w:rPr>
          <w:rFonts w:asciiTheme="minorHAnsi" w:hAnsiTheme="minorHAnsi" w:cs="Times New Roman"/>
          <w:color w:val="000000"/>
          <w:sz w:val="23"/>
          <w:szCs w:val="23"/>
        </w:rPr>
        <w:t>O</w:t>
      </w:r>
      <w:r w:rsidR="00591178">
        <w:rPr>
          <w:rFonts w:asciiTheme="minorHAnsi" w:hAnsiTheme="minorHAnsi" w:cs="Times New Roman"/>
          <w:color w:val="000000"/>
          <w:sz w:val="23"/>
          <w:szCs w:val="23"/>
        </w:rPr>
        <w:t>SKRBA S PITNO VODO</w:t>
      </w:r>
      <w:r w:rsidR="005B19B8" w:rsidRPr="00591178">
        <w:rPr>
          <w:rFonts w:asciiTheme="minorHAnsi" w:hAnsiTheme="minorHAnsi" w:cs="Times New Roman"/>
          <w:color w:val="000000"/>
          <w:sz w:val="23"/>
          <w:szCs w:val="23"/>
        </w:rPr>
        <w:t xml:space="preserve"> ter pripadajoče OMREŽNINE za uporabo javnih infrastrukturnih objektov in naprav v Občini Lovrenc na Pohorju </w:t>
      </w:r>
      <w:r w:rsidR="002F2136" w:rsidRPr="00591178">
        <w:rPr>
          <w:rFonts w:asciiTheme="minorHAnsi" w:hAnsiTheme="minorHAnsi" w:cs="Times New Roman"/>
          <w:color w:val="000000"/>
          <w:sz w:val="23"/>
          <w:szCs w:val="23"/>
        </w:rPr>
        <w:t>v letu 201</w:t>
      </w:r>
      <w:r w:rsidR="007D06E7">
        <w:rPr>
          <w:rFonts w:asciiTheme="minorHAnsi" w:hAnsiTheme="minorHAnsi" w:cs="Times New Roman"/>
          <w:color w:val="000000"/>
          <w:sz w:val="23"/>
          <w:szCs w:val="23"/>
        </w:rPr>
        <w:t>9</w:t>
      </w:r>
      <w:r w:rsidR="002F2136" w:rsidRPr="00591178">
        <w:rPr>
          <w:rFonts w:asciiTheme="minorHAnsi" w:hAnsiTheme="minorHAnsi" w:cs="Times New Roman"/>
          <w:color w:val="000000"/>
          <w:sz w:val="23"/>
          <w:szCs w:val="23"/>
        </w:rPr>
        <w:t xml:space="preserve">, </w:t>
      </w:r>
      <w:r w:rsidRPr="00591178">
        <w:rPr>
          <w:rFonts w:asciiTheme="minorHAnsi" w:hAnsiTheme="minorHAnsi" w:cs="Times New Roman"/>
          <w:color w:val="000000"/>
          <w:sz w:val="23"/>
          <w:szCs w:val="23"/>
        </w:rPr>
        <w:t xml:space="preserve">subvencionirala </w:t>
      </w:r>
      <w:r w:rsidR="00CC2E0E" w:rsidRPr="00591178">
        <w:rPr>
          <w:rFonts w:asciiTheme="minorHAnsi" w:hAnsiTheme="minorHAnsi" w:cs="Times New Roman"/>
          <w:color w:val="000000"/>
          <w:sz w:val="23"/>
          <w:szCs w:val="23"/>
        </w:rPr>
        <w:t>v nasledn</w:t>
      </w:r>
      <w:r w:rsidR="00D6017E" w:rsidRPr="00591178">
        <w:rPr>
          <w:rFonts w:asciiTheme="minorHAnsi" w:hAnsiTheme="minorHAnsi" w:cs="Times New Roman"/>
          <w:color w:val="000000"/>
          <w:sz w:val="23"/>
          <w:szCs w:val="23"/>
        </w:rPr>
        <w:t>j</w:t>
      </w:r>
      <w:r w:rsidR="00CC2E0E" w:rsidRPr="00591178">
        <w:rPr>
          <w:rFonts w:asciiTheme="minorHAnsi" w:hAnsiTheme="minorHAnsi" w:cs="Times New Roman"/>
          <w:color w:val="000000"/>
          <w:sz w:val="23"/>
          <w:szCs w:val="23"/>
        </w:rPr>
        <w:t>i višini:</w:t>
      </w:r>
    </w:p>
    <w:p w14:paraId="05CD50D2" w14:textId="4BBE4441" w:rsidR="006A3BC2" w:rsidRPr="007D06E7" w:rsidRDefault="00C64803" w:rsidP="007D06E7">
      <w:pPr>
        <w:pStyle w:val="Odstavekseznama"/>
        <w:numPr>
          <w:ilvl w:val="0"/>
          <w:numId w:val="2"/>
        </w:numPr>
        <w:autoSpaceDE w:val="0"/>
        <w:autoSpaceDN w:val="0"/>
        <w:adjustRightInd w:val="0"/>
        <w:spacing w:before="120" w:after="0" w:line="240" w:lineRule="auto"/>
        <w:jc w:val="both"/>
        <w:rPr>
          <w:rFonts w:asciiTheme="minorHAnsi" w:hAnsiTheme="minorHAnsi" w:cs="Times New Roman"/>
          <w:b/>
          <w:color w:val="000000" w:themeColor="text1"/>
          <w:sz w:val="23"/>
          <w:szCs w:val="23"/>
        </w:rPr>
      </w:pPr>
      <w:r w:rsidRPr="007D06E7">
        <w:rPr>
          <w:rFonts w:asciiTheme="minorHAnsi" w:hAnsiTheme="minorHAnsi" w:cs="Times New Roman"/>
          <w:b/>
          <w:color w:val="000000" w:themeColor="text1"/>
          <w:sz w:val="23"/>
          <w:szCs w:val="23"/>
        </w:rPr>
        <w:t>Subvencioniranje c</w:t>
      </w:r>
      <w:r w:rsidR="006A3BC2" w:rsidRPr="007D06E7">
        <w:rPr>
          <w:rFonts w:asciiTheme="minorHAnsi" w:hAnsiTheme="minorHAnsi" w:cs="Times New Roman"/>
          <w:b/>
          <w:color w:val="000000" w:themeColor="text1"/>
          <w:sz w:val="23"/>
          <w:szCs w:val="23"/>
        </w:rPr>
        <w:t>en</w:t>
      </w:r>
      <w:r w:rsidRPr="007D06E7">
        <w:rPr>
          <w:rFonts w:asciiTheme="minorHAnsi" w:hAnsiTheme="minorHAnsi" w:cs="Times New Roman"/>
          <w:b/>
          <w:color w:val="000000" w:themeColor="text1"/>
          <w:sz w:val="23"/>
          <w:szCs w:val="23"/>
        </w:rPr>
        <w:t>e</w:t>
      </w:r>
      <w:r w:rsidR="006A3BC2" w:rsidRPr="007D06E7">
        <w:rPr>
          <w:rFonts w:asciiTheme="minorHAnsi" w:hAnsiTheme="minorHAnsi" w:cs="Times New Roman"/>
          <w:b/>
          <w:color w:val="000000" w:themeColor="text1"/>
          <w:sz w:val="23"/>
          <w:szCs w:val="23"/>
        </w:rPr>
        <w:t xml:space="preserve"> izvajanja storitev </w:t>
      </w:r>
      <w:r w:rsidR="00591178" w:rsidRPr="007D06E7">
        <w:rPr>
          <w:rFonts w:asciiTheme="minorHAnsi" w:hAnsiTheme="minorHAnsi" w:cs="Times New Roman"/>
          <w:b/>
          <w:color w:val="000000" w:themeColor="text1"/>
          <w:sz w:val="23"/>
          <w:szCs w:val="23"/>
        </w:rPr>
        <w:t>–</w:t>
      </w:r>
      <w:r w:rsidR="006A3BC2" w:rsidRPr="007D06E7">
        <w:rPr>
          <w:rFonts w:asciiTheme="minorHAnsi" w:hAnsiTheme="minorHAnsi" w:cs="Times New Roman"/>
          <w:b/>
          <w:color w:val="000000" w:themeColor="text1"/>
          <w:sz w:val="23"/>
          <w:szCs w:val="23"/>
        </w:rPr>
        <w:t xml:space="preserve"> o</w:t>
      </w:r>
      <w:r w:rsidR="00591178" w:rsidRPr="007D06E7">
        <w:rPr>
          <w:rFonts w:asciiTheme="minorHAnsi" w:hAnsiTheme="minorHAnsi" w:cs="Times New Roman"/>
          <w:b/>
          <w:color w:val="000000" w:themeColor="text1"/>
          <w:sz w:val="23"/>
          <w:szCs w:val="23"/>
        </w:rPr>
        <w:t>skrba s pitno vodo</w:t>
      </w:r>
    </w:p>
    <w:p w14:paraId="50AE59F7" w14:textId="77777777" w:rsidR="007D06E7" w:rsidRPr="007D06E7" w:rsidRDefault="007D06E7" w:rsidP="007D06E7">
      <w:pPr>
        <w:autoSpaceDE w:val="0"/>
        <w:autoSpaceDN w:val="0"/>
        <w:adjustRightInd w:val="0"/>
        <w:spacing w:before="120" w:after="0" w:line="240" w:lineRule="auto"/>
        <w:jc w:val="both"/>
        <w:rPr>
          <w:rFonts w:asciiTheme="minorHAnsi" w:eastAsia="Times New Roman" w:hAnsiTheme="minorHAnsi" w:cs="Calibri"/>
          <w:b/>
          <w:color w:val="000000" w:themeColor="text1"/>
          <w:sz w:val="22"/>
          <w:szCs w:val="22"/>
        </w:rPr>
      </w:pPr>
    </w:p>
    <w:tbl>
      <w:tblPr>
        <w:tblW w:w="10005" w:type="dxa"/>
        <w:tblInd w:w="55" w:type="dxa"/>
        <w:tblCellMar>
          <w:left w:w="70" w:type="dxa"/>
          <w:right w:w="70" w:type="dxa"/>
        </w:tblCellMar>
        <w:tblLook w:val="04A0" w:firstRow="1" w:lastRow="0" w:firstColumn="1" w:lastColumn="0" w:noHBand="0" w:noVBand="1"/>
      </w:tblPr>
      <w:tblGrid>
        <w:gridCol w:w="2067"/>
        <w:gridCol w:w="1134"/>
        <w:gridCol w:w="1984"/>
        <w:gridCol w:w="1843"/>
        <w:gridCol w:w="1276"/>
        <w:gridCol w:w="1701"/>
      </w:tblGrid>
      <w:tr w:rsidR="007D06E7" w:rsidRPr="00591178" w14:paraId="6DACBFF4" w14:textId="77777777" w:rsidTr="006C63CC">
        <w:trPr>
          <w:trHeight w:val="945"/>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EBE95" w14:textId="77777777" w:rsidR="007D06E7" w:rsidRPr="00591178" w:rsidRDefault="007D06E7" w:rsidP="006C63CC">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Subvencija cene                                            izvajanje storitev                                o</w:t>
            </w:r>
            <w:r>
              <w:rPr>
                <w:rFonts w:asciiTheme="minorHAnsi" w:eastAsia="Times New Roman" w:hAnsiTheme="minorHAnsi" w:cs="Calibri"/>
                <w:bCs/>
                <w:color w:val="000000" w:themeColor="text1"/>
                <w:sz w:val="22"/>
                <w:szCs w:val="22"/>
              </w:rPr>
              <w:t>skrba s pitno vodo</w:t>
            </w:r>
          </w:p>
        </w:tc>
        <w:tc>
          <w:tcPr>
            <w:tcW w:w="1134" w:type="dxa"/>
            <w:tcBorders>
              <w:top w:val="single" w:sz="4" w:space="0" w:color="auto"/>
              <w:left w:val="nil"/>
              <w:bottom w:val="single" w:sz="18" w:space="0" w:color="auto"/>
              <w:right w:val="single" w:sz="4" w:space="0" w:color="auto"/>
            </w:tcBorders>
            <w:shd w:val="clear" w:color="auto" w:fill="auto"/>
            <w:vAlign w:val="center"/>
            <w:hideMark/>
          </w:tcPr>
          <w:p w14:paraId="5FF23949" w14:textId="77777777" w:rsidR="007D06E7" w:rsidRPr="00591178" w:rsidRDefault="007D06E7" w:rsidP="006C63CC">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w:t>
            </w:r>
          </w:p>
        </w:tc>
        <w:tc>
          <w:tcPr>
            <w:tcW w:w="1984" w:type="dxa"/>
            <w:tcBorders>
              <w:top w:val="single" w:sz="4" w:space="0" w:color="auto"/>
              <w:left w:val="nil"/>
              <w:bottom w:val="single" w:sz="18" w:space="0" w:color="auto"/>
              <w:right w:val="single" w:sz="4" w:space="0" w:color="auto"/>
            </w:tcBorders>
            <w:shd w:val="clear" w:color="auto" w:fill="auto"/>
            <w:vAlign w:val="center"/>
            <w:hideMark/>
          </w:tcPr>
          <w:p w14:paraId="6A8C9995" w14:textId="77777777" w:rsidR="007D06E7" w:rsidRPr="00591178" w:rsidRDefault="007D06E7" w:rsidP="006C63CC">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Znesek subvencije v EUR brez DDV/m3</w:t>
            </w:r>
          </w:p>
        </w:tc>
        <w:tc>
          <w:tcPr>
            <w:tcW w:w="1843" w:type="dxa"/>
            <w:tcBorders>
              <w:top w:val="single" w:sz="4" w:space="0" w:color="auto"/>
              <w:left w:val="nil"/>
              <w:bottom w:val="single" w:sz="18" w:space="0" w:color="auto"/>
              <w:right w:val="single" w:sz="4" w:space="0" w:color="auto"/>
            </w:tcBorders>
            <w:shd w:val="clear" w:color="auto" w:fill="auto"/>
            <w:vAlign w:val="center"/>
            <w:hideMark/>
          </w:tcPr>
          <w:p w14:paraId="2EECD0D5" w14:textId="77777777" w:rsidR="007D06E7" w:rsidRPr="00591178" w:rsidRDefault="007D06E7" w:rsidP="006C63CC">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Znesek subvencije v EUR z DDV/m3</w:t>
            </w:r>
          </w:p>
        </w:tc>
        <w:tc>
          <w:tcPr>
            <w:tcW w:w="1276" w:type="dxa"/>
            <w:tcBorders>
              <w:top w:val="single" w:sz="4" w:space="0" w:color="auto"/>
              <w:left w:val="nil"/>
              <w:bottom w:val="single" w:sz="18" w:space="0" w:color="auto"/>
              <w:right w:val="single" w:sz="4" w:space="0" w:color="auto"/>
            </w:tcBorders>
          </w:tcPr>
          <w:p w14:paraId="4E143DD7" w14:textId="77777777" w:rsidR="007D06E7" w:rsidRPr="00591178" w:rsidRDefault="007D06E7" w:rsidP="006C63CC">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Predvidena količina storitve v m</w:t>
            </w:r>
            <w:r w:rsidRPr="00591178">
              <w:rPr>
                <w:rFonts w:asciiTheme="minorHAnsi" w:eastAsia="Times New Roman" w:hAnsiTheme="minorHAnsi" w:cs="Calibri"/>
                <w:bCs/>
                <w:color w:val="000000" w:themeColor="text1"/>
                <w:sz w:val="22"/>
                <w:szCs w:val="22"/>
                <w:vertAlign w:val="superscript"/>
              </w:rPr>
              <w:t>3</w:t>
            </w:r>
          </w:p>
        </w:tc>
        <w:tc>
          <w:tcPr>
            <w:tcW w:w="1701" w:type="dxa"/>
            <w:tcBorders>
              <w:top w:val="single" w:sz="4" w:space="0" w:color="auto"/>
              <w:left w:val="nil"/>
              <w:bottom w:val="single" w:sz="18" w:space="0" w:color="auto"/>
              <w:right w:val="single" w:sz="4" w:space="0" w:color="auto"/>
            </w:tcBorders>
          </w:tcPr>
          <w:p w14:paraId="79953F5D" w14:textId="2E6D453A" w:rsidR="007D06E7" w:rsidRPr="00591178" w:rsidRDefault="007D06E7" w:rsidP="000F2E65">
            <w:pPr>
              <w:spacing w:after="0" w:line="240" w:lineRule="auto"/>
              <w:jc w:val="center"/>
              <w:rPr>
                <w:rFonts w:asciiTheme="minorHAnsi" w:eastAsia="Times New Roman" w:hAnsiTheme="minorHAnsi" w:cs="Calibri"/>
                <w:bCs/>
                <w:color w:val="000000" w:themeColor="text1"/>
                <w:sz w:val="22"/>
                <w:szCs w:val="22"/>
              </w:rPr>
            </w:pPr>
            <w:r w:rsidRPr="00591178">
              <w:rPr>
                <w:rFonts w:asciiTheme="minorHAnsi" w:eastAsia="Times New Roman" w:hAnsiTheme="minorHAnsi" w:cs="Calibri"/>
                <w:bCs/>
                <w:color w:val="000000" w:themeColor="text1"/>
                <w:sz w:val="22"/>
                <w:szCs w:val="22"/>
              </w:rPr>
              <w:t>Subvencija cene storitve v EUR</w:t>
            </w:r>
            <w:r w:rsidR="000F2E65">
              <w:rPr>
                <w:rFonts w:asciiTheme="minorHAnsi" w:eastAsia="Times New Roman" w:hAnsiTheme="minorHAnsi" w:cs="Calibri"/>
                <w:bCs/>
                <w:color w:val="000000" w:themeColor="text1"/>
                <w:sz w:val="22"/>
                <w:szCs w:val="22"/>
              </w:rPr>
              <w:t xml:space="preserve"> z DDV za leto 2019</w:t>
            </w:r>
          </w:p>
        </w:tc>
      </w:tr>
      <w:tr w:rsidR="007D06E7" w:rsidRPr="00591178" w14:paraId="7BA6FFC0" w14:textId="77777777" w:rsidTr="006C63CC">
        <w:trPr>
          <w:trHeight w:val="300"/>
        </w:trPr>
        <w:tc>
          <w:tcPr>
            <w:tcW w:w="2067"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74CE682"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 </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C33CE3B" w14:textId="77777777" w:rsidR="007D06E7" w:rsidRPr="00591178" w:rsidRDefault="007D06E7" w:rsidP="006C63CC">
            <w:pPr>
              <w:spacing w:after="0" w:line="240" w:lineRule="auto"/>
              <w:jc w:val="right"/>
              <w:rPr>
                <w:rFonts w:asciiTheme="minorHAnsi" w:eastAsia="Times New Roman" w:hAnsiTheme="minorHAnsi" w:cs="Calibri"/>
                <w:b/>
                <w:color w:val="000000" w:themeColor="text1"/>
                <w:sz w:val="22"/>
                <w:szCs w:val="22"/>
              </w:rPr>
            </w:pPr>
            <w:r>
              <w:rPr>
                <w:rFonts w:asciiTheme="minorHAnsi" w:eastAsia="Times New Roman" w:hAnsiTheme="minorHAnsi" w:cs="Calibri"/>
                <w:b/>
                <w:color w:val="000000" w:themeColor="text1"/>
                <w:sz w:val="22"/>
                <w:szCs w:val="22"/>
              </w:rPr>
              <w:t>40</w:t>
            </w:r>
            <w:r w:rsidRPr="00591178">
              <w:rPr>
                <w:rFonts w:asciiTheme="minorHAnsi" w:eastAsia="Times New Roman" w:hAnsiTheme="minorHAnsi" w:cs="Calibri"/>
                <w:b/>
                <w:color w:val="000000" w:themeColor="text1"/>
                <w:sz w:val="22"/>
                <w:szCs w:val="22"/>
              </w:rPr>
              <w:t>,</w:t>
            </w:r>
            <w:r>
              <w:rPr>
                <w:rFonts w:asciiTheme="minorHAnsi" w:eastAsia="Times New Roman" w:hAnsiTheme="minorHAnsi" w:cs="Calibri"/>
                <w:b/>
                <w:color w:val="000000" w:themeColor="text1"/>
                <w:sz w:val="22"/>
                <w:szCs w:val="22"/>
              </w:rPr>
              <w:t>00</w:t>
            </w:r>
          </w:p>
        </w:tc>
        <w:tc>
          <w:tcPr>
            <w:tcW w:w="1984"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A7BB8CC" w14:textId="77777777" w:rsidR="007D06E7" w:rsidRPr="00591178" w:rsidRDefault="007D06E7" w:rsidP="006C63CC">
            <w:pPr>
              <w:spacing w:after="0" w:line="240" w:lineRule="auto"/>
              <w:jc w:val="right"/>
              <w:rPr>
                <w:rFonts w:asciiTheme="minorHAnsi" w:eastAsia="Times New Roman" w:hAnsiTheme="minorHAnsi" w:cs="Calibri"/>
                <w:b/>
                <w:color w:val="000000" w:themeColor="text1"/>
                <w:sz w:val="22"/>
                <w:szCs w:val="22"/>
              </w:rPr>
            </w:pPr>
            <w:r>
              <w:rPr>
                <w:rFonts w:ascii="Calibri" w:hAnsi="Calibri"/>
                <w:b/>
                <w:bCs/>
                <w:color w:val="000000"/>
                <w:sz w:val="22"/>
                <w:szCs w:val="22"/>
              </w:rPr>
              <w:t>0,2563</w:t>
            </w:r>
          </w:p>
        </w:tc>
        <w:tc>
          <w:tcPr>
            <w:tcW w:w="184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276D649E" w14:textId="77777777" w:rsidR="007D06E7" w:rsidRPr="00591178" w:rsidRDefault="007D06E7" w:rsidP="006C63CC">
            <w:pPr>
              <w:spacing w:after="0" w:line="240" w:lineRule="auto"/>
              <w:jc w:val="right"/>
              <w:rPr>
                <w:rFonts w:asciiTheme="minorHAnsi" w:eastAsia="Times New Roman" w:hAnsiTheme="minorHAnsi" w:cs="Calibri"/>
                <w:b/>
                <w:color w:val="000000" w:themeColor="text1"/>
                <w:sz w:val="22"/>
                <w:szCs w:val="22"/>
              </w:rPr>
            </w:pPr>
            <w:r>
              <w:rPr>
                <w:rFonts w:ascii="Calibri" w:hAnsi="Calibri"/>
                <w:b/>
                <w:bCs/>
                <w:color w:val="000000"/>
                <w:sz w:val="22"/>
                <w:szCs w:val="22"/>
              </w:rPr>
              <w:t>0,2807</w:t>
            </w:r>
          </w:p>
        </w:tc>
        <w:tc>
          <w:tcPr>
            <w:tcW w:w="1276" w:type="dxa"/>
            <w:tcBorders>
              <w:top w:val="single" w:sz="18" w:space="0" w:color="auto"/>
              <w:left w:val="single" w:sz="18" w:space="0" w:color="auto"/>
              <w:bottom w:val="single" w:sz="18" w:space="0" w:color="auto"/>
              <w:right w:val="single" w:sz="18" w:space="0" w:color="auto"/>
            </w:tcBorders>
            <w:vAlign w:val="center"/>
          </w:tcPr>
          <w:p w14:paraId="2AB9DA91" w14:textId="060BA571" w:rsidR="007D06E7" w:rsidRPr="00591178" w:rsidRDefault="003063F5" w:rsidP="006C63CC">
            <w:pPr>
              <w:spacing w:after="0" w:line="240" w:lineRule="auto"/>
              <w:jc w:val="right"/>
              <w:rPr>
                <w:rFonts w:asciiTheme="minorHAnsi" w:eastAsia="Times New Roman" w:hAnsiTheme="minorHAnsi" w:cs="Calibri"/>
                <w:b/>
                <w:color w:val="000000" w:themeColor="text1"/>
                <w:sz w:val="22"/>
                <w:szCs w:val="22"/>
              </w:rPr>
            </w:pPr>
            <w:r>
              <w:rPr>
                <w:rFonts w:ascii="Calibri" w:hAnsi="Calibri"/>
                <w:b/>
                <w:bCs/>
                <w:color w:val="000000"/>
                <w:sz w:val="22"/>
                <w:szCs w:val="22"/>
              </w:rPr>
              <w:t>97.0</w:t>
            </w:r>
            <w:r w:rsidR="007D06E7">
              <w:rPr>
                <w:rFonts w:ascii="Calibri" w:hAnsi="Calibri"/>
                <w:b/>
                <w:bCs/>
                <w:color w:val="000000"/>
                <w:sz w:val="22"/>
                <w:szCs w:val="22"/>
              </w:rPr>
              <w:t>00,00</w:t>
            </w:r>
          </w:p>
        </w:tc>
        <w:tc>
          <w:tcPr>
            <w:tcW w:w="1701" w:type="dxa"/>
            <w:tcBorders>
              <w:top w:val="single" w:sz="18" w:space="0" w:color="auto"/>
              <w:left w:val="single" w:sz="18" w:space="0" w:color="auto"/>
              <w:bottom w:val="single" w:sz="18" w:space="0" w:color="auto"/>
              <w:right w:val="single" w:sz="18" w:space="0" w:color="auto"/>
            </w:tcBorders>
            <w:vAlign w:val="center"/>
          </w:tcPr>
          <w:p w14:paraId="3702A5FF" w14:textId="4FDA9D36" w:rsidR="007D06E7" w:rsidRPr="00591178" w:rsidRDefault="003063F5" w:rsidP="006C63CC">
            <w:pPr>
              <w:spacing w:after="0" w:line="240" w:lineRule="auto"/>
              <w:jc w:val="right"/>
              <w:rPr>
                <w:rFonts w:asciiTheme="minorHAnsi" w:eastAsia="Times New Roman" w:hAnsiTheme="minorHAnsi" w:cs="Calibri"/>
                <w:b/>
                <w:color w:val="000000" w:themeColor="text1"/>
                <w:sz w:val="22"/>
                <w:szCs w:val="22"/>
              </w:rPr>
            </w:pPr>
            <w:r>
              <w:rPr>
                <w:rFonts w:ascii="Calibri" w:hAnsi="Calibri"/>
                <w:b/>
                <w:bCs/>
                <w:color w:val="000000"/>
                <w:sz w:val="22"/>
                <w:szCs w:val="22"/>
              </w:rPr>
              <w:t>27.227,90</w:t>
            </w:r>
          </w:p>
        </w:tc>
      </w:tr>
    </w:tbl>
    <w:p w14:paraId="30A23E17" w14:textId="77777777" w:rsidR="00CF1F93" w:rsidRPr="00591178" w:rsidRDefault="00CF1F93" w:rsidP="006A3BC2">
      <w:pPr>
        <w:autoSpaceDE w:val="0"/>
        <w:autoSpaceDN w:val="0"/>
        <w:adjustRightInd w:val="0"/>
        <w:spacing w:before="120" w:after="0" w:line="240" w:lineRule="auto"/>
        <w:jc w:val="both"/>
        <w:rPr>
          <w:rFonts w:asciiTheme="minorHAnsi" w:hAnsiTheme="minorHAnsi" w:cs="Times New Roman"/>
          <w:b/>
          <w:color w:val="000000" w:themeColor="text1"/>
          <w:sz w:val="23"/>
          <w:szCs w:val="23"/>
        </w:rPr>
      </w:pPr>
    </w:p>
    <w:p w14:paraId="4D028F9F" w14:textId="77777777" w:rsidR="00CF1F93" w:rsidRPr="00591178" w:rsidRDefault="00CF1F93" w:rsidP="006A3BC2">
      <w:pPr>
        <w:autoSpaceDE w:val="0"/>
        <w:autoSpaceDN w:val="0"/>
        <w:adjustRightInd w:val="0"/>
        <w:spacing w:before="120" w:after="0" w:line="240" w:lineRule="auto"/>
        <w:jc w:val="both"/>
        <w:rPr>
          <w:rFonts w:asciiTheme="minorHAnsi" w:hAnsiTheme="minorHAnsi" w:cs="Times New Roman"/>
          <w:b/>
          <w:color w:val="000000" w:themeColor="text1"/>
          <w:sz w:val="23"/>
          <w:szCs w:val="23"/>
        </w:rPr>
      </w:pPr>
    </w:p>
    <w:p w14:paraId="764C95BC" w14:textId="3305EF6C" w:rsidR="006A3BC2" w:rsidRPr="00591178" w:rsidRDefault="006A3BC2" w:rsidP="006A3BC2">
      <w:pPr>
        <w:autoSpaceDE w:val="0"/>
        <w:autoSpaceDN w:val="0"/>
        <w:adjustRightInd w:val="0"/>
        <w:spacing w:before="120" w:after="0" w:line="240" w:lineRule="auto"/>
        <w:jc w:val="both"/>
        <w:rPr>
          <w:rFonts w:asciiTheme="minorHAnsi" w:hAnsiTheme="minorHAnsi" w:cs="Times New Roman"/>
          <w:b/>
          <w:color w:val="000000" w:themeColor="text1"/>
          <w:sz w:val="23"/>
          <w:szCs w:val="23"/>
        </w:rPr>
      </w:pPr>
      <w:r w:rsidRPr="00591178">
        <w:rPr>
          <w:rFonts w:asciiTheme="minorHAnsi" w:hAnsiTheme="minorHAnsi" w:cs="Times New Roman"/>
          <w:b/>
          <w:color w:val="000000" w:themeColor="text1"/>
          <w:sz w:val="23"/>
          <w:szCs w:val="23"/>
        </w:rPr>
        <w:t xml:space="preserve">b) </w:t>
      </w:r>
      <w:r w:rsidR="00C64803" w:rsidRPr="00591178">
        <w:rPr>
          <w:rFonts w:asciiTheme="minorHAnsi" w:hAnsiTheme="minorHAnsi" w:cs="Times New Roman"/>
          <w:b/>
          <w:color w:val="000000" w:themeColor="text1"/>
          <w:sz w:val="23"/>
          <w:szCs w:val="23"/>
        </w:rPr>
        <w:t>Subvencioniranje c</w:t>
      </w:r>
      <w:r w:rsidRPr="00591178">
        <w:rPr>
          <w:rFonts w:asciiTheme="minorHAnsi" w:hAnsiTheme="minorHAnsi" w:cs="Times New Roman"/>
          <w:b/>
          <w:color w:val="000000" w:themeColor="text1"/>
          <w:sz w:val="23"/>
          <w:szCs w:val="23"/>
        </w:rPr>
        <w:t>en</w:t>
      </w:r>
      <w:r w:rsidR="00C64803" w:rsidRPr="00591178">
        <w:rPr>
          <w:rFonts w:asciiTheme="minorHAnsi" w:hAnsiTheme="minorHAnsi" w:cs="Times New Roman"/>
          <w:b/>
          <w:color w:val="000000" w:themeColor="text1"/>
          <w:sz w:val="23"/>
          <w:szCs w:val="23"/>
        </w:rPr>
        <w:t>e</w:t>
      </w:r>
      <w:r w:rsidRPr="00591178">
        <w:rPr>
          <w:rFonts w:asciiTheme="minorHAnsi" w:hAnsiTheme="minorHAnsi" w:cs="Times New Roman"/>
          <w:b/>
          <w:color w:val="000000" w:themeColor="text1"/>
          <w:sz w:val="23"/>
          <w:szCs w:val="23"/>
        </w:rPr>
        <w:t xml:space="preserve"> omrežnine – </w:t>
      </w:r>
      <w:r w:rsidR="004277BF">
        <w:rPr>
          <w:rFonts w:asciiTheme="minorHAnsi" w:hAnsiTheme="minorHAnsi" w:cs="Times New Roman"/>
          <w:b/>
          <w:color w:val="000000" w:themeColor="text1"/>
          <w:sz w:val="23"/>
          <w:szCs w:val="23"/>
        </w:rPr>
        <w:t>oskrba s pitno vodo</w:t>
      </w:r>
    </w:p>
    <w:p w14:paraId="7319385E" w14:textId="77777777" w:rsidR="002C2440" w:rsidRPr="00591178" w:rsidRDefault="002C2440" w:rsidP="006A3BC2">
      <w:pPr>
        <w:autoSpaceDE w:val="0"/>
        <w:autoSpaceDN w:val="0"/>
        <w:adjustRightInd w:val="0"/>
        <w:spacing w:before="120" w:after="0" w:line="240" w:lineRule="auto"/>
        <w:jc w:val="both"/>
        <w:rPr>
          <w:rFonts w:asciiTheme="minorHAnsi" w:hAnsiTheme="minorHAnsi" w:cs="Times New Roman"/>
          <w:b/>
          <w:color w:val="000000" w:themeColor="text1"/>
          <w:sz w:val="23"/>
          <w:szCs w:val="23"/>
        </w:rPr>
      </w:pPr>
    </w:p>
    <w:tbl>
      <w:tblPr>
        <w:tblW w:w="9936" w:type="dxa"/>
        <w:tblInd w:w="55"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2709"/>
        <w:gridCol w:w="1275"/>
        <w:gridCol w:w="851"/>
        <w:gridCol w:w="1276"/>
        <w:gridCol w:w="1275"/>
        <w:gridCol w:w="1275"/>
        <w:gridCol w:w="1275"/>
      </w:tblGrid>
      <w:tr w:rsidR="007D06E7" w:rsidRPr="00591178" w14:paraId="054C3B35" w14:textId="77777777" w:rsidTr="006C63CC">
        <w:trPr>
          <w:trHeight w:val="690"/>
        </w:trPr>
        <w:tc>
          <w:tcPr>
            <w:tcW w:w="3984" w:type="dxa"/>
            <w:gridSpan w:val="2"/>
            <w:tcBorders>
              <w:bottom w:val="single" w:sz="2" w:space="0" w:color="auto"/>
              <w:right w:val="single" w:sz="2" w:space="0" w:color="auto"/>
            </w:tcBorders>
            <w:shd w:val="clear" w:color="auto" w:fill="auto"/>
            <w:vAlign w:val="bottom"/>
            <w:hideMark/>
          </w:tcPr>
          <w:p w14:paraId="5E797268"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bookmarkStart w:id="1" w:name="OLE_LINK1"/>
            <w:r w:rsidRPr="00591178">
              <w:rPr>
                <w:rFonts w:asciiTheme="minorHAnsi" w:eastAsia="Times New Roman" w:hAnsiTheme="minorHAnsi" w:cs="Calibri"/>
                <w:b/>
                <w:bCs/>
                <w:color w:val="000000" w:themeColor="text1"/>
                <w:sz w:val="22"/>
                <w:szCs w:val="22"/>
              </w:rPr>
              <w:t xml:space="preserve">Omrežnina </w:t>
            </w:r>
            <w:r>
              <w:rPr>
                <w:rFonts w:asciiTheme="minorHAnsi" w:eastAsia="Times New Roman" w:hAnsiTheme="minorHAnsi" w:cs="Calibri"/>
                <w:b/>
                <w:bCs/>
                <w:color w:val="000000" w:themeColor="text1"/>
                <w:sz w:val="22"/>
                <w:szCs w:val="22"/>
              </w:rPr>
              <w:t>–</w:t>
            </w:r>
            <w:r w:rsidRPr="00591178">
              <w:rPr>
                <w:rFonts w:asciiTheme="minorHAnsi" w:eastAsia="Times New Roman" w:hAnsiTheme="minorHAnsi" w:cs="Calibri"/>
                <w:b/>
                <w:bCs/>
                <w:color w:val="000000" w:themeColor="text1"/>
                <w:sz w:val="22"/>
                <w:szCs w:val="22"/>
              </w:rPr>
              <w:t xml:space="preserve"> o</w:t>
            </w:r>
            <w:r>
              <w:rPr>
                <w:rFonts w:asciiTheme="minorHAnsi" w:eastAsia="Times New Roman" w:hAnsiTheme="minorHAnsi" w:cs="Calibri"/>
                <w:b/>
                <w:bCs/>
                <w:color w:val="000000" w:themeColor="text1"/>
                <w:sz w:val="22"/>
                <w:szCs w:val="22"/>
              </w:rPr>
              <w:t>skrba s pitno vodo</w:t>
            </w:r>
          </w:p>
        </w:tc>
        <w:tc>
          <w:tcPr>
            <w:tcW w:w="851" w:type="dxa"/>
            <w:vMerge w:val="restart"/>
            <w:tcBorders>
              <w:top w:val="double" w:sz="6" w:space="0" w:color="auto"/>
              <w:left w:val="single" w:sz="2" w:space="0" w:color="auto"/>
              <w:bottom w:val="single" w:sz="2" w:space="0" w:color="auto"/>
              <w:right w:val="single" w:sz="2" w:space="0" w:color="auto"/>
            </w:tcBorders>
            <w:shd w:val="clear" w:color="auto" w:fill="auto"/>
            <w:noWrap/>
            <w:vAlign w:val="center"/>
            <w:hideMark/>
          </w:tcPr>
          <w:p w14:paraId="7426DD10"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r w:rsidRPr="00591178">
              <w:rPr>
                <w:rFonts w:asciiTheme="minorHAnsi" w:eastAsia="Times New Roman" w:hAnsiTheme="minorHAnsi" w:cs="Calibri"/>
                <w:b/>
                <w:bCs/>
                <w:color w:val="000000" w:themeColor="text1"/>
                <w:sz w:val="22"/>
                <w:szCs w:val="22"/>
              </w:rPr>
              <w:t>%</w:t>
            </w:r>
          </w:p>
        </w:tc>
        <w:tc>
          <w:tcPr>
            <w:tcW w:w="1276" w:type="dxa"/>
            <w:vMerge w:val="restart"/>
            <w:tcBorders>
              <w:top w:val="double" w:sz="6" w:space="0" w:color="auto"/>
              <w:left w:val="single" w:sz="2" w:space="0" w:color="auto"/>
              <w:bottom w:val="single" w:sz="2" w:space="0" w:color="auto"/>
              <w:right w:val="single" w:sz="2" w:space="0" w:color="auto"/>
            </w:tcBorders>
            <w:shd w:val="clear" w:color="auto" w:fill="auto"/>
            <w:vAlign w:val="center"/>
            <w:hideMark/>
          </w:tcPr>
          <w:p w14:paraId="11FBB47D"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r w:rsidRPr="00591178">
              <w:rPr>
                <w:rFonts w:asciiTheme="minorHAnsi" w:eastAsia="Times New Roman" w:hAnsiTheme="minorHAnsi" w:cs="Calibri"/>
                <w:b/>
                <w:bCs/>
                <w:color w:val="000000" w:themeColor="text1"/>
                <w:sz w:val="22"/>
                <w:szCs w:val="22"/>
              </w:rPr>
              <w:t>Znesek subvencije brez DDV/mes.</w:t>
            </w:r>
          </w:p>
        </w:tc>
        <w:tc>
          <w:tcPr>
            <w:tcW w:w="1275" w:type="dxa"/>
            <w:vMerge w:val="restart"/>
            <w:tcBorders>
              <w:top w:val="double" w:sz="6" w:space="0" w:color="auto"/>
              <w:left w:val="single" w:sz="2" w:space="0" w:color="auto"/>
              <w:bottom w:val="single" w:sz="2" w:space="0" w:color="auto"/>
              <w:right w:val="single" w:sz="2" w:space="0" w:color="auto"/>
            </w:tcBorders>
            <w:shd w:val="clear" w:color="auto" w:fill="auto"/>
            <w:vAlign w:val="center"/>
            <w:hideMark/>
          </w:tcPr>
          <w:p w14:paraId="0047D4B0"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r w:rsidRPr="00591178">
              <w:rPr>
                <w:rFonts w:asciiTheme="minorHAnsi" w:eastAsia="Times New Roman" w:hAnsiTheme="minorHAnsi" w:cs="Calibri"/>
                <w:b/>
                <w:bCs/>
                <w:color w:val="000000" w:themeColor="text1"/>
                <w:sz w:val="22"/>
                <w:szCs w:val="22"/>
              </w:rPr>
              <w:t>Znesek subvencije z DDV</w:t>
            </w:r>
          </w:p>
        </w:tc>
        <w:tc>
          <w:tcPr>
            <w:tcW w:w="1275" w:type="dxa"/>
            <w:tcBorders>
              <w:top w:val="double" w:sz="6" w:space="0" w:color="auto"/>
              <w:left w:val="single" w:sz="2" w:space="0" w:color="auto"/>
              <w:bottom w:val="nil"/>
              <w:right w:val="single" w:sz="2" w:space="0" w:color="auto"/>
            </w:tcBorders>
          </w:tcPr>
          <w:p w14:paraId="5EB71D08" w14:textId="77777777" w:rsidR="007D06E7" w:rsidRDefault="007D06E7" w:rsidP="006C63CC">
            <w:pPr>
              <w:spacing w:after="0" w:line="240" w:lineRule="auto"/>
              <w:jc w:val="center"/>
              <w:rPr>
                <w:rFonts w:asciiTheme="minorHAnsi" w:eastAsia="Times New Roman" w:hAnsiTheme="minorHAnsi" w:cs="Calibri"/>
                <w:b/>
                <w:bCs/>
                <w:color w:val="000000" w:themeColor="text1"/>
                <w:sz w:val="20"/>
                <w:szCs w:val="20"/>
              </w:rPr>
            </w:pPr>
          </w:p>
          <w:p w14:paraId="31E1A57C" w14:textId="77777777" w:rsidR="007D06E7" w:rsidRDefault="007D06E7" w:rsidP="006C63CC">
            <w:pPr>
              <w:spacing w:after="0" w:line="240" w:lineRule="auto"/>
              <w:jc w:val="center"/>
              <w:rPr>
                <w:rFonts w:asciiTheme="minorHAnsi" w:eastAsia="Times New Roman" w:hAnsiTheme="minorHAnsi" w:cs="Calibri"/>
                <w:b/>
                <w:bCs/>
                <w:color w:val="000000" w:themeColor="text1"/>
                <w:sz w:val="20"/>
                <w:szCs w:val="20"/>
              </w:rPr>
            </w:pPr>
            <w:r>
              <w:rPr>
                <w:rFonts w:asciiTheme="minorHAnsi" w:eastAsia="Times New Roman" w:hAnsiTheme="minorHAnsi" w:cs="Calibri"/>
                <w:b/>
                <w:bCs/>
                <w:color w:val="000000" w:themeColor="text1"/>
                <w:sz w:val="20"/>
                <w:szCs w:val="20"/>
              </w:rPr>
              <w:t>ŠT.</w:t>
            </w:r>
          </w:p>
          <w:p w14:paraId="3896454A"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r>
              <w:rPr>
                <w:rFonts w:asciiTheme="minorHAnsi" w:eastAsia="Times New Roman" w:hAnsiTheme="minorHAnsi" w:cs="Calibri"/>
                <w:b/>
                <w:bCs/>
                <w:color w:val="000000" w:themeColor="text1"/>
                <w:sz w:val="20"/>
                <w:szCs w:val="20"/>
              </w:rPr>
              <w:t>PRIKLJUČKOV</w:t>
            </w:r>
          </w:p>
        </w:tc>
        <w:tc>
          <w:tcPr>
            <w:tcW w:w="1275" w:type="dxa"/>
            <w:tcBorders>
              <w:left w:val="single" w:sz="2" w:space="0" w:color="auto"/>
              <w:bottom w:val="nil"/>
            </w:tcBorders>
          </w:tcPr>
          <w:p w14:paraId="77ECE70B" w14:textId="1EDC1462" w:rsidR="007D06E7" w:rsidRPr="00591178" w:rsidRDefault="000F2E65" w:rsidP="006C63CC">
            <w:pPr>
              <w:spacing w:after="0" w:line="240" w:lineRule="auto"/>
              <w:jc w:val="center"/>
              <w:rPr>
                <w:rFonts w:asciiTheme="minorHAnsi" w:eastAsia="Times New Roman" w:hAnsiTheme="minorHAnsi" w:cs="Calibri"/>
                <w:b/>
                <w:bCs/>
                <w:color w:val="000000" w:themeColor="text1"/>
                <w:sz w:val="20"/>
                <w:szCs w:val="20"/>
              </w:rPr>
            </w:pPr>
            <w:r>
              <w:rPr>
                <w:rFonts w:asciiTheme="minorHAnsi" w:eastAsia="Times New Roman" w:hAnsiTheme="minorHAnsi" w:cs="Calibri"/>
                <w:b/>
                <w:bCs/>
                <w:color w:val="000000" w:themeColor="text1"/>
                <w:sz w:val="20"/>
                <w:szCs w:val="20"/>
              </w:rPr>
              <w:t>SUBVENCIJA/LETO 2019 v</w:t>
            </w:r>
          </w:p>
          <w:p w14:paraId="566895EB"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0"/>
                <w:szCs w:val="20"/>
              </w:rPr>
            </w:pPr>
            <w:r w:rsidRPr="00591178">
              <w:rPr>
                <w:rFonts w:asciiTheme="minorHAnsi" w:eastAsia="Times New Roman" w:hAnsiTheme="minorHAnsi" w:cs="Calibri"/>
                <w:b/>
                <w:bCs/>
                <w:color w:val="000000" w:themeColor="text1"/>
                <w:sz w:val="20"/>
                <w:szCs w:val="20"/>
              </w:rPr>
              <w:t>EUR</w:t>
            </w:r>
          </w:p>
        </w:tc>
      </w:tr>
      <w:tr w:rsidR="007D06E7" w:rsidRPr="00591178" w14:paraId="7AF1FEB6" w14:textId="77777777" w:rsidTr="006C63CC">
        <w:trPr>
          <w:trHeight w:val="585"/>
        </w:trPr>
        <w:tc>
          <w:tcPr>
            <w:tcW w:w="2709" w:type="dxa"/>
            <w:tcBorders>
              <w:top w:val="single" w:sz="2" w:space="0" w:color="auto"/>
              <w:bottom w:val="single" w:sz="12" w:space="0" w:color="auto"/>
              <w:right w:val="single" w:sz="2" w:space="0" w:color="auto"/>
            </w:tcBorders>
            <w:shd w:val="clear" w:color="auto" w:fill="auto"/>
            <w:vAlign w:val="center"/>
            <w:hideMark/>
          </w:tcPr>
          <w:p w14:paraId="588803C5"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2"/>
                <w:szCs w:val="22"/>
              </w:rPr>
            </w:pPr>
            <w:r w:rsidRPr="00591178">
              <w:rPr>
                <w:rFonts w:asciiTheme="minorHAnsi" w:eastAsia="Times New Roman" w:hAnsiTheme="minorHAnsi" w:cs="Calibri"/>
                <w:b/>
                <w:bCs/>
                <w:color w:val="000000" w:themeColor="text1"/>
                <w:sz w:val="22"/>
                <w:szCs w:val="22"/>
              </w:rPr>
              <w:t>DIMENZIJA PRIKLJUČKA</w:t>
            </w:r>
          </w:p>
        </w:tc>
        <w:tc>
          <w:tcPr>
            <w:tcW w:w="1275"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75057A26"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0"/>
                <w:szCs w:val="20"/>
              </w:rPr>
            </w:pPr>
            <w:r w:rsidRPr="00591178">
              <w:rPr>
                <w:rFonts w:asciiTheme="minorHAnsi" w:eastAsia="Times New Roman" w:hAnsiTheme="minorHAnsi" w:cs="Calibri"/>
                <w:b/>
                <w:bCs/>
                <w:color w:val="000000" w:themeColor="text1"/>
                <w:sz w:val="20"/>
                <w:szCs w:val="20"/>
              </w:rPr>
              <w:t>FAKTOR OMREŽNINE</w:t>
            </w:r>
          </w:p>
        </w:tc>
        <w:tc>
          <w:tcPr>
            <w:tcW w:w="851" w:type="dxa"/>
            <w:vMerge/>
            <w:tcBorders>
              <w:top w:val="nil"/>
              <w:left w:val="single" w:sz="2" w:space="0" w:color="auto"/>
              <w:bottom w:val="single" w:sz="12" w:space="0" w:color="auto"/>
              <w:right w:val="single" w:sz="2" w:space="0" w:color="auto"/>
            </w:tcBorders>
            <w:vAlign w:val="center"/>
            <w:hideMark/>
          </w:tcPr>
          <w:p w14:paraId="6E2BFEFC" w14:textId="77777777" w:rsidR="007D06E7" w:rsidRPr="00591178" w:rsidRDefault="007D06E7" w:rsidP="006C63CC">
            <w:pPr>
              <w:spacing w:after="0" w:line="240" w:lineRule="auto"/>
              <w:rPr>
                <w:rFonts w:asciiTheme="minorHAnsi" w:eastAsia="Times New Roman" w:hAnsiTheme="minorHAnsi" w:cs="Calibri"/>
                <w:b/>
                <w:bCs/>
                <w:color w:val="000000" w:themeColor="text1"/>
                <w:sz w:val="22"/>
                <w:szCs w:val="22"/>
              </w:rPr>
            </w:pPr>
          </w:p>
        </w:tc>
        <w:tc>
          <w:tcPr>
            <w:tcW w:w="1276" w:type="dxa"/>
            <w:vMerge/>
            <w:tcBorders>
              <w:top w:val="nil"/>
              <w:left w:val="single" w:sz="2" w:space="0" w:color="auto"/>
              <w:bottom w:val="single" w:sz="12" w:space="0" w:color="auto"/>
              <w:right w:val="single" w:sz="2" w:space="0" w:color="auto"/>
            </w:tcBorders>
            <w:vAlign w:val="center"/>
            <w:hideMark/>
          </w:tcPr>
          <w:p w14:paraId="28E1FB11" w14:textId="77777777" w:rsidR="007D06E7" w:rsidRPr="00591178" w:rsidRDefault="007D06E7" w:rsidP="006C63CC">
            <w:pPr>
              <w:spacing w:after="0" w:line="240" w:lineRule="auto"/>
              <w:rPr>
                <w:rFonts w:asciiTheme="minorHAnsi" w:eastAsia="Times New Roman" w:hAnsiTheme="minorHAnsi" w:cs="Calibri"/>
                <w:b/>
                <w:bCs/>
                <w:color w:val="000000" w:themeColor="text1"/>
                <w:sz w:val="22"/>
                <w:szCs w:val="22"/>
              </w:rPr>
            </w:pPr>
          </w:p>
        </w:tc>
        <w:tc>
          <w:tcPr>
            <w:tcW w:w="1275" w:type="dxa"/>
            <w:vMerge/>
            <w:tcBorders>
              <w:top w:val="nil"/>
              <w:left w:val="single" w:sz="2" w:space="0" w:color="auto"/>
              <w:bottom w:val="single" w:sz="12" w:space="0" w:color="auto"/>
              <w:right w:val="single" w:sz="2" w:space="0" w:color="auto"/>
            </w:tcBorders>
            <w:vAlign w:val="center"/>
            <w:hideMark/>
          </w:tcPr>
          <w:p w14:paraId="006975D9" w14:textId="77777777" w:rsidR="007D06E7" w:rsidRPr="00591178" w:rsidRDefault="007D06E7" w:rsidP="006C63CC">
            <w:pPr>
              <w:spacing w:after="0" w:line="240" w:lineRule="auto"/>
              <w:rPr>
                <w:rFonts w:asciiTheme="minorHAnsi" w:eastAsia="Times New Roman" w:hAnsiTheme="minorHAnsi" w:cs="Calibri"/>
                <w:b/>
                <w:bCs/>
                <w:color w:val="000000" w:themeColor="text1"/>
                <w:sz w:val="22"/>
                <w:szCs w:val="22"/>
              </w:rPr>
            </w:pPr>
          </w:p>
        </w:tc>
        <w:tc>
          <w:tcPr>
            <w:tcW w:w="1275" w:type="dxa"/>
            <w:tcBorders>
              <w:top w:val="nil"/>
              <w:left w:val="single" w:sz="2" w:space="0" w:color="auto"/>
              <w:bottom w:val="single" w:sz="12" w:space="0" w:color="auto"/>
              <w:right w:val="single" w:sz="2" w:space="0" w:color="auto"/>
            </w:tcBorders>
          </w:tcPr>
          <w:p w14:paraId="68DAC1EC"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0"/>
                <w:szCs w:val="20"/>
              </w:rPr>
            </w:pPr>
          </w:p>
        </w:tc>
        <w:tc>
          <w:tcPr>
            <w:tcW w:w="1275" w:type="dxa"/>
            <w:tcBorders>
              <w:top w:val="nil"/>
              <w:left w:val="single" w:sz="2" w:space="0" w:color="auto"/>
              <w:bottom w:val="single" w:sz="12" w:space="0" w:color="auto"/>
            </w:tcBorders>
          </w:tcPr>
          <w:p w14:paraId="2B4E6E80" w14:textId="77777777" w:rsidR="007D06E7" w:rsidRPr="00591178" w:rsidRDefault="007D06E7" w:rsidP="006C63CC">
            <w:pPr>
              <w:spacing w:after="0" w:line="240" w:lineRule="auto"/>
              <w:jc w:val="center"/>
              <w:rPr>
                <w:rFonts w:asciiTheme="minorHAnsi" w:eastAsia="Times New Roman" w:hAnsiTheme="minorHAnsi" w:cs="Calibri"/>
                <w:b/>
                <w:bCs/>
                <w:color w:val="000000" w:themeColor="text1"/>
                <w:sz w:val="20"/>
                <w:szCs w:val="20"/>
              </w:rPr>
            </w:pPr>
            <w:r w:rsidRPr="00591178">
              <w:rPr>
                <w:rFonts w:asciiTheme="minorHAnsi" w:eastAsia="Times New Roman" w:hAnsiTheme="minorHAnsi" w:cs="Calibri"/>
                <w:b/>
                <w:bCs/>
                <w:color w:val="000000" w:themeColor="text1"/>
                <w:sz w:val="20"/>
                <w:szCs w:val="20"/>
              </w:rPr>
              <w:t>z DDV</w:t>
            </w:r>
          </w:p>
        </w:tc>
      </w:tr>
      <w:tr w:rsidR="007D06E7" w:rsidRPr="00591178" w14:paraId="58F95E48" w14:textId="77777777" w:rsidTr="006C63CC">
        <w:trPr>
          <w:trHeight w:val="300"/>
        </w:trPr>
        <w:tc>
          <w:tcPr>
            <w:tcW w:w="2709" w:type="dxa"/>
            <w:tcBorders>
              <w:top w:val="single" w:sz="12" w:space="0" w:color="auto"/>
              <w:bottom w:val="single" w:sz="2" w:space="0" w:color="auto"/>
              <w:right w:val="single" w:sz="2" w:space="0" w:color="auto"/>
            </w:tcBorders>
            <w:shd w:val="clear" w:color="auto" w:fill="auto"/>
            <w:noWrap/>
            <w:vAlign w:val="bottom"/>
            <w:hideMark/>
          </w:tcPr>
          <w:p w14:paraId="30C580A2"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DN ≤ 20</w:t>
            </w:r>
          </w:p>
        </w:tc>
        <w:tc>
          <w:tcPr>
            <w:tcW w:w="127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3E48BB6"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1,00</w:t>
            </w:r>
          </w:p>
        </w:tc>
        <w:tc>
          <w:tcPr>
            <w:tcW w:w="85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1D09C30"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83,41</w:t>
            </w:r>
          </w:p>
        </w:tc>
        <w:tc>
          <w:tcPr>
            <w:tcW w:w="12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B049377"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5,2431</w:t>
            </w:r>
          </w:p>
        </w:tc>
        <w:tc>
          <w:tcPr>
            <w:tcW w:w="127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999EE48"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5,7412</w:t>
            </w:r>
          </w:p>
        </w:tc>
        <w:tc>
          <w:tcPr>
            <w:tcW w:w="1275" w:type="dxa"/>
            <w:tcBorders>
              <w:top w:val="single" w:sz="12" w:space="0" w:color="auto"/>
              <w:left w:val="single" w:sz="2" w:space="0" w:color="auto"/>
              <w:bottom w:val="single" w:sz="2" w:space="0" w:color="auto"/>
              <w:right w:val="single" w:sz="2" w:space="0" w:color="auto"/>
            </w:tcBorders>
          </w:tcPr>
          <w:p w14:paraId="315726E2" w14:textId="4AC31885"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758</w:t>
            </w:r>
          </w:p>
        </w:tc>
        <w:tc>
          <w:tcPr>
            <w:tcW w:w="1275" w:type="dxa"/>
            <w:tcBorders>
              <w:top w:val="single" w:sz="12" w:space="0" w:color="auto"/>
              <w:left w:val="single" w:sz="2" w:space="0" w:color="auto"/>
              <w:bottom w:val="single" w:sz="2" w:space="0" w:color="auto"/>
            </w:tcBorders>
          </w:tcPr>
          <w:p w14:paraId="777B8710" w14:textId="1D38792D"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52.221,96</w:t>
            </w:r>
          </w:p>
        </w:tc>
      </w:tr>
      <w:tr w:rsidR="007D06E7" w:rsidRPr="00591178" w14:paraId="279A1BD0"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71A2D887"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&lt;20  DN &lt; 40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59B439"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3,00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63A7E0"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91,59</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2C2CEB"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17,2731</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C4069F"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18,9140</w:t>
            </w:r>
          </w:p>
        </w:tc>
        <w:tc>
          <w:tcPr>
            <w:tcW w:w="1275" w:type="dxa"/>
            <w:tcBorders>
              <w:top w:val="single" w:sz="2" w:space="0" w:color="auto"/>
              <w:left w:val="single" w:sz="2" w:space="0" w:color="auto"/>
              <w:bottom w:val="single" w:sz="2" w:space="0" w:color="auto"/>
              <w:right w:val="single" w:sz="2" w:space="0" w:color="auto"/>
            </w:tcBorders>
          </w:tcPr>
          <w:p w14:paraId="053EADAC" w14:textId="4234EA35"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60</w:t>
            </w:r>
          </w:p>
        </w:tc>
        <w:tc>
          <w:tcPr>
            <w:tcW w:w="1275" w:type="dxa"/>
            <w:tcBorders>
              <w:top w:val="single" w:sz="2" w:space="0" w:color="auto"/>
              <w:left w:val="single" w:sz="2" w:space="0" w:color="auto"/>
              <w:bottom w:val="single" w:sz="2" w:space="0" w:color="auto"/>
            </w:tcBorders>
          </w:tcPr>
          <w:p w14:paraId="509963E5" w14:textId="28505770"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13.618,08</w:t>
            </w:r>
          </w:p>
        </w:tc>
      </w:tr>
      <w:tr w:rsidR="007D06E7" w:rsidRPr="00591178" w14:paraId="495A6A4F"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5E29C950"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40 ≤ DN &lt; 50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1CD83C"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10,00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A024ED"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85,40</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B57B9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53,6823</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53A52D"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58,7821</w:t>
            </w:r>
          </w:p>
        </w:tc>
        <w:tc>
          <w:tcPr>
            <w:tcW w:w="1275" w:type="dxa"/>
            <w:tcBorders>
              <w:top w:val="single" w:sz="2" w:space="0" w:color="auto"/>
              <w:left w:val="single" w:sz="2" w:space="0" w:color="auto"/>
              <w:bottom w:val="single" w:sz="2" w:space="0" w:color="auto"/>
              <w:right w:val="single" w:sz="2" w:space="0" w:color="auto"/>
            </w:tcBorders>
          </w:tcPr>
          <w:p w14:paraId="6BF48E34"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7</w:t>
            </w:r>
          </w:p>
        </w:tc>
        <w:tc>
          <w:tcPr>
            <w:tcW w:w="1275" w:type="dxa"/>
            <w:tcBorders>
              <w:top w:val="single" w:sz="2" w:space="0" w:color="auto"/>
              <w:left w:val="single" w:sz="2" w:space="0" w:color="auto"/>
              <w:bottom w:val="single" w:sz="2" w:space="0" w:color="auto"/>
            </w:tcBorders>
          </w:tcPr>
          <w:p w14:paraId="20005F72" w14:textId="392C84A5"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4.937,70</w:t>
            </w:r>
          </w:p>
        </w:tc>
      </w:tr>
      <w:tr w:rsidR="007D06E7" w:rsidRPr="00591178" w14:paraId="617550BB"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2CAD46FF"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50 ≤ DN &lt; 65</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896681"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15,00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2E0960"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87,61</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2A8FA7"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82,6098</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D5C319"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90,4577</w:t>
            </w:r>
          </w:p>
        </w:tc>
        <w:tc>
          <w:tcPr>
            <w:tcW w:w="1275" w:type="dxa"/>
            <w:tcBorders>
              <w:top w:val="single" w:sz="2" w:space="0" w:color="auto"/>
              <w:left w:val="single" w:sz="2" w:space="0" w:color="auto"/>
              <w:bottom w:val="single" w:sz="2" w:space="0" w:color="auto"/>
              <w:right w:val="single" w:sz="2" w:space="0" w:color="auto"/>
            </w:tcBorders>
          </w:tcPr>
          <w:p w14:paraId="03AA703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2</w:t>
            </w:r>
          </w:p>
        </w:tc>
        <w:tc>
          <w:tcPr>
            <w:tcW w:w="1275" w:type="dxa"/>
            <w:tcBorders>
              <w:top w:val="single" w:sz="2" w:space="0" w:color="auto"/>
              <w:left w:val="single" w:sz="2" w:space="0" w:color="auto"/>
              <w:bottom w:val="single" w:sz="2" w:space="0" w:color="auto"/>
            </w:tcBorders>
          </w:tcPr>
          <w:p w14:paraId="3CA001E4" w14:textId="46E2EE29" w:rsidR="007D06E7" w:rsidRPr="00591178" w:rsidRDefault="003063F5"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2.171,00</w:t>
            </w:r>
          </w:p>
        </w:tc>
      </w:tr>
      <w:tr w:rsidR="007D06E7" w:rsidRPr="00591178" w14:paraId="331BDDA4"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6CA70C05"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65 ≤ DN &lt; 80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84FFD8"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30,00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C57EE31"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93,80</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5996C8"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176,9038</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BFA4D5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193,7096</w:t>
            </w:r>
          </w:p>
        </w:tc>
        <w:tc>
          <w:tcPr>
            <w:tcW w:w="1275" w:type="dxa"/>
            <w:tcBorders>
              <w:top w:val="single" w:sz="2" w:space="0" w:color="auto"/>
              <w:left w:val="single" w:sz="2" w:space="0" w:color="auto"/>
              <w:bottom w:val="single" w:sz="2" w:space="0" w:color="auto"/>
              <w:right w:val="single" w:sz="2" w:space="0" w:color="auto"/>
            </w:tcBorders>
          </w:tcPr>
          <w:p w14:paraId="6C762F3D"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w:t>
            </w:r>
          </w:p>
        </w:tc>
        <w:tc>
          <w:tcPr>
            <w:tcW w:w="1275" w:type="dxa"/>
            <w:tcBorders>
              <w:top w:val="single" w:sz="2" w:space="0" w:color="auto"/>
              <w:left w:val="single" w:sz="2" w:space="0" w:color="auto"/>
              <w:bottom w:val="single" w:sz="2" w:space="0" w:color="auto"/>
            </w:tcBorders>
          </w:tcPr>
          <w:p w14:paraId="0CFF242F"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0,00</w:t>
            </w:r>
          </w:p>
        </w:tc>
      </w:tr>
      <w:tr w:rsidR="007D06E7" w:rsidRPr="00591178" w14:paraId="67EB012D"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4F12A9C1"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80 ≤ DN &lt; 100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072E67"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50,00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8BDE5E"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95,49</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DE716C"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300,1254</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B21BB1"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328,6373</w:t>
            </w:r>
          </w:p>
        </w:tc>
        <w:tc>
          <w:tcPr>
            <w:tcW w:w="1275" w:type="dxa"/>
            <w:tcBorders>
              <w:top w:val="single" w:sz="2" w:space="0" w:color="auto"/>
              <w:left w:val="single" w:sz="2" w:space="0" w:color="auto"/>
              <w:bottom w:val="single" w:sz="2" w:space="0" w:color="auto"/>
              <w:right w:val="single" w:sz="2" w:space="0" w:color="auto"/>
            </w:tcBorders>
          </w:tcPr>
          <w:p w14:paraId="2BDD3EE0"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w:t>
            </w:r>
          </w:p>
        </w:tc>
        <w:tc>
          <w:tcPr>
            <w:tcW w:w="1275" w:type="dxa"/>
            <w:tcBorders>
              <w:top w:val="single" w:sz="2" w:space="0" w:color="auto"/>
              <w:left w:val="single" w:sz="2" w:space="0" w:color="auto"/>
              <w:bottom w:val="single" w:sz="2" w:space="0" w:color="auto"/>
            </w:tcBorders>
          </w:tcPr>
          <w:p w14:paraId="61C1EE97"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0,00</w:t>
            </w:r>
          </w:p>
        </w:tc>
      </w:tr>
      <w:tr w:rsidR="007D06E7" w:rsidRPr="00591178" w14:paraId="32E62019" w14:textId="77777777" w:rsidTr="006C63CC">
        <w:trPr>
          <w:trHeight w:val="300"/>
        </w:trPr>
        <w:tc>
          <w:tcPr>
            <w:tcW w:w="2709" w:type="dxa"/>
            <w:tcBorders>
              <w:top w:val="single" w:sz="2" w:space="0" w:color="auto"/>
              <w:bottom w:val="single" w:sz="2" w:space="0" w:color="auto"/>
              <w:right w:val="single" w:sz="2" w:space="0" w:color="auto"/>
            </w:tcBorders>
            <w:shd w:val="clear" w:color="auto" w:fill="auto"/>
            <w:noWrap/>
            <w:vAlign w:val="bottom"/>
            <w:hideMark/>
          </w:tcPr>
          <w:p w14:paraId="3D9911E2"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100 ≤ DN &lt; 150</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4FF294"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100,00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19EBAF"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77,81</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738332"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489,1167</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7D014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535,5828</w:t>
            </w:r>
          </w:p>
        </w:tc>
        <w:tc>
          <w:tcPr>
            <w:tcW w:w="1275" w:type="dxa"/>
            <w:tcBorders>
              <w:top w:val="single" w:sz="2" w:space="0" w:color="auto"/>
              <w:left w:val="single" w:sz="2" w:space="0" w:color="auto"/>
              <w:bottom w:val="single" w:sz="2" w:space="0" w:color="auto"/>
              <w:right w:val="single" w:sz="2" w:space="0" w:color="auto"/>
            </w:tcBorders>
          </w:tcPr>
          <w:p w14:paraId="5FA72B7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w:t>
            </w:r>
          </w:p>
        </w:tc>
        <w:tc>
          <w:tcPr>
            <w:tcW w:w="1275" w:type="dxa"/>
            <w:tcBorders>
              <w:top w:val="single" w:sz="2" w:space="0" w:color="auto"/>
              <w:left w:val="single" w:sz="2" w:space="0" w:color="auto"/>
              <w:bottom w:val="single" w:sz="2" w:space="0" w:color="auto"/>
            </w:tcBorders>
          </w:tcPr>
          <w:p w14:paraId="2B3BDEFB"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0,00</w:t>
            </w:r>
          </w:p>
        </w:tc>
      </w:tr>
      <w:tr w:rsidR="007D06E7" w:rsidRPr="00591178" w14:paraId="5136E2E8" w14:textId="77777777" w:rsidTr="006C63CC">
        <w:trPr>
          <w:trHeight w:val="300"/>
        </w:trPr>
        <w:tc>
          <w:tcPr>
            <w:tcW w:w="2709" w:type="dxa"/>
            <w:tcBorders>
              <w:top w:val="single" w:sz="2" w:space="0" w:color="auto"/>
              <w:bottom w:val="single" w:sz="12" w:space="0" w:color="auto"/>
              <w:right w:val="single" w:sz="2" w:space="0" w:color="auto"/>
            </w:tcBorders>
            <w:shd w:val="clear" w:color="auto" w:fill="auto"/>
            <w:noWrap/>
            <w:vAlign w:val="bottom"/>
            <w:hideMark/>
          </w:tcPr>
          <w:p w14:paraId="416A1B8D"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Priključek DN ≤ 150</w:t>
            </w:r>
          </w:p>
        </w:tc>
        <w:tc>
          <w:tcPr>
            <w:tcW w:w="127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EAFBA1B"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200,00</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bottom"/>
          </w:tcPr>
          <w:p w14:paraId="56835508"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77,81</w:t>
            </w:r>
          </w:p>
        </w:tc>
        <w:tc>
          <w:tcPr>
            <w:tcW w:w="127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761E8BB"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978,2434</w:t>
            </w:r>
          </w:p>
        </w:tc>
        <w:tc>
          <w:tcPr>
            <w:tcW w:w="1275" w:type="dxa"/>
            <w:tcBorders>
              <w:top w:val="single" w:sz="2" w:space="0" w:color="auto"/>
              <w:left w:val="single" w:sz="2" w:space="0" w:color="auto"/>
              <w:bottom w:val="single" w:sz="12" w:space="0" w:color="auto"/>
              <w:right w:val="single" w:sz="2" w:space="0" w:color="auto"/>
            </w:tcBorders>
            <w:shd w:val="clear" w:color="auto" w:fill="auto"/>
            <w:noWrap/>
            <w:vAlign w:val="bottom"/>
          </w:tcPr>
          <w:p w14:paraId="5229F2B9"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Pr>
                <w:rFonts w:asciiTheme="minorHAnsi" w:eastAsia="Times New Roman" w:hAnsiTheme="minorHAnsi" w:cs="Calibri"/>
                <w:color w:val="000000" w:themeColor="text1"/>
                <w:sz w:val="22"/>
                <w:szCs w:val="22"/>
              </w:rPr>
              <w:t>1.071,1765</w:t>
            </w:r>
          </w:p>
        </w:tc>
        <w:tc>
          <w:tcPr>
            <w:tcW w:w="1275" w:type="dxa"/>
            <w:tcBorders>
              <w:top w:val="single" w:sz="2" w:space="0" w:color="auto"/>
              <w:left w:val="single" w:sz="2" w:space="0" w:color="auto"/>
              <w:bottom w:val="single" w:sz="12" w:space="0" w:color="auto"/>
              <w:right w:val="single" w:sz="2" w:space="0" w:color="auto"/>
            </w:tcBorders>
          </w:tcPr>
          <w:p w14:paraId="2E51842A"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w:t>
            </w:r>
          </w:p>
        </w:tc>
        <w:tc>
          <w:tcPr>
            <w:tcW w:w="1275" w:type="dxa"/>
            <w:tcBorders>
              <w:top w:val="single" w:sz="2" w:space="0" w:color="auto"/>
              <w:left w:val="single" w:sz="2" w:space="0" w:color="auto"/>
              <w:bottom w:val="single" w:sz="12" w:space="0" w:color="auto"/>
            </w:tcBorders>
          </w:tcPr>
          <w:p w14:paraId="08481AC0"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r w:rsidRPr="00591178">
              <w:rPr>
                <w:rFonts w:asciiTheme="minorHAnsi" w:eastAsia="Times New Roman" w:hAnsiTheme="minorHAnsi" w:cs="Calibri"/>
                <w:color w:val="000000" w:themeColor="text1"/>
                <w:sz w:val="22"/>
                <w:szCs w:val="22"/>
              </w:rPr>
              <w:t>0,00</w:t>
            </w:r>
          </w:p>
        </w:tc>
      </w:tr>
      <w:tr w:rsidR="007D06E7" w:rsidRPr="00591178" w14:paraId="1EDD27EA" w14:textId="77777777" w:rsidTr="006C63CC">
        <w:trPr>
          <w:trHeight w:val="300"/>
        </w:trPr>
        <w:tc>
          <w:tcPr>
            <w:tcW w:w="2709" w:type="dxa"/>
            <w:tcBorders>
              <w:top w:val="single" w:sz="12" w:space="0" w:color="auto"/>
            </w:tcBorders>
            <w:shd w:val="clear" w:color="auto" w:fill="auto"/>
            <w:noWrap/>
            <w:vAlign w:val="bottom"/>
          </w:tcPr>
          <w:p w14:paraId="41ABD019" w14:textId="77777777" w:rsidR="007D06E7" w:rsidRPr="00591178" w:rsidRDefault="007D06E7" w:rsidP="006C63CC">
            <w:pPr>
              <w:spacing w:after="0" w:line="240" w:lineRule="auto"/>
              <w:rPr>
                <w:rFonts w:asciiTheme="minorHAnsi" w:eastAsia="Times New Roman" w:hAnsiTheme="minorHAnsi" w:cs="Calibri"/>
                <w:color w:val="000000" w:themeColor="text1"/>
                <w:sz w:val="22"/>
                <w:szCs w:val="22"/>
              </w:rPr>
            </w:pPr>
          </w:p>
        </w:tc>
        <w:tc>
          <w:tcPr>
            <w:tcW w:w="1275" w:type="dxa"/>
            <w:tcBorders>
              <w:top w:val="single" w:sz="12" w:space="0" w:color="auto"/>
            </w:tcBorders>
            <w:shd w:val="clear" w:color="auto" w:fill="auto"/>
            <w:noWrap/>
            <w:vAlign w:val="bottom"/>
          </w:tcPr>
          <w:p w14:paraId="775B258C"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p>
        </w:tc>
        <w:tc>
          <w:tcPr>
            <w:tcW w:w="851" w:type="dxa"/>
            <w:tcBorders>
              <w:top w:val="single" w:sz="12" w:space="0" w:color="auto"/>
            </w:tcBorders>
            <w:shd w:val="clear" w:color="auto" w:fill="auto"/>
            <w:noWrap/>
            <w:vAlign w:val="bottom"/>
          </w:tcPr>
          <w:p w14:paraId="7EBC5D39"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p>
        </w:tc>
        <w:tc>
          <w:tcPr>
            <w:tcW w:w="1276" w:type="dxa"/>
            <w:tcBorders>
              <w:top w:val="single" w:sz="12" w:space="0" w:color="auto"/>
            </w:tcBorders>
            <w:shd w:val="clear" w:color="auto" w:fill="auto"/>
            <w:noWrap/>
            <w:vAlign w:val="bottom"/>
          </w:tcPr>
          <w:p w14:paraId="1B514D2B"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p>
        </w:tc>
        <w:tc>
          <w:tcPr>
            <w:tcW w:w="1275" w:type="dxa"/>
            <w:tcBorders>
              <w:top w:val="single" w:sz="12" w:space="0" w:color="auto"/>
            </w:tcBorders>
            <w:shd w:val="clear" w:color="auto" w:fill="auto"/>
            <w:noWrap/>
            <w:vAlign w:val="bottom"/>
          </w:tcPr>
          <w:p w14:paraId="190A2F09"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p>
        </w:tc>
        <w:tc>
          <w:tcPr>
            <w:tcW w:w="1275" w:type="dxa"/>
            <w:tcBorders>
              <w:top w:val="single" w:sz="12" w:space="0" w:color="auto"/>
              <w:right w:val="single" w:sz="12" w:space="0" w:color="auto"/>
            </w:tcBorders>
          </w:tcPr>
          <w:p w14:paraId="36BB1987" w14:textId="77777777" w:rsidR="007D06E7" w:rsidRPr="00591178" w:rsidRDefault="007D06E7" w:rsidP="006C63CC">
            <w:pPr>
              <w:spacing w:after="0" w:line="240" w:lineRule="auto"/>
              <w:jc w:val="right"/>
              <w:rPr>
                <w:rFonts w:asciiTheme="minorHAnsi" w:eastAsia="Times New Roman" w:hAnsiTheme="minorHAnsi" w:cs="Calibri"/>
                <w:color w:val="000000" w:themeColor="text1"/>
                <w:sz w:val="22"/>
                <w:szCs w:val="22"/>
              </w:rPr>
            </w:pPr>
          </w:p>
        </w:tc>
        <w:tc>
          <w:tcPr>
            <w:tcW w:w="1275" w:type="dxa"/>
            <w:tcBorders>
              <w:top w:val="single" w:sz="12" w:space="0" w:color="auto"/>
              <w:left w:val="single" w:sz="12" w:space="0" w:color="auto"/>
              <w:bottom w:val="single" w:sz="12" w:space="0" w:color="auto"/>
              <w:right w:val="single" w:sz="12" w:space="0" w:color="auto"/>
            </w:tcBorders>
          </w:tcPr>
          <w:p w14:paraId="42CF1ECB" w14:textId="4609DD64" w:rsidR="007D06E7" w:rsidRPr="00591178" w:rsidRDefault="001B2C8D" w:rsidP="006C63CC">
            <w:pPr>
              <w:spacing w:after="0" w:line="240" w:lineRule="auto"/>
              <w:jc w:val="right"/>
              <w:rPr>
                <w:rFonts w:asciiTheme="minorHAnsi" w:eastAsia="Times New Roman" w:hAnsiTheme="minorHAnsi" w:cs="Calibri"/>
                <w:b/>
                <w:color w:val="000000" w:themeColor="text1"/>
                <w:sz w:val="22"/>
                <w:szCs w:val="22"/>
              </w:rPr>
            </w:pPr>
            <w:r>
              <w:rPr>
                <w:rFonts w:asciiTheme="minorHAnsi" w:eastAsia="Times New Roman" w:hAnsiTheme="minorHAnsi" w:cs="Calibri"/>
                <w:b/>
                <w:color w:val="000000" w:themeColor="text1"/>
                <w:sz w:val="22"/>
                <w:szCs w:val="22"/>
              </w:rPr>
              <w:t>72.948,74</w:t>
            </w:r>
          </w:p>
        </w:tc>
      </w:tr>
      <w:bookmarkEnd w:id="1"/>
    </w:tbl>
    <w:p w14:paraId="5EA4471F" w14:textId="77777777" w:rsidR="00E94822" w:rsidRPr="00591178" w:rsidRDefault="00E94822" w:rsidP="006A3BC2">
      <w:pPr>
        <w:autoSpaceDE w:val="0"/>
        <w:autoSpaceDN w:val="0"/>
        <w:adjustRightInd w:val="0"/>
        <w:spacing w:after="0" w:line="240" w:lineRule="auto"/>
        <w:jc w:val="both"/>
        <w:rPr>
          <w:rFonts w:asciiTheme="minorHAnsi" w:hAnsiTheme="minorHAnsi" w:cs="Times New Roman"/>
          <w:color w:val="000000"/>
          <w:sz w:val="23"/>
          <w:szCs w:val="23"/>
        </w:rPr>
      </w:pPr>
    </w:p>
    <w:p w14:paraId="7831C06A" w14:textId="77777777" w:rsidR="00517D9B" w:rsidRPr="00591178" w:rsidRDefault="00517D9B" w:rsidP="00517D9B">
      <w:pPr>
        <w:autoSpaceDE w:val="0"/>
        <w:autoSpaceDN w:val="0"/>
        <w:adjustRightInd w:val="0"/>
        <w:spacing w:before="120" w:after="0" w:line="240" w:lineRule="auto"/>
        <w:jc w:val="center"/>
        <w:rPr>
          <w:rFonts w:asciiTheme="minorHAnsi" w:hAnsiTheme="minorHAnsi" w:cs="Times New Roman"/>
          <w:color w:val="000000"/>
          <w:sz w:val="23"/>
          <w:szCs w:val="23"/>
        </w:rPr>
      </w:pPr>
      <w:r w:rsidRPr="00591178">
        <w:rPr>
          <w:rFonts w:asciiTheme="minorHAnsi" w:hAnsiTheme="minorHAnsi" w:cs="Times New Roman"/>
          <w:color w:val="000000"/>
          <w:sz w:val="23"/>
          <w:szCs w:val="23"/>
        </w:rPr>
        <w:t>II.</w:t>
      </w:r>
    </w:p>
    <w:p w14:paraId="27AF9F7D" w14:textId="58650514" w:rsidR="00517D9B" w:rsidRPr="00591178" w:rsidRDefault="00517D9B" w:rsidP="00517D9B">
      <w:pPr>
        <w:autoSpaceDE w:val="0"/>
        <w:autoSpaceDN w:val="0"/>
        <w:adjustRightInd w:val="0"/>
        <w:spacing w:after="0" w:line="240" w:lineRule="auto"/>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 xml:space="preserve">Čas veljavnosti tega sklepa je od </w:t>
      </w:r>
      <w:r w:rsidRPr="00591178">
        <w:rPr>
          <w:rFonts w:asciiTheme="minorHAnsi" w:hAnsiTheme="minorHAnsi" w:cs="Times New Roman"/>
          <w:b/>
          <w:color w:val="000000" w:themeColor="text1"/>
          <w:sz w:val="23"/>
          <w:szCs w:val="23"/>
        </w:rPr>
        <w:t>01.0</w:t>
      </w:r>
      <w:r w:rsidR="00C8667C">
        <w:rPr>
          <w:rFonts w:asciiTheme="minorHAnsi" w:hAnsiTheme="minorHAnsi" w:cs="Times New Roman"/>
          <w:b/>
          <w:color w:val="000000" w:themeColor="text1"/>
          <w:sz w:val="23"/>
          <w:szCs w:val="23"/>
        </w:rPr>
        <w:t>1</w:t>
      </w:r>
      <w:r w:rsidRPr="00591178">
        <w:rPr>
          <w:rFonts w:asciiTheme="minorHAnsi" w:hAnsiTheme="minorHAnsi" w:cs="Times New Roman"/>
          <w:b/>
          <w:color w:val="000000" w:themeColor="text1"/>
          <w:sz w:val="23"/>
          <w:szCs w:val="23"/>
        </w:rPr>
        <w:t>.201</w:t>
      </w:r>
      <w:r w:rsidR="007D06E7">
        <w:rPr>
          <w:rFonts w:asciiTheme="minorHAnsi" w:hAnsiTheme="minorHAnsi" w:cs="Times New Roman"/>
          <w:b/>
          <w:color w:val="000000" w:themeColor="text1"/>
          <w:sz w:val="23"/>
          <w:szCs w:val="23"/>
        </w:rPr>
        <w:t>9</w:t>
      </w:r>
      <w:r w:rsidRPr="00591178">
        <w:rPr>
          <w:rFonts w:asciiTheme="minorHAnsi" w:hAnsiTheme="minorHAnsi" w:cs="Times New Roman"/>
          <w:b/>
          <w:color w:val="000000" w:themeColor="text1"/>
          <w:sz w:val="23"/>
          <w:szCs w:val="23"/>
        </w:rPr>
        <w:t xml:space="preserve"> do 31.12.201</w:t>
      </w:r>
      <w:r w:rsidR="007D06E7">
        <w:rPr>
          <w:rFonts w:asciiTheme="minorHAnsi" w:hAnsiTheme="minorHAnsi" w:cs="Times New Roman"/>
          <w:b/>
          <w:color w:val="000000" w:themeColor="text1"/>
          <w:sz w:val="23"/>
          <w:szCs w:val="23"/>
        </w:rPr>
        <w:t>9</w:t>
      </w:r>
      <w:r w:rsidRPr="00591178">
        <w:rPr>
          <w:rFonts w:asciiTheme="minorHAnsi" w:hAnsiTheme="minorHAnsi" w:cs="Times New Roman"/>
          <w:color w:val="000000" w:themeColor="text1"/>
          <w:sz w:val="23"/>
          <w:szCs w:val="23"/>
        </w:rPr>
        <w:t>.</w:t>
      </w:r>
    </w:p>
    <w:p w14:paraId="1786575A" w14:textId="77777777" w:rsidR="00901A8D" w:rsidRPr="00591178" w:rsidRDefault="00901A8D" w:rsidP="002F45EF">
      <w:pPr>
        <w:autoSpaceDE w:val="0"/>
        <w:autoSpaceDN w:val="0"/>
        <w:adjustRightInd w:val="0"/>
        <w:spacing w:before="120" w:after="0" w:line="240" w:lineRule="auto"/>
        <w:jc w:val="center"/>
        <w:rPr>
          <w:rFonts w:asciiTheme="minorHAnsi" w:hAnsiTheme="minorHAnsi" w:cs="Times New Roman"/>
          <w:color w:val="000000"/>
          <w:sz w:val="23"/>
          <w:szCs w:val="23"/>
        </w:rPr>
      </w:pPr>
      <w:r w:rsidRPr="00591178">
        <w:rPr>
          <w:rFonts w:asciiTheme="minorHAnsi" w:hAnsiTheme="minorHAnsi" w:cs="Times New Roman"/>
          <w:color w:val="000000"/>
          <w:sz w:val="23"/>
          <w:szCs w:val="23"/>
        </w:rPr>
        <w:t>I</w:t>
      </w:r>
      <w:r w:rsidR="00C11CFB" w:rsidRPr="00591178">
        <w:rPr>
          <w:rFonts w:asciiTheme="minorHAnsi" w:hAnsiTheme="minorHAnsi" w:cs="Times New Roman"/>
          <w:color w:val="000000"/>
          <w:sz w:val="23"/>
          <w:szCs w:val="23"/>
        </w:rPr>
        <w:t>I</w:t>
      </w:r>
      <w:r w:rsidRPr="00591178">
        <w:rPr>
          <w:rFonts w:asciiTheme="minorHAnsi" w:hAnsiTheme="minorHAnsi" w:cs="Times New Roman"/>
          <w:color w:val="000000"/>
          <w:sz w:val="23"/>
          <w:szCs w:val="23"/>
        </w:rPr>
        <w:t>I.</w:t>
      </w:r>
    </w:p>
    <w:p w14:paraId="17D1E27A" w14:textId="00CB6254" w:rsidR="00563A64" w:rsidRPr="00591178" w:rsidRDefault="00563A64" w:rsidP="00563A64">
      <w:pPr>
        <w:autoSpaceDE w:val="0"/>
        <w:autoSpaceDN w:val="0"/>
        <w:adjustRightInd w:val="0"/>
        <w:spacing w:after="0" w:line="240" w:lineRule="auto"/>
        <w:jc w:val="both"/>
        <w:rPr>
          <w:rFonts w:asciiTheme="minorHAnsi" w:hAnsiTheme="minorHAnsi" w:cs="Times New Roman"/>
          <w:color w:val="000000"/>
          <w:sz w:val="23"/>
          <w:szCs w:val="23"/>
        </w:rPr>
      </w:pPr>
      <w:r w:rsidRPr="00591178">
        <w:rPr>
          <w:rFonts w:asciiTheme="minorHAnsi" w:hAnsiTheme="minorHAnsi" w:cs="Times New Roman"/>
          <w:color w:val="000000"/>
          <w:sz w:val="23"/>
          <w:szCs w:val="23"/>
        </w:rPr>
        <w:lastRenderedPageBreak/>
        <w:t xml:space="preserve">Občina Lovrenc na Pohorju bo </w:t>
      </w:r>
      <w:r w:rsidR="00DE5EDC">
        <w:rPr>
          <w:rFonts w:asciiTheme="minorHAnsi" w:hAnsiTheme="minorHAnsi" w:cs="Times New Roman"/>
          <w:color w:val="000000"/>
          <w:sz w:val="23"/>
          <w:szCs w:val="23"/>
        </w:rPr>
        <w:t xml:space="preserve">subvencionirala ceno </w:t>
      </w:r>
      <w:r w:rsidRPr="00591178">
        <w:rPr>
          <w:rFonts w:asciiTheme="minorHAnsi" w:hAnsiTheme="minorHAnsi" w:cs="Times New Roman"/>
          <w:color w:val="000000"/>
          <w:sz w:val="23"/>
          <w:szCs w:val="23"/>
        </w:rPr>
        <w:t>storitve obvezne lokalne gospodarske javne službe O</w:t>
      </w:r>
      <w:r w:rsidR="00542E13">
        <w:rPr>
          <w:rFonts w:asciiTheme="minorHAnsi" w:hAnsiTheme="minorHAnsi" w:cs="Times New Roman"/>
          <w:color w:val="000000"/>
          <w:sz w:val="23"/>
          <w:szCs w:val="23"/>
        </w:rPr>
        <w:t>SKRBA S PITNO VODO</w:t>
      </w:r>
      <w:r w:rsidRPr="00591178">
        <w:rPr>
          <w:rFonts w:asciiTheme="minorHAnsi" w:hAnsiTheme="minorHAnsi" w:cs="Times New Roman"/>
          <w:color w:val="000000"/>
          <w:sz w:val="23"/>
          <w:szCs w:val="23"/>
        </w:rPr>
        <w:t xml:space="preserve"> ter pripadajoče OMREŽNINE za uporabo javnih infrastrukturnih objektov in naprav v Občini Lovrenc na Pohorju </w:t>
      </w:r>
      <w:r w:rsidR="00DE5EDC">
        <w:rPr>
          <w:rFonts w:asciiTheme="minorHAnsi" w:hAnsiTheme="minorHAnsi" w:cs="Times New Roman"/>
          <w:color w:val="000000"/>
          <w:sz w:val="23"/>
          <w:szCs w:val="23"/>
        </w:rPr>
        <w:t>za leto</w:t>
      </w:r>
      <w:r w:rsidRPr="00591178">
        <w:rPr>
          <w:rFonts w:asciiTheme="minorHAnsi" w:hAnsiTheme="minorHAnsi" w:cs="Times New Roman"/>
          <w:color w:val="000000"/>
          <w:sz w:val="23"/>
          <w:szCs w:val="23"/>
        </w:rPr>
        <w:t xml:space="preserve"> 201</w:t>
      </w:r>
      <w:r w:rsidR="007D06E7">
        <w:rPr>
          <w:rFonts w:asciiTheme="minorHAnsi" w:hAnsiTheme="minorHAnsi" w:cs="Times New Roman"/>
          <w:color w:val="000000"/>
          <w:sz w:val="23"/>
          <w:szCs w:val="23"/>
        </w:rPr>
        <w:t>9</w:t>
      </w:r>
      <w:r w:rsidR="00DE5EDC">
        <w:rPr>
          <w:rFonts w:asciiTheme="minorHAnsi" w:hAnsiTheme="minorHAnsi" w:cs="Times New Roman"/>
          <w:color w:val="000000"/>
          <w:sz w:val="23"/>
          <w:szCs w:val="23"/>
        </w:rPr>
        <w:t>,</w:t>
      </w:r>
      <w:r w:rsidRPr="00591178">
        <w:rPr>
          <w:rFonts w:asciiTheme="minorHAnsi" w:hAnsiTheme="minorHAnsi" w:cs="Times New Roman"/>
          <w:color w:val="000000"/>
          <w:sz w:val="23"/>
          <w:szCs w:val="23"/>
        </w:rPr>
        <w:t xml:space="preserve"> le za gospodinjstva oziroma druge </w:t>
      </w:r>
      <w:r w:rsidR="00542E13">
        <w:rPr>
          <w:rFonts w:asciiTheme="minorHAnsi" w:hAnsiTheme="minorHAnsi" w:cs="Times New Roman"/>
          <w:color w:val="000000"/>
          <w:sz w:val="23"/>
          <w:szCs w:val="23"/>
        </w:rPr>
        <w:t>uporabnike storitev oskrbe s pitno vodo</w:t>
      </w:r>
      <w:r w:rsidR="007153B6" w:rsidRPr="00591178">
        <w:rPr>
          <w:rFonts w:asciiTheme="minorHAnsi" w:hAnsiTheme="minorHAnsi" w:cs="Times New Roman"/>
          <w:color w:val="000000"/>
          <w:sz w:val="23"/>
          <w:szCs w:val="23"/>
        </w:rPr>
        <w:t>,</w:t>
      </w:r>
      <w:r w:rsidRPr="00591178">
        <w:rPr>
          <w:rFonts w:asciiTheme="minorHAnsi" w:hAnsiTheme="minorHAnsi" w:cs="Times New Roman"/>
          <w:color w:val="000000"/>
          <w:sz w:val="23"/>
          <w:szCs w:val="23"/>
        </w:rPr>
        <w:t xml:space="preserve"> ki ne opravljajo pridobitne dejavnosti.</w:t>
      </w:r>
    </w:p>
    <w:p w14:paraId="69EA206F" w14:textId="77777777" w:rsidR="00563A64" w:rsidRPr="00591178" w:rsidRDefault="00563A64" w:rsidP="00563A64">
      <w:pPr>
        <w:autoSpaceDE w:val="0"/>
        <w:autoSpaceDN w:val="0"/>
        <w:adjustRightInd w:val="0"/>
        <w:spacing w:before="120" w:after="0" w:line="240" w:lineRule="auto"/>
        <w:jc w:val="center"/>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IV.</w:t>
      </w:r>
    </w:p>
    <w:p w14:paraId="55EB326A" w14:textId="77777777" w:rsidR="00563A64" w:rsidRPr="00591178" w:rsidRDefault="00563A64" w:rsidP="00563A64">
      <w:pPr>
        <w:autoSpaceDE w:val="0"/>
        <w:autoSpaceDN w:val="0"/>
        <w:adjustRightInd w:val="0"/>
        <w:spacing w:after="0" w:line="240" w:lineRule="auto"/>
        <w:jc w:val="both"/>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Sredstva subvencije se zagotovijo v proračunu Občine Lovrenc na Pohorju.</w:t>
      </w:r>
    </w:p>
    <w:p w14:paraId="3AFA0285" w14:textId="77777777" w:rsidR="00563A64" w:rsidRPr="00591178" w:rsidRDefault="00563A64" w:rsidP="00563A64">
      <w:pPr>
        <w:autoSpaceDE w:val="0"/>
        <w:autoSpaceDN w:val="0"/>
        <w:adjustRightInd w:val="0"/>
        <w:spacing w:before="120" w:after="0" w:line="240" w:lineRule="auto"/>
        <w:jc w:val="center"/>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V.</w:t>
      </w:r>
    </w:p>
    <w:p w14:paraId="243F8561" w14:textId="5E5985AA" w:rsidR="00563A64" w:rsidRPr="00591178" w:rsidRDefault="00563A64" w:rsidP="00563A64">
      <w:pPr>
        <w:autoSpaceDE w:val="0"/>
        <w:autoSpaceDN w:val="0"/>
        <w:adjustRightInd w:val="0"/>
        <w:spacing w:after="0" w:line="240" w:lineRule="auto"/>
        <w:jc w:val="both"/>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 xml:space="preserve">Sredstva subvencije se mesečno nakazujejo iz proračuna Občine Lovrenc na Pohorju, Režijskemu obratu Občine Lovrenc na Pohorju, Spodnji trg 8, 2344 Lovrenc na Pohorju, kot izvajalcu obvezne lokalne gospodarske javne službe </w:t>
      </w:r>
      <w:r w:rsidR="00542E13">
        <w:rPr>
          <w:rFonts w:asciiTheme="minorHAnsi" w:hAnsiTheme="minorHAnsi" w:cs="Times New Roman"/>
          <w:color w:val="000000" w:themeColor="text1"/>
          <w:sz w:val="23"/>
          <w:szCs w:val="23"/>
        </w:rPr>
        <w:t>oskrbe s pitno vodo</w:t>
      </w:r>
      <w:r w:rsidRPr="00591178">
        <w:rPr>
          <w:rFonts w:asciiTheme="minorHAnsi" w:hAnsiTheme="minorHAnsi" w:cs="Times New Roman"/>
          <w:color w:val="000000"/>
          <w:sz w:val="23"/>
          <w:szCs w:val="23"/>
        </w:rPr>
        <w:t xml:space="preserve"> </w:t>
      </w:r>
      <w:r w:rsidRPr="00591178">
        <w:rPr>
          <w:rFonts w:asciiTheme="minorHAnsi" w:hAnsiTheme="minorHAnsi" w:cs="Times New Roman"/>
          <w:color w:val="000000" w:themeColor="text1"/>
          <w:sz w:val="23"/>
          <w:szCs w:val="23"/>
        </w:rPr>
        <w:t xml:space="preserve">na območju Občine Lovrenc na Pohorju, na podlagi mesečnega zahtevka Režijskega obrata Občine Lovrenc na Pohorju za znesek subvencije in odredbe </w:t>
      </w:r>
      <w:r w:rsidR="00C8667C">
        <w:rPr>
          <w:rFonts w:asciiTheme="minorHAnsi" w:hAnsiTheme="minorHAnsi" w:cs="Times New Roman"/>
          <w:color w:val="000000" w:themeColor="text1"/>
          <w:sz w:val="23"/>
          <w:szCs w:val="23"/>
        </w:rPr>
        <w:t>Ž</w:t>
      </w:r>
      <w:r w:rsidRPr="00591178">
        <w:rPr>
          <w:rFonts w:asciiTheme="minorHAnsi" w:hAnsiTheme="minorHAnsi" w:cs="Times New Roman"/>
          <w:color w:val="000000" w:themeColor="text1"/>
          <w:sz w:val="23"/>
          <w:szCs w:val="23"/>
        </w:rPr>
        <w:t>upana.</w:t>
      </w:r>
    </w:p>
    <w:p w14:paraId="33ECA4A5" w14:textId="77777777" w:rsidR="00563A64" w:rsidRPr="00591178" w:rsidRDefault="00563A64" w:rsidP="00563A64">
      <w:pPr>
        <w:autoSpaceDE w:val="0"/>
        <w:autoSpaceDN w:val="0"/>
        <w:adjustRightInd w:val="0"/>
        <w:spacing w:before="120" w:after="0" w:line="240" w:lineRule="auto"/>
        <w:jc w:val="center"/>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VI.</w:t>
      </w:r>
    </w:p>
    <w:p w14:paraId="18750F95" w14:textId="1B47C1AC" w:rsidR="00563A64" w:rsidRDefault="00563A64" w:rsidP="00563A64">
      <w:pPr>
        <w:autoSpaceDE w:val="0"/>
        <w:autoSpaceDN w:val="0"/>
        <w:adjustRightInd w:val="0"/>
        <w:spacing w:after="0" w:line="240" w:lineRule="auto"/>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 xml:space="preserve">Ta sklep prične veljati naslednji dan po objavi v Uradnem glasilu slovenskih občin, uporablja pa se od </w:t>
      </w:r>
      <w:r w:rsidRPr="00591178">
        <w:rPr>
          <w:rFonts w:asciiTheme="minorHAnsi" w:hAnsiTheme="minorHAnsi" w:cs="Times New Roman"/>
          <w:b/>
          <w:color w:val="000000" w:themeColor="text1"/>
          <w:sz w:val="23"/>
          <w:szCs w:val="23"/>
        </w:rPr>
        <w:t>01. 0</w:t>
      </w:r>
      <w:r w:rsidR="00C8667C">
        <w:rPr>
          <w:rFonts w:asciiTheme="minorHAnsi" w:hAnsiTheme="minorHAnsi" w:cs="Times New Roman"/>
          <w:b/>
          <w:color w:val="000000" w:themeColor="text1"/>
          <w:sz w:val="23"/>
          <w:szCs w:val="23"/>
        </w:rPr>
        <w:t>1</w:t>
      </w:r>
      <w:r w:rsidRPr="00591178">
        <w:rPr>
          <w:rFonts w:asciiTheme="minorHAnsi" w:hAnsiTheme="minorHAnsi" w:cs="Times New Roman"/>
          <w:b/>
          <w:color w:val="000000" w:themeColor="text1"/>
          <w:sz w:val="23"/>
          <w:szCs w:val="23"/>
        </w:rPr>
        <w:t>. 201</w:t>
      </w:r>
      <w:r w:rsidR="007D06E7">
        <w:rPr>
          <w:rFonts w:asciiTheme="minorHAnsi" w:hAnsiTheme="minorHAnsi" w:cs="Times New Roman"/>
          <w:b/>
          <w:color w:val="000000" w:themeColor="text1"/>
          <w:sz w:val="23"/>
          <w:szCs w:val="23"/>
        </w:rPr>
        <w:t>9</w:t>
      </w:r>
      <w:r w:rsidRPr="00591178">
        <w:rPr>
          <w:rFonts w:asciiTheme="minorHAnsi" w:hAnsiTheme="minorHAnsi" w:cs="Times New Roman"/>
          <w:color w:val="000000" w:themeColor="text1"/>
          <w:sz w:val="23"/>
          <w:szCs w:val="23"/>
        </w:rPr>
        <w:t xml:space="preserve"> naprej. </w:t>
      </w:r>
    </w:p>
    <w:p w14:paraId="1348CE20" w14:textId="77777777" w:rsidR="00CE45BC" w:rsidRDefault="00CE45BC" w:rsidP="00563A64">
      <w:pPr>
        <w:autoSpaceDE w:val="0"/>
        <w:autoSpaceDN w:val="0"/>
        <w:adjustRightInd w:val="0"/>
        <w:spacing w:after="0" w:line="240" w:lineRule="auto"/>
        <w:rPr>
          <w:rFonts w:asciiTheme="minorHAnsi" w:hAnsiTheme="minorHAnsi" w:cs="Times New Roman"/>
          <w:color w:val="000000" w:themeColor="text1"/>
          <w:sz w:val="23"/>
          <w:szCs w:val="23"/>
        </w:rPr>
      </w:pPr>
    </w:p>
    <w:p w14:paraId="6B18576C" w14:textId="63F06D92" w:rsidR="00CE45BC" w:rsidRPr="00591178" w:rsidRDefault="00CE45BC" w:rsidP="00563A64">
      <w:pPr>
        <w:autoSpaceDE w:val="0"/>
        <w:autoSpaceDN w:val="0"/>
        <w:adjustRightInd w:val="0"/>
        <w:spacing w:after="0" w:line="240" w:lineRule="auto"/>
        <w:rPr>
          <w:rFonts w:asciiTheme="minorHAnsi" w:hAnsiTheme="minorHAnsi" w:cs="Times New Roman"/>
          <w:color w:val="000000" w:themeColor="text1"/>
          <w:sz w:val="23"/>
          <w:szCs w:val="23"/>
        </w:rPr>
      </w:pPr>
      <w:r w:rsidRPr="003A08D3">
        <w:rPr>
          <w:rFonts w:asciiTheme="minorHAnsi" w:hAnsiTheme="minorHAnsi" w:cs="Times New Roman"/>
          <w:color w:val="000000" w:themeColor="text1"/>
          <w:sz w:val="23"/>
          <w:szCs w:val="23"/>
        </w:rPr>
        <w:t xml:space="preserve">Z dnem uveljavitve tega sklepa preneha veljati </w:t>
      </w:r>
      <w:r w:rsidRPr="001B2C8D">
        <w:rPr>
          <w:rFonts w:asciiTheme="minorHAnsi" w:hAnsiTheme="minorHAnsi" w:cs="Times New Roman"/>
          <w:color w:val="000000" w:themeColor="text1"/>
          <w:sz w:val="23"/>
          <w:szCs w:val="23"/>
        </w:rPr>
        <w:t xml:space="preserve">sklep </w:t>
      </w:r>
      <w:r w:rsidR="001B2C8D">
        <w:rPr>
          <w:rFonts w:asciiTheme="minorHAnsi" w:hAnsiTheme="minorHAnsi" w:cs="Times New Roman"/>
          <w:color w:val="000000" w:themeColor="text1"/>
          <w:sz w:val="23"/>
          <w:szCs w:val="23"/>
        </w:rPr>
        <w:t xml:space="preserve">0075-0013/2018 </w:t>
      </w:r>
      <w:r w:rsidRPr="001B2C8D">
        <w:rPr>
          <w:rFonts w:asciiTheme="minorHAnsi" w:hAnsiTheme="minorHAnsi" w:cs="Times New Roman"/>
          <w:color w:val="000000" w:themeColor="text1"/>
          <w:sz w:val="23"/>
          <w:szCs w:val="23"/>
        </w:rPr>
        <w:t>z dne</w:t>
      </w:r>
      <w:r w:rsidRPr="003A08D3">
        <w:rPr>
          <w:rFonts w:asciiTheme="minorHAnsi" w:hAnsiTheme="minorHAnsi" w:cs="Times New Roman"/>
          <w:color w:val="000000" w:themeColor="text1"/>
          <w:sz w:val="23"/>
          <w:szCs w:val="23"/>
        </w:rPr>
        <w:t xml:space="preserve"> </w:t>
      </w:r>
      <w:r w:rsidR="00AB60A2">
        <w:rPr>
          <w:rFonts w:asciiTheme="minorHAnsi" w:hAnsiTheme="minorHAnsi" w:cs="Times New Roman"/>
          <w:color w:val="000000" w:themeColor="text1"/>
          <w:sz w:val="23"/>
          <w:szCs w:val="23"/>
        </w:rPr>
        <w:t>01</w:t>
      </w:r>
      <w:r w:rsidRPr="003A08D3">
        <w:rPr>
          <w:rFonts w:asciiTheme="minorHAnsi" w:hAnsiTheme="minorHAnsi" w:cs="Times New Roman"/>
          <w:color w:val="000000" w:themeColor="text1"/>
          <w:sz w:val="23"/>
          <w:szCs w:val="23"/>
        </w:rPr>
        <w:t>.</w:t>
      </w:r>
      <w:r w:rsidR="003A08D3" w:rsidRPr="003A08D3">
        <w:rPr>
          <w:rFonts w:asciiTheme="minorHAnsi" w:hAnsiTheme="minorHAnsi" w:cs="Times New Roman"/>
          <w:color w:val="000000" w:themeColor="text1"/>
          <w:sz w:val="23"/>
          <w:szCs w:val="23"/>
        </w:rPr>
        <w:t>0</w:t>
      </w:r>
      <w:r w:rsidR="00AB60A2">
        <w:rPr>
          <w:rFonts w:asciiTheme="minorHAnsi" w:hAnsiTheme="minorHAnsi" w:cs="Times New Roman"/>
          <w:color w:val="000000" w:themeColor="text1"/>
          <w:sz w:val="23"/>
          <w:szCs w:val="23"/>
        </w:rPr>
        <w:t>5</w:t>
      </w:r>
      <w:r w:rsidRPr="003A08D3">
        <w:rPr>
          <w:rFonts w:asciiTheme="minorHAnsi" w:hAnsiTheme="minorHAnsi" w:cs="Times New Roman"/>
          <w:color w:val="000000" w:themeColor="text1"/>
          <w:sz w:val="23"/>
          <w:szCs w:val="23"/>
        </w:rPr>
        <w:t>.201</w:t>
      </w:r>
      <w:r w:rsidR="001B2C8D">
        <w:rPr>
          <w:rFonts w:asciiTheme="minorHAnsi" w:hAnsiTheme="minorHAnsi" w:cs="Times New Roman"/>
          <w:color w:val="000000" w:themeColor="text1"/>
          <w:sz w:val="23"/>
          <w:szCs w:val="23"/>
        </w:rPr>
        <w:t>8</w:t>
      </w:r>
      <w:r w:rsidRPr="003A08D3">
        <w:rPr>
          <w:rFonts w:asciiTheme="minorHAnsi" w:hAnsiTheme="minorHAnsi" w:cs="Times New Roman"/>
          <w:color w:val="000000" w:themeColor="text1"/>
          <w:sz w:val="23"/>
          <w:szCs w:val="23"/>
        </w:rPr>
        <w:t>.</w:t>
      </w:r>
    </w:p>
    <w:p w14:paraId="19A875F9" w14:textId="77777777" w:rsidR="001B2C8D" w:rsidRDefault="001B2C8D" w:rsidP="00020DB4">
      <w:pPr>
        <w:autoSpaceDE w:val="0"/>
        <w:autoSpaceDN w:val="0"/>
        <w:adjustRightInd w:val="0"/>
        <w:spacing w:before="120" w:after="0" w:line="240" w:lineRule="auto"/>
        <w:rPr>
          <w:rFonts w:asciiTheme="minorHAnsi" w:hAnsiTheme="minorHAnsi" w:cs="Tahoma"/>
          <w:color w:val="444444"/>
          <w:sz w:val="23"/>
          <w:szCs w:val="23"/>
          <w:shd w:val="clear" w:color="auto" w:fill="FFFFFF"/>
        </w:rPr>
      </w:pPr>
    </w:p>
    <w:p w14:paraId="7B8FD638" w14:textId="77777777" w:rsidR="00020DB4" w:rsidRPr="00591178" w:rsidRDefault="00020DB4" w:rsidP="00020DB4">
      <w:pPr>
        <w:autoSpaceDE w:val="0"/>
        <w:autoSpaceDN w:val="0"/>
        <w:adjustRightInd w:val="0"/>
        <w:spacing w:before="120" w:after="0" w:line="240" w:lineRule="auto"/>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 xml:space="preserve">Številka: </w:t>
      </w:r>
    </w:p>
    <w:p w14:paraId="581A1103" w14:textId="77777777" w:rsidR="00020DB4" w:rsidRPr="00591178" w:rsidRDefault="00020DB4" w:rsidP="00020DB4">
      <w:pPr>
        <w:autoSpaceDE w:val="0"/>
        <w:autoSpaceDN w:val="0"/>
        <w:adjustRightInd w:val="0"/>
        <w:spacing w:before="60" w:after="60" w:line="240" w:lineRule="auto"/>
        <w:rPr>
          <w:rFonts w:asciiTheme="minorHAnsi" w:hAnsiTheme="minorHAnsi" w:cs="Times New Roman"/>
          <w:color w:val="000000" w:themeColor="text1"/>
          <w:sz w:val="23"/>
          <w:szCs w:val="23"/>
        </w:rPr>
      </w:pPr>
      <w:r w:rsidRPr="00591178">
        <w:rPr>
          <w:rFonts w:asciiTheme="minorHAnsi" w:hAnsiTheme="minorHAnsi" w:cs="Times New Roman"/>
          <w:color w:val="000000" w:themeColor="text1"/>
          <w:sz w:val="23"/>
          <w:szCs w:val="23"/>
        </w:rPr>
        <w:t>V Lovrenc na Pohorju, dne:</w:t>
      </w:r>
      <w:r w:rsidR="00C71A7E" w:rsidRPr="00591178">
        <w:rPr>
          <w:rFonts w:asciiTheme="minorHAnsi" w:hAnsiTheme="minorHAnsi" w:cs="Times New Roman"/>
          <w:color w:val="000000" w:themeColor="text1"/>
          <w:sz w:val="23"/>
          <w:szCs w:val="23"/>
        </w:rPr>
        <w:t xml:space="preserve"> </w:t>
      </w:r>
    </w:p>
    <w:p w14:paraId="7B0B84DD" w14:textId="77777777" w:rsidR="00020DB4" w:rsidRPr="00591178" w:rsidRDefault="00020DB4" w:rsidP="00020DB4">
      <w:pPr>
        <w:autoSpaceDE w:val="0"/>
        <w:autoSpaceDN w:val="0"/>
        <w:adjustRightInd w:val="0"/>
        <w:spacing w:before="60" w:after="60" w:line="240" w:lineRule="auto"/>
        <w:rPr>
          <w:rFonts w:asciiTheme="minorHAnsi" w:hAnsiTheme="minorHAnsi" w:cs="Times New Roman"/>
          <w:color w:val="000000" w:themeColor="text1"/>
          <w:sz w:val="23"/>
          <w:szCs w:val="23"/>
        </w:rPr>
      </w:pPr>
    </w:p>
    <w:p w14:paraId="03F51E41" w14:textId="77777777" w:rsidR="00020DB4" w:rsidRPr="00591178" w:rsidRDefault="00020DB4" w:rsidP="00020DB4">
      <w:pPr>
        <w:autoSpaceDE w:val="0"/>
        <w:autoSpaceDN w:val="0"/>
        <w:adjustRightInd w:val="0"/>
        <w:spacing w:after="0" w:line="240" w:lineRule="auto"/>
        <w:jc w:val="center"/>
        <w:rPr>
          <w:rFonts w:asciiTheme="minorHAnsi" w:hAnsiTheme="minorHAnsi" w:cs="Times New Roman"/>
          <w:b/>
          <w:color w:val="000000" w:themeColor="text1"/>
          <w:sz w:val="23"/>
          <w:szCs w:val="23"/>
        </w:rPr>
      </w:pPr>
    </w:p>
    <w:p w14:paraId="6D9662C6" w14:textId="77777777" w:rsidR="00020DB4" w:rsidRPr="008553FC" w:rsidRDefault="00020DB4" w:rsidP="00020DB4">
      <w:pPr>
        <w:autoSpaceDE w:val="0"/>
        <w:autoSpaceDN w:val="0"/>
        <w:adjustRightInd w:val="0"/>
        <w:spacing w:after="0" w:line="240" w:lineRule="auto"/>
        <w:jc w:val="center"/>
        <w:rPr>
          <w:rFonts w:asciiTheme="minorHAnsi" w:hAnsiTheme="minorHAnsi" w:cs="Times New Roman"/>
          <w:b/>
          <w:color w:val="000000" w:themeColor="text1"/>
          <w:sz w:val="23"/>
          <w:szCs w:val="23"/>
        </w:rPr>
      </w:pPr>
      <w:r w:rsidRPr="008553FC">
        <w:rPr>
          <w:rFonts w:asciiTheme="minorHAnsi" w:hAnsiTheme="minorHAnsi" w:cs="Times New Roman"/>
          <w:b/>
          <w:color w:val="000000" w:themeColor="text1"/>
          <w:sz w:val="23"/>
          <w:szCs w:val="23"/>
        </w:rPr>
        <w:t>Občina Lovrenc na Pohorju</w:t>
      </w:r>
    </w:p>
    <w:p w14:paraId="3D584ADA" w14:textId="77777777" w:rsidR="00020DB4" w:rsidRPr="008553FC" w:rsidRDefault="00020DB4" w:rsidP="00020DB4">
      <w:pPr>
        <w:autoSpaceDE w:val="0"/>
        <w:autoSpaceDN w:val="0"/>
        <w:adjustRightInd w:val="0"/>
        <w:spacing w:after="0" w:line="240" w:lineRule="auto"/>
        <w:jc w:val="center"/>
        <w:rPr>
          <w:rFonts w:asciiTheme="minorHAnsi" w:hAnsiTheme="minorHAnsi" w:cs="Times New Roman"/>
          <w:b/>
          <w:color w:val="000000" w:themeColor="text1"/>
          <w:sz w:val="23"/>
          <w:szCs w:val="23"/>
        </w:rPr>
      </w:pPr>
      <w:r w:rsidRPr="008553FC">
        <w:rPr>
          <w:rFonts w:asciiTheme="minorHAnsi" w:hAnsiTheme="minorHAnsi" w:cs="Times New Roman"/>
          <w:b/>
          <w:color w:val="000000" w:themeColor="text1"/>
          <w:sz w:val="23"/>
          <w:szCs w:val="23"/>
        </w:rPr>
        <w:t>Župan</w:t>
      </w:r>
    </w:p>
    <w:p w14:paraId="7F3C7006" w14:textId="3F57D367" w:rsidR="00020DB4" w:rsidRPr="00591178" w:rsidRDefault="008553FC" w:rsidP="00020DB4">
      <w:pPr>
        <w:autoSpaceDE w:val="0"/>
        <w:autoSpaceDN w:val="0"/>
        <w:adjustRightInd w:val="0"/>
        <w:spacing w:after="0" w:line="240" w:lineRule="auto"/>
        <w:jc w:val="center"/>
        <w:rPr>
          <w:rFonts w:asciiTheme="minorHAnsi" w:hAnsiTheme="minorHAnsi" w:cs="Times New Roman"/>
          <w:b/>
          <w:color w:val="000000" w:themeColor="text1"/>
          <w:sz w:val="23"/>
          <w:szCs w:val="23"/>
        </w:rPr>
      </w:pPr>
      <w:r>
        <w:rPr>
          <w:rFonts w:asciiTheme="minorHAnsi" w:hAnsiTheme="minorHAnsi" w:cs="Times New Roman"/>
          <w:b/>
          <w:color w:val="000000" w:themeColor="text1"/>
          <w:sz w:val="23"/>
          <w:szCs w:val="23"/>
        </w:rPr>
        <w:t>Marko RAKOVNIK</w:t>
      </w:r>
      <w:r w:rsidR="002716E6">
        <w:rPr>
          <w:rFonts w:asciiTheme="minorHAnsi" w:hAnsiTheme="minorHAnsi" w:cs="Times New Roman"/>
          <w:b/>
          <w:color w:val="000000" w:themeColor="text1"/>
          <w:sz w:val="23"/>
          <w:szCs w:val="23"/>
        </w:rPr>
        <w:t>, prof.</w:t>
      </w:r>
    </w:p>
    <w:p w14:paraId="4CA2866C" w14:textId="77777777" w:rsidR="00020DB4" w:rsidRPr="00591178" w:rsidRDefault="00020DB4" w:rsidP="00020DB4">
      <w:pPr>
        <w:rPr>
          <w:rFonts w:asciiTheme="minorHAnsi" w:hAnsiTheme="minorHAnsi"/>
          <w:color w:val="000000" w:themeColor="text1"/>
        </w:rPr>
      </w:pPr>
    </w:p>
    <w:p w14:paraId="120BBAF9" w14:textId="77777777" w:rsidR="00020DB4" w:rsidRPr="00591178" w:rsidRDefault="00020DB4" w:rsidP="00BB18C5">
      <w:pPr>
        <w:autoSpaceDE w:val="0"/>
        <w:autoSpaceDN w:val="0"/>
        <w:adjustRightInd w:val="0"/>
        <w:spacing w:before="120" w:after="0" w:line="240" w:lineRule="auto"/>
        <w:rPr>
          <w:rFonts w:asciiTheme="minorHAnsi" w:hAnsiTheme="minorHAnsi" w:cs="Times New Roman"/>
          <w:color w:val="000000"/>
          <w:sz w:val="23"/>
          <w:szCs w:val="23"/>
        </w:rPr>
      </w:pPr>
    </w:p>
    <w:p w14:paraId="67109ED9" w14:textId="77777777" w:rsidR="00020DB4" w:rsidRPr="00591178" w:rsidRDefault="00020DB4" w:rsidP="00BB18C5">
      <w:pPr>
        <w:autoSpaceDE w:val="0"/>
        <w:autoSpaceDN w:val="0"/>
        <w:adjustRightInd w:val="0"/>
        <w:spacing w:before="120" w:after="0" w:line="240" w:lineRule="auto"/>
        <w:rPr>
          <w:rFonts w:asciiTheme="minorHAnsi" w:hAnsiTheme="minorHAnsi" w:cs="Times New Roman"/>
          <w:color w:val="000000"/>
          <w:sz w:val="23"/>
          <w:szCs w:val="23"/>
        </w:rPr>
      </w:pPr>
    </w:p>
    <w:p w14:paraId="37F514A7" w14:textId="77777777" w:rsidR="00C6322C" w:rsidRDefault="004A4A6A" w:rsidP="00C6322C">
      <w:pPr>
        <w:pStyle w:val="Default"/>
        <w:spacing w:after="240"/>
        <w:jc w:val="center"/>
        <w:rPr>
          <w:rFonts w:asciiTheme="majorHAnsi" w:hAnsiTheme="majorHAnsi"/>
          <w:sz w:val="23"/>
          <w:szCs w:val="23"/>
        </w:rPr>
      </w:pPr>
      <w:r w:rsidRPr="00591178">
        <w:rPr>
          <w:rFonts w:asciiTheme="minorHAnsi" w:hAnsiTheme="minorHAnsi"/>
          <w:b/>
          <w:bCs/>
          <w:sz w:val="23"/>
          <w:szCs w:val="23"/>
        </w:rPr>
        <w:br w:type="page"/>
      </w:r>
      <w:r w:rsidR="00C6322C">
        <w:rPr>
          <w:rFonts w:asciiTheme="majorHAnsi" w:hAnsiTheme="majorHAnsi"/>
          <w:b/>
          <w:bCs/>
          <w:sz w:val="23"/>
          <w:szCs w:val="23"/>
        </w:rPr>
        <w:lastRenderedPageBreak/>
        <w:t>O b r a z l o ž i t e v:</w:t>
      </w:r>
    </w:p>
    <w:p w14:paraId="50260F4D" w14:textId="72A790CF" w:rsidR="00C6322C" w:rsidRPr="00077C40" w:rsidRDefault="00C6322C" w:rsidP="00C6322C">
      <w:pPr>
        <w:pStyle w:val="Default"/>
        <w:jc w:val="both"/>
        <w:rPr>
          <w:rFonts w:asciiTheme="minorHAnsi" w:hAnsiTheme="minorHAnsi"/>
          <w:sz w:val="23"/>
          <w:szCs w:val="23"/>
        </w:rPr>
      </w:pPr>
      <w:r w:rsidRPr="00077C40">
        <w:rPr>
          <w:rFonts w:asciiTheme="minorHAnsi" w:hAnsiTheme="minorHAnsi"/>
          <w:sz w:val="23"/>
          <w:szCs w:val="23"/>
        </w:rPr>
        <w:t xml:space="preserve">Uredba o metodologiji za oblikovanje cen storitev obveznih občinskih gospodarskih javnih služb varstva okolja </w:t>
      </w:r>
      <w:r w:rsidR="00CD1586">
        <w:rPr>
          <w:rFonts w:asciiTheme="minorHAnsi" w:hAnsiTheme="minorHAnsi"/>
          <w:sz w:val="23"/>
          <w:szCs w:val="23"/>
        </w:rPr>
        <w:t xml:space="preserve">– MEDO </w:t>
      </w:r>
      <w:r w:rsidRPr="00077C40">
        <w:rPr>
          <w:rFonts w:asciiTheme="minorHAnsi" w:hAnsiTheme="minorHAnsi"/>
          <w:sz w:val="23"/>
          <w:szCs w:val="23"/>
        </w:rPr>
        <w:t>(Uradni list RS, št. 87/2012, 109/2012) omogoča lokalnim skupnostim, da subvencionirajo ceno storitve javne službe za gospodinjstva oziroma za tiste uporabnike, ki ne opravljajo pridobitne dejavnosti</w:t>
      </w:r>
      <w:r w:rsidR="00E749C4" w:rsidRPr="00077C40">
        <w:rPr>
          <w:rFonts w:asciiTheme="minorHAnsi" w:hAnsiTheme="minorHAnsi"/>
          <w:sz w:val="23"/>
          <w:szCs w:val="23"/>
        </w:rPr>
        <w:t>.</w:t>
      </w:r>
      <w:r w:rsidRPr="00077C40">
        <w:rPr>
          <w:rFonts w:asciiTheme="minorHAnsi" w:hAnsiTheme="minorHAnsi"/>
          <w:sz w:val="23"/>
          <w:szCs w:val="23"/>
        </w:rPr>
        <w:t xml:space="preserve"> </w:t>
      </w:r>
      <w:r w:rsidR="00B7731F" w:rsidRPr="00077C40">
        <w:rPr>
          <w:rFonts w:asciiTheme="minorHAnsi" w:hAnsiTheme="minorHAnsi"/>
          <w:sz w:val="23"/>
          <w:szCs w:val="23"/>
        </w:rPr>
        <w:t>Po 10. točki 2. člena Uredbe MEDO je potrjena cena sestavljena iz omrežnine ali cene javne infrastrukture ter cene, ki se nanaša na opravljanje storitev javne službe in jo potrdi pristojni organ občine. Po 11. točki tega istega člena je zaračunana cena storitve javne službe potrjena cena, zmanjšana za morebitno subvencijo in jo plača uporabnik.</w:t>
      </w:r>
    </w:p>
    <w:p w14:paraId="5F25E57F" w14:textId="77777777" w:rsidR="00C6322C" w:rsidRPr="00077C40" w:rsidRDefault="00C6322C" w:rsidP="00C6322C">
      <w:pPr>
        <w:pStyle w:val="Default"/>
        <w:jc w:val="both"/>
        <w:rPr>
          <w:rFonts w:asciiTheme="minorHAnsi" w:hAnsiTheme="minorHAnsi"/>
          <w:sz w:val="23"/>
          <w:szCs w:val="23"/>
        </w:rPr>
      </w:pPr>
    </w:p>
    <w:p w14:paraId="4BE221E3" w14:textId="47099CF6" w:rsidR="00C6322C" w:rsidRPr="00077C40" w:rsidRDefault="00C6322C" w:rsidP="00C6322C">
      <w:pPr>
        <w:pStyle w:val="Default"/>
        <w:jc w:val="both"/>
        <w:rPr>
          <w:rFonts w:asciiTheme="minorHAnsi" w:hAnsiTheme="minorHAnsi"/>
          <w:sz w:val="23"/>
          <w:szCs w:val="23"/>
        </w:rPr>
      </w:pPr>
      <w:r w:rsidRPr="00077C40">
        <w:rPr>
          <w:rFonts w:asciiTheme="minorHAnsi" w:hAnsiTheme="minorHAnsi"/>
          <w:sz w:val="23"/>
          <w:szCs w:val="23"/>
        </w:rPr>
        <w:t xml:space="preserve">3. člen Uredbe glede obračuna najemnine za javno infrastrukturo določa, da občina za opravljanje javne službe izvajalcem obračunava najemnino za vso javno infrastrukturo, ki je potrebna za opravljanje posamezne javne službe in jo ima občina v lasti ali finančnem najemu, najmanj v višini obračunane amortizacije za vso javno infrastrukturo, ki je potrebna za opravljanje posamezne javne službe. Če se ob potrditvi cene pristojni občinski organ odloči, da potrjena cena storitve javne službe ne pokriva celotne najemnine iz prejšnjega odstavka, mora za razliko občina oblikovati subvencijo iz proračuna občine. Občina lahko prizna subvencijo iz prejšnjega odstavka v izračunu cen storitev javnih služb za uporabnike, ki so gospodinjstva ali izvajalci nepridobitnih dejavnosti. 5. člen Uredbe nadalje določa, da občina določi potrjeno ceno posamezne javne službe in morebitno subvencijo, izvajalec pa oblikuje in na svojih spletnih straneh ter na krajevno običajen način objavi cenik s potrjeno ceno, znižano za morebitno subvencijo. </w:t>
      </w:r>
    </w:p>
    <w:p w14:paraId="03AAD41C" w14:textId="77777777" w:rsidR="004A4A6A" w:rsidRPr="00077C40" w:rsidRDefault="004A4A6A">
      <w:pPr>
        <w:rPr>
          <w:rFonts w:asciiTheme="minorHAnsi" w:hAnsiTheme="minorHAnsi" w:cs="Times New Roman"/>
          <w:b/>
          <w:bCs/>
          <w:color w:val="000000"/>
          <w:sz w:val="23"/>
          <w:szCs w:val="23"/>
        </w:rPr>
      </w:pPr>
    </w:p>
    <w:sectPr w:rsidR="004A4A6A" w:rsidRPr="00077C40" w:rsidSect="00F80C1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72DB"/>
    <w:multiLevelType w:val="hybridMultilevel"/>
    <w:tmpl w:val="F2E617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4C7756"/>
    <w:multiLevelType w:val="hybridMultilevel"/>
    <w:tmpl w:val="B2285E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A8D"/>
    <w:rsid w:val="00015F76"/>
    <w:rsid w:val="00020DB4"/>
    <w:rsid w:val="00021A30"/>
    <w:rsid w:val="00030EC1"/>
    <w:rsid w:val="00071AE8"/>
    <w:rsid w:val="00077C40"/>
    <w:rsid w:val="00077EFC"/>
    <w:rsid w:val="000B1A60"/>
    <w:rsid w:val="000C6C99"/>
    <w:rsid w:val="000E24B7"/>
    <w:rsid w:val="000F2C04"/>
    <w:rsid w:val="000F2E65"/>
    <w:rsid w:val="00115D56"/>
    <w:rsid w:val="00121B9C"/>
    <w:rsid w:val="001426BC"/>
    <w:rsid w:val="0015343D"/>
    <w:rsid w:val="00153D9E"/>
    <w:rsid w:val="001679EC"/>
    <w:rsid w:val="0017425E"/>
    <w:rsid w:val="001B2C8D"/>
    <w:rsid w:val="001C7C96"/>
    <w:rsid w:val="001D4B51"/>
    <w:rsid w:val="001F50AB"/>
    <w:rsid w:val="00200137"/>
    <w:rsid w:val="00203B99"/>
    <w:rsid w:val="002716E6"/>
    <w:rsid w:val="00284CB7"/>
    <w:rsid w:val="002A65C8"/>
    <w:rsid w:val="002C2440"/>
    <w:rsid w:val="002E4D1D"/>
    <w:rsid w:val="002F2136"/>
    <w:rsid w:val="002F45EF"/>
    <w:rsid w:val="002F4E7E"/>
    <w:rsid w:val="002F6442"/>
    <w:rsid w:val="003063F5"/>
    <w:rsid w:val="003118CD"/>
    <w:rsid w:val="00314EA6"/>
    <w:rsid w:val="00320A50"/>
    <w:rsid w:val="0032299E"/>
    <w:rsid w:val="00345B52"/>
    <w:rsid w:val="00376762"/>
    <w:rsid w:val="00376C60"/>
    <w:rsid w:val="003A08D3"/>
    <w:rsid w:val="003E436E"/>
    <w:rsid w:val="004277BF"/>
    <w:rsid w:val="004650FF"/>
    <w:rsid w:val="004959C3"/>
    <w:rsid w:val="004A4A6A"/>
    <w:rsid w:val="0050675D"/>
    <w:rsid w:val="00514FD0"/>
    <w:rsid w:val="00517D9B"/>
    <w:rsid w:val="00524120"/>
    <w:rsid w:val="00542E13"/>
    <w:rsid w:val="00553C32"/>
    <w:rsid w:val="00563A64"/>
    <w:rsid w:val="00580CB5"/>
    <w:rsid w:val="00591178"/>
    <w:rsid w:val="005B19B8"/>
    <w:rsid w:val="005B6438"/>
    <w:rsid w:val="005D30A0"/>
    <w:rsid w:val="005E798A"/>
    <w:rsid w:val="00604BE1"/>
    <w:rsid w:val="00664E27"/>
    <w:rsid w:val="006877AC"/>
    <w:rsid w:val="006A3BC2"/>
    <w:rsid w:val="006B7D91"/>
    <w:rsid w:val="006C6200"/>
    <w:rsid w:val="006D44D4"/>
    <w:rsid w:val="006F78AE"/>
    <w:rsid w:val="00700C98"/>
    <w:rsid w:val="00703995"/>
    <w:rsid w:val="007057D6"/>
    <w:rsid w:val="0071017A"/>
    <w:rsid w:val="00711B0A"/>
    <w:rsid w:val="00715056"/>
    <w:rsid w:val="007153B6"/>
    <w:rsid w:val="007366CD"/>
    <w:rsid w:val="00743292"/>
    <w:rsid w:val="007471A7"/>
    <w:rsid w:val="00772562"/>
    <w:rsid w:val="00793056"/>
    <w:rsid w:val="0079318B"/>
    <w:rsid w:val="00793ACC"/>
    <w:rsid w:val="007B11EF"/>
    <w:rsid w:val="007B701B"/>
    <w:rsid w:val="007D06E7"/>
    <w:rsid w:val="00801326"/>
    <w:rsid w:val="00813809"/>
    <w:rsid w:val="008245D7"/>
    <w:rsid w:val="008553FC"/>
    <w:rsid w:val="00863067"/>
    <w:rsid w:val="008674AB"/>
    <w:rsid w:val="00875057"/>
    <w:rsid w:val="008C2A07"/>
    <w:rsid w:val="00901A8D"/>
    <w:rsid w:val="00903E0A"/>
    <w:rsid w:val="00906C2B"/>
    <w:rsid w:val="00907177"/>
    <w:rsid w:val="00926D9C"/>
    <w:rsid w:val="0093393C"/>
    <w:rsid w:val="00943F6B"/>
    <w:rsid w:val="0095436E"/>
    <w:rsid w:val="0099616D"/>
    <w:rsid w:val="00997511"/>
    <w:rsid w:val="00A65A62"/>
    <w:rsid w:val="00A6774F"/>
    <w:rsid w:val="00A74557"/>
    <w:rsid w:val="00A775E7"/>
    <w:rsid w:val="00A86CDD"/>
    <w:rsid w:val="00A91D55"/>
    <w:rsid w:val="00A93B09"/>
    <w:rsid w:val="00AB60A2"/>
    <w:rsid w:val="00AE18BA"/>
    <w:rsid w:val="00AF5F73"/>
    <w:rsid w:val="00B008D6"/>
    <w:rsid w:val="00B45CAC"/>
    <w:rsid w:val="00B52ADF"/>
    <w:rsid w:val="00B7731F"/>
    <w:rsid w:val="00B831FE"/>
    <w:rsid w:val="00BB16F5"/>
    <w:rsid w:val="00BB18C5"/>
    <w:rsid w:val="00BE179A"/>
    <w:rsid w:val="00BE21BD"/>
    <w:rsid w:val="00C11CFB"/>
    <w:rsid w:val="00C24D13"/>
    <w:rsid w:val="00C348A4"/>
    <w:rsid w:val="00C34EA8"/>
    <w:rsid w:val="00C55B01"/>
    <w:rsid w:val="00C6322C"/>
    <w:rsid w:val="00C6364B"/>
    <w:rsid w:val="00C64803"/>
    <w:rsid w:val="00C64EA0"/>
    <w:rsid w:val="00C71A7E"/>
    <w:rsid w:val="00C8667C"/>
    <w:rsid w:val="00CC2E0E"/>
    <w:rsid w:val="00CD1586"/>
    <w:rsid w:val="00CE45BC"/>
    <w:rsid w:val="00CE4B00"/>
    <w:rsid w:val="00CF1F93"/>
    <w:rsid w:val="00D15A0C"/>
    <w:rsid w:val="00D273C2"/>
    <w:rsid w:val="00D362FA"/>
    <w:rsid w:val="00D6017E"/>
    <w:rsid w:val="00D619A6"/>
    <w:rsid w:val="00D72378"/>
    <w:rsid w:val="00D9420F"/>
    <w:rsid w:val="00DA5E35"/>
    <w:rsid w:val="00DB4EB8"/>
    <w:rsid w:val="00DB6411"/>
    <w:rsid w:val="00DE5ADF"/>
    <w:rsid w:val="00DE5EDC"/>
    <w:rsid w:val="00E1217B"/>
    <w:rsid w:val="00E521D2"/>
    <w:rsid w:val="00E65EC0"/>
    <w:rsid w:val="00E749C4"/>
    <w:rsid w:val="00E94822"/>
    <w:rsid w:val="00EC32FD"/>
    <w:rsid w:val="00EF03AB"/>
    <w:rsid w:val="00F001B4"/>
    <w:rsid w:val="00F11ED6"/>
    <w:rsid w:val="00F228BC"/>
    <w:rsid w:val="00F66BF2"/>
    <w:rsid w:val="00F728EF"/>
    <w:rsid w:val="00F80C13"/>
    <w:rsid w:val="00F9773A"/>
    <w:rsid w:val="00FA2154"/>
    <w:rsid w:val="00FB6AD5"/>
    <w:rsid w:val="00FD07A3"/>
    <w:rsid w:val="00FD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73C9"/>
  <w15:docId w15:val="{4BB4AAE3-4F1F-4132-B506-E0B98BB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01A8D"/>
    <w:pPr>
      <w:autoSpaceDE w:val="0"/>
      <w:autoSpaceDN w:val="0"/>
      <w:adjustRightInd w:val="0"/>
      <w:spacing w:after="0" w:line="240" w:lineRule="auto"/>
    </w:pPr>
    <w:rPr>
      <w:rFonts w:ascii="Times New Roman" w:hAnsi="Times New Roman" w:cs="Times New Roman"/>
      <w:color w:val="000000"/>
    </w:rPr>
  </w:style>
  <w:style w:type="table" w:styleId="Tabelamrea">
    <w:name w:val="Table Grid"/>
    <w:basedOn w:val="Navadnatabela"/>
    <w:uiPriority w:val="59"/>
    <w:rsid w:val="00FB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1D55"/>
    <w:pPr>
      <w:ind w:left="720"/>
      <w:contextualSpacing/>
    </w:pPr>
  </w:style>
  <w:style w:type="character" w:styleId="Pripombasklic">
    <w:name w:val="annotation reference"/>
    <w:basedOn w:val="Privzetapisavaodstavka"/>
    <w:uiPriority w:val="99"/>
    <w:semiHidden/>
    <w:unhideWhenUsed/>
    <w:rsid w:val="00FD07A3"/>
    <w:rPr>
      <w:sz w:val="16"/>
      <w:szCs w:val="16"/>
    </w:rPr>
  </w:style>
  <w:style w:type="paragraph" w:styleId="Pripombabesedilo">
    <w:name w:val="annotation text"/>
    <w:basedOn w:val="Navaden"/>
    <w:link w:val="PripombabesediloZnak"/>
    <w:uiPriority w:val="99"/>
    <w:semiHidden/>
    <w:unhideWhenUsed/>
    <w:rsid w:val="00FD07A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D07A3"/>
    <w:rPr>
      <w:sz w:val="20"/>
      <w:szCs w:val="20"/>
    </w:rPr>
  </w:style>
  <w:style w:type="paragraph" w:styleId="Zadevapripombe">
    <w:name w:val="annotation subject"/>
    <w:basedOn w:val="Pripombabesedilo"/>
    <w:next w:val="Pripombabesedilo"/>
    <w:link w:val="ZadevapripombeZnak"/>
    <w:uiPriority w:val="99"/>
    <w:semiHidden/>
    <w:unhideWhenUsed/>
    <w:rsid w:val="00FD07A3"/>
    <w:rPr>
      <w:b/>
      <w:bCs/>
    </w:rPr>
  </w:style>
  <w:style w:type="character" w:customStyle="1" w:styleId="ZadevapripombeZnak">
    <w:name w:val="Zadeva pripombe Znak"/>
    <w:basedOn w:val="PripombabesediloZnak"/>
    <w:link w:val="Zadevapripombe"/>
    <w:uiPriority w:val="99"/>
    <w:semiHidden/>
    <w:rsid w:val="00FD07A3"/>
    <w:rPr>
      <w:b/>
      <w:bCs/>
      <w:sz w:val="20"/>
      <w:szCs w:val="20"/>
    </w:rPr>
  </w:style>
  <w:style w:type="paragraph" w:styleId="Besedilooblaka">
    <w:name w:val="Balloon Text"/>
    <w:basedOn w:val="Navaden"/>
    <w:link w:val="BesedilooblakaZnak"/>
    <w:uiPriority w:val="99"/>
    <w:semiHidden/>
    <w:unhideWhenUsed/>
    <w:rsid w:val="00FD07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0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632">
      <w:bodyDiv w:val="1"/>
      <w:marLeft w:val="0"/>
      <w:marRight w:val="0"/>
      <w:marTop w:val="0"/>
      <w:marBottom w:val="0"/>
      <w:divBdr>
        <w:top w:val="none" w:sz="0" w:space="0" w:color="auto"/>
        <w:left w:val="none" w:sz="0" w:space="0" w:color="auto"/>
        <w:bottom w:val="none" w:sz="0" w:space="0" w:color="auto"/>
        <w:right w:val="none" w:sz="0" w:space="0" w:color="auto"/>
      </w:divBdr>
    </w:div>
    <w:div w:id="350958346">
      <w:bodyDiv w:val="1"/>
      <w:marLeft w:val="0"/>
      <w:marRight w:val="0"/>
      <w:marTop w:val="0"/>
      <w:marBottom w:val="0"/>
      <w:divBdr>
        <w:top w:val="none" w:sz="0" w:space="0" w:color="auto"/>
        <w:left w:val="none" w:sz="0" w:space="0" w:color="auto"/>
        <w:bottom w:val="none" w:sz="0" w:space="0" w:color="auto"/>
        <w:right w:val="none" w:sz="0" w:space="0" w:color="auto"/>
      </w:divBdr>
    </w:div>
    <w:div w:id="489642168">
      <w:bodyDiv w:val="1"/>
      <w:marLeft w:val="0"/>
      <w:marRight w:val="0"/>
      <w:marTop w:val="0"/>
      <w:marBottom w:val="0"/>
      <w:divBdr>
        <w:top w:val="none" w:sz="0" w:space="0" w:color="auto"/>
        <w:left w:val="none" w:sz="0" w:space="0" w:color="auto"/>
        <w:bottom w:val="none" w:sz="0" w:space="0" w:color="auto"/>
        <w:right w:val="none" w:sz="0" w:space="0" w:color="auto"/>
      </w:divBdr>
    </w:div>
    <w:div w:id="567153634">
      <w:bodyDiv w:val="1"/>
      <w:marLeft w:val="0"/>
      <w:marRight w:val="0"/>
      <w:marTop w:val="0"/>
      <w:marBottom w:val="0"/>
      <w:divBdr>
        <w:top w:val="none" w:sz="0" w:space="0" w:color="auto"/>
        <w:left w:val="none" w:sz="0" w:space="0" w:color="auto"/>
        <w:bottom w:val="none" w:sz="0" w:space="0" w:color="auto"/>
        <w:right w:val="none" w:sz="0" w:space="0" w:color="auto"/>
      </w:divBdr>
    </w:div>
    <w:div w:id="930431351">
      <w:bodyDiv w:val="1"/>
      <w:marLeft w:val="0"/>
      <w:marRight w:val="0"/>
      <w:marTop w:val="0"/>
      <w:marBottom w:val="0"/>
      <w:divBdr>
        <w:top w:val="none" w:sz="0" w:space="0" w:color="auto"/>
        <w:left w:val="none" w:sz="0" w:space="0" w:color="auto"/>
        <w:bottom w:val="none" w:sz="0" w:space="0" w:color="auto"/>
        <w:right w:val="none" w:sz="0" w:space="0" w:color="auto"/>
      </w:divBdr>
    </w:div>
    <w:div w:id="1151558568">
      <w:bodyDiv w:val="1"/>
      <w:marLeft w:val="0"/>
      <w:marRight w:val="0"/>
      <w:marTop w:val="0"/>
      <w:marBottom w:val="0"/>
      <w:divBdr>
        <w:top w:val="none" w:sz="0" w:space="0" w:color="auto"/>
        <w:left w:val="none" w:sz="0" w:space="0" w:color="auto"/>
        <w:bottom w:val="none" w:sz="0" w:space="0" w:color="auto"/>
        <w:right w:val="none" w:sz="0" w:space="0" w:color="auto"/>
      </w:divBdr>
    </w:div>
    <w:div w:id="13520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4</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dc:creator>
  <cp:keywords/>
  <dc:description/>
  <cp:lastModifiedBy>Dušan Jakop</cp:lastModifiedBy>
  <cp:revision>2</cp:revision>
  <cp:lastPrinted>2018-12-13T11:24:00Z</cp:lastPrinted>
  <dcterms:created xsi:type="dcterms:W3CDTF">2018-12-17T07:32:00Z</dcterms:created>
  <dcterms:modified xsi:type="dcterms:W3CDTF">2018-12-17T07:32:00Z</dcterms:modified>
</cp:coreProperties>
</file>