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A379C" w14:textId="77777777" w:rsidR="002D18C2" w:rsidRPr="007552AF" w:rsidRDefault="002D18C2" w:rsidP="002D18C2">
      <w:pPr>
        <w:pStyle w:val="Naslov1"/>
        <w:rPr>
          <w:rFonts w:ascii="Tahoma" w:hAnsi="Tahoma" w:cs="Tahoma"/>
          <w:sz w:val="32"/>
          <w:szCs w:val="32"/>
        </w:rPr>
      </w:pPr>
      <w:r w:rsidRPr="007552AF">
        <w:rPr>
          <w:rFonts w:ascii="Tahoma" w:hAnsi="Tahoma" w:cs="Tahoma"/>
          <w:sz w:val="32"/>
          <w:szCs w:val="32"/>
        </w:rPr>
        <w:t>OBČINA PREVALJE</w:t>
      </w:r>
    </w:p>
    <w:p w14:paraId="742443BF" w14:textId="77777777" w:rsidR="002D18C2" w:rsidRPr="007552AF" w:rsidRDefault="002D18C2" w:rsidP="002D18C2">
      <w:pPr>
        <w:pStyle w:val="Naslov2"/>
        <w:rPr>
          <w:rFonts w:cs="Tahoma"/>
          <w:sz w:val="22"/>
          <w:szCs w:val="22"/>
        </w:rPr>
      </w:pPr>
      <w:r w:rsidRPr="007552AF">
        <w:rPr>
          <w:rFonts w:cs="Tahoma"/>
          <w:sz w:val="22"/>
          <w:szCs w:val="22"/>
        </w:rPr>
        <w:t xml:space="preserve">    Trg 2/a, 2391 Prevalje</w:t>
      </w:r>
    </w:p>
    <w:p w14:paraId="2E47DBB1" w14:textId="77777777" w:rsidR="002D18C2" w:rsidRPr="007552AF" w:rsidRDefault="002D18C2" w:rsidP="002D18C2">
      <w:pPr>
        <w:jc w:val="both"/>
        <w:rPr>
          <w:rFonts w:ascii="Tahoma" w:hAnsi="Tahoma" w:cs="Tahoma"/>
        </w:rPr>
      </w:pPr>
    </w:p>
    <w:p w14:paraId="15C3DEF5" w14:textId="705FB830" w:rsidR="00C37251" w:rsidRPr="00C37251" w:rsidRDefault="00C37251" w:rsidP="00C37251">
      <w:pPr>
        <w:jc w:val="both"/>
        <w:rPr>
          <w:rFonts w:ascii="Tahoma" w:hAnsi="Tahoma" w:cs="Tahoma"/>
          <w:sz w:val="20"/>
          <w:szCs w:val="20"/>
        </w:rPr>
      </w:pPr>
      <w:r w:rsidRPr="00C37251">
        <w:rPr>
          <w:rFonts w:ascii="Tahoma" w:hAnsi="Tahoma" w:cs="Tahoma"/>
          <w:sz w:val="20"/>
          <w:szCs w:val="20"/>
        </w:rPr>
        <w:t>Številka:</w:t>
      </w:r>
      <w:r w:rsidR="004B3F02">
        <w:rPr>
          <w:rFonts w:ascii="Tahoma" w:hAnsi="Tahoma" w:cs="Tahoma"/>
          <w:sz w:val="20"/>
          <w:szCs w:val="20"/>
        </w:rPr>
        <w:t xml:space="preserve"> 351-0020/2017</w:t>
      </w:r>
      <w:r w:rsidRPr="00C37251">
        <w:rPr>
          <w:rFonts w:ascii="Tahoma" w:hAnsi="Tahoma" w:cs="Tahoma"/>
          <w:sz w:val="20"/>
          <w:szCs w:val="20"/>
        </w:rPr>
        <w:t xml:space="preserve">  </w:t>
      </w:r>
    </w:p>
    <w:p w14:paraId="164D25B0" w14:textId="6126047A" w:rsidR="00C37251" w:rsidRPr="00C37251" w:rsidRDefault="00C37251" w:rsidP="00C37251">
      <w:pPr>
        <w:jc w:val="both"/>
        <w:rPr>
          <w:rFonts w:ascii="Tahoma" w:hAnsi="Tahoma" w:cs="Tahoma"/>
          <w:sz w:val="20"/>
          <w:szCs w:val="20"/>
        </w:rPr>
      </w:pPr>
      <w:r w:rsidRPr="00C37251">
        <w:rPr>
          <w:rFonts w:ascii="Tahoma" w:hAnsi="Tahoma" w:cs="Tahoma"/>
          <w:sz w:val="20"/>
          <w:szCs w:val="20"/>
        </w:rPr>
        <w:t xml:space="preserve">Datum:  </w:t>
      </w:r>
      <w:r w:rsidR="004B3F02">
        <w:rPr>
          <w:rFonts w:ascii="Tahoma" w:hAnsi="Tahoma" w:cs="Tahoma"/>
          <w:sz w:val="20"/>
          <w:szCs w:val="20"/>
        </w:rPr>
        <w:t>09.09.2020</w:t>
      </w:r>
    </w:p>
    <w:p w14:paraId="28AB8BC2" w14:textId="77777777" w:rsidR="002D18C2" w:rsidRPr="00C37251" w:rsidRDefault="002D18C2" w:rsidP="002D18C2">
      <w:pPr>
        <w:jc w:val="both"/>
        <w:rPr>
          <w:rFonts w:ascii="Tahoma" w:hAnsi="Tahoma" w:cs="Tahoma"/>
          <w:sz w:val="22"/>
          <w:szCs w:val="22"/>
        </w:rPr>
      </w:pPr>
    </w:p>
    <w:p w14:paraId="581D5B81" w14:textId="77777777" w:rsidR="002D18C2" w:rsidRPr="00C37251" w:rsidRDefault="002D18C2" w:rsidP="002D18C2">
      <w:pPr>
        <w:jc w:val="both"/>
        <w:rPr>
          <w:rFonts w:ascii="Tahoma" w:hAnsi="Tahoma" w:cs="Tahoma"/>
          <w:sz w:val="22"/>
          <w:szCs w:val="22"/>
        </w:rPr>
      </w:pPr>
    </w:p>
    <w:tbl>
      <w:tblPr>
        <w:tblW w:w="9100" w:type="dxa"/>
        <w:tblLayout w:type="fixed"/>
        <w:tblCellMar>
          <w:left w:w="70" w:type="dxa"/>
          <w:right w:w="70" w:type="dxa"/>
        </w:tblCellMar>
        <w:tblLook w:val="0000" w:firstRow="0" w:lastRow="0" w:firstColumn="0" w:lastColumn="0" w:noHBand="0" w:noVBand="0"/>
      </w:tblPr>
      <w:tblGrid>
        <w:gridCol w:w="3700"/>
        <w:gridCol w:w="5400"/>
      </w:tblGrid>
      <w:tr w:rsidR="002D18C2" w:rsidRPr="004F0EA4" w14:paraId="3DBC5963" w14:textId="77777777" w:rsidTr="005842B6">
        <w:tc>
          <w:tcPr>
            <w:tcW w:w="3700" w:type="dxa"/>
          </w:tcPr>
          <w:p w14:paraId="794C4F62" w14:textId="77777777" w:rsidR="002D18C2" w:rsidRPr="00C37251" w:rsidRDefault="002D18C2" w:rsidP="005842B6">
            <w:pPr>
              <w:jc w:val="both"/>
              <w:rPr>
                <w:rFonts w:ascii="Tahoma" w:hAnsi="Tahoma" w:cs="Tahoma"/>
                <w:b/>
                <w:sz w:val="22"/>
                <w:szCs w:val="22"/>
              </w:rPr>
            </w:pPr>
            <w:r w:rsidRPr="00C37251">
              <w:rPr>
                <w:rFonts w:ascii="Tahoma" w:hAnsi="Tahoma" w:cs="Tahoma"/>
                <w:b/>
                <w:sz w:val="22"/>
                <w:szCs w:val="22"/>
              </w:rPr>
              <w:t>Naslov:</w:t>
            </w:r>
          </w:p>
        </w:tc>
        <w:tc>
          <w:tcPr>
            <w:tcW w:w="5400" w:type="dxa"/>
          </w:tcPr>
          <w:p w14:paraId="1A9ABFCA" w14:textId="480430E2" w:rsidR="00307A31" w:rsidRPr="00C37251" w:rsidRDefault="00C37251" w:rsidP="004B3F02">
            <w:pPr>
              <w:jc w:val="both"/>
              <w:rPr>
                <w:rFonts w:ascii="Tahoma" w:hAnsi="Tahoma" w:cs="Tahoma"/>
                <w:b/>
                <w:sz w:val="22"/>
                <w:szCs w:val="22"/>
              </w:rPr>
            </w:pPr>
            <w:r w:rsidRPr="00C37251">
              <w:rPr>
                <w:rFonts w:ascii="Tahoma" w:hAnsi="Tahoma" w:cs="Tahoma"/>
                <w:b/>
                <w:sz w:val="22"/>
                <w:szCs w:val="22"/>
              </w:rPr>
              <w:t xml:space="preserve">Dokument identifikacije investicijskega </w:t>
            </w:r>
            <w:r w:rsidR="004F0EA4">
              <w:rPr>
                <w:rFonts w:ascii="Tahoma" w:hAnsi="Tahoma" w:cs="Tahoma"/>
                <w:b/>
                <w:sz w:val="22"/>
                <w:szCs w:val="22"/>
              </w:rPr>
              <w:t>projekta</w:t>
            </w:r>
            <w:r w:rsidRPr="00C37251">
              <w:rPr>
                <w:rFonts w:ascii="Tahoma" w:hAnsi="Tahoma" w:cs="Tahoma"/>
                <w:b/>
                <w:sz w:val="22"/>
                <w:szCs w:val="22"/>
              </w:rPr>
              <w:t xml:space="preserve"> – DIIP</w:t>
            </w:r>
            <w:r w:rsidR="00307A31">
              <w:rPr>
                <w:rFonts w:ascii="Tahoma" w:hAnsi="Tahoma" w:cs="Tahoma"/>
                <w:b/>
                <w:sz w:val="22"/>
                <w:szCs w:val="22"/>
              </w:rPr>
              <w:t xml:space="preserve"> </w:t>
            </w:r>
            <w:r w:rsidR="004F0EA4" w:rsidRPr="004F0EA4">
              <w:rPr>
                <w:rFonts w:ascii="Tahoma" w:hAnsi="Tahoma" w:cs="Tahoma"/>
                <w:b/>
                <w:sz w:val="22"/>
                <w:szCs w:val="22"/>
              </w:rPr>
              <w:t>za projekt</w:t>
            </w:r>
            <w:r w:rsidR="004B3F02">
              <w:rPr>
                <w:rFonts w:ascii="Tahoma" w:hAnsi="Tahoma" w:cs="Tahoma"/>
                <w:b/>
                <w:sz w:val="22"/>
                <w:szCs w:val="22"/>
              </w:rPr>
              <w:t>:</w:t>
            </w:r>
            <w:r w:rsidR="004F0EA4" w:rsidRPr="004F0EA4">
              <w:rPr>
                <w:rFonts w:ascii="Tahoma" w:hAnsi="Tahoma" w:cs="Tahoma"/>
                <w:b/>
                <w:sz w:val="22"/>
                <w:szCs w:val="22"/>
              </w:rPr>
              <w:t xml:space="preserve"> </w:t>
            </w:r>
            <w:r w:rsidR="004B3F02" w:rsidRPr="004B3F02">
              <w:rPr>
                <w:rFonts w:ascii="Tahoma" w:hAnsi="Tahoma" w:cs="Tahoma"/>
                <w:b/>
                <w:sz w:val="22"/>
                <w:szCs w:val="22"/>
              </w:rPr>
              <w:t xml:space="preserve">Izgradnja </w:t>
            </w:r>
            <w:r w:rsidR="004B3F02">
              <w:rPr>
                <w:rFonts w:ascii="Tahoma" w:hAnsi="Tahoma" w:cs="Tahoma"/>
                <w:b/>
                <w:sz w:val="22"/>
                <w:szCs w:val="22"/>
              </w:rPr>
              <w:t>Športnega kompleksa »</w:t>
            </w:r>
            <w:r w:rsidR="004B3F02" w:rsidRPr="004B3F02">
              <w:rPr>
                <w:rFonts w:ascii="Tahoma" w:hAnsi="Tahoma" w:cs="Tahoma"/>
                <w:b/>
                <w:sz w:val="22"/>
                <w:szCs w:val="22"/>
              </w:rPr>
              <w:t xml:space="preserve">Koroški plezalni </w:t>
            </w:r>
            <w:r w:rsidR="004B3F02">
              <w:rPr>
                <w:rFonts w:ascii="Tahoma" w:hAnsi="Tahoma" w:cs="Tahoma"/>
                <w:b/>
                <w:sz w:val="22"/>
                <w:szCs w:val="22"/>
              </w:rPr>
              <w:t xml:space="preserve">center in park </w:t>
            </w:r>
            <w:r w:rsidR="004B3F02" w:rsidRPr="004B3F02">
              <w:rPr>
                <w:rFonts w:ascii="Tahoma" w:hAnsi="Tahoma" w:cs="Tahoma"/>
                <w:b/>
                <w:sz w:val="22"/>
                <w:szCs w:val="22"/>
              </w:rPr>
              <w:t>Jezero</w:t>
            </w:r>
            <w:r w:rsidR="004B3F02">
              <w:rPr>
                <w:rFonts w:ascii="Tahoma" w:hAnsi="Tahoma" w:cs="Tahoma"/>
                <w:b/>
                <w:sz w:val="22"/>
                <w:szCs w:val="22"/>
              </w:rPr>
              <w:t>«</w:t>
            </w:r>
          </w:p>
        </w:tc>
      </w:tr>
      <w:tr w:rsidR="004F0EA4" w:rsidRPr="00C37251" w14:paraId="0DBB1851" w14:textId="77777777" w:rsidTr="005842B6">
        <w:tc>
          <w:tcPr>
            <w:tcW w:w="3700" w:type="dxa"/>
          </w:tcPr>
          <w:p w14:paraId="6C9CA23F" w14:textId="77777777" w:rsidR="004F0EA4" w:rsidRPr="00C37251" w:rsidRDefault="004F0EA4" w:rsidP="005842B6">
            <w:pPr>
              <w:jc w:val="both"/>
              <w:rPr>
                <w:rFonts w:ascii="Tahoma" w:hAnsi="Tahoma" w:cs="Tahoma"/>
                <w:b/>
                <w:sz w:val="22"/>
                <w:szCs w:val="22"/>
              </w:rPr>
            </w:pPr>
          </w:p>
        </w:tc>
        <w:tc>
          <w:tcPr>
            <w:tcW w:w="5400" w:type="dxa"/>
          </w:tcPr>
          <w:p w14:paraId="50093ECD" w14:textId="77777777" w:rsidR="004F0EA4" w:rsidRPr="00C37251" w:rsidRDefault="004F0EA4" w:rsidP="004F0EA4">
            <w:pPr>
              <w:jc w:val="both"/>
              <w:rPr>
                <w:rFonts w:ascii="Tahoma" w:hAnsi="Tahoma" w:cs="Tahoma"/>
                <w:b/>
                <w:sz w:val="22"/>
                <w:szCs w:val="22"/>
              </w:rPr>
            </w:pPr>
          </w:p>
        </w:tc>
      </w:tr>
      <w:tr w:rsidR="00307A31" w:rsidRPr="00C37251" w14:paraId="4C1C9035" w14:textId="77777777" w:rsidTr="00307A31">
        <w:tc>
          <w:tcPr>
            <w:tcW w:w="3700" w:type="dxa"/>
          </w:tcPr>
          <w:p w14:paraId="7DBDFCDC" w14:textId="77777777" w:rsidR="00307A31" w:rsidRPr="00C37251" w:rsidRDefault="00307A31" w:rsidP="00501499">
            <w:pPr>
              <w:jc w:val="both"/>
              <w:rPr>
                <w:rFonts w:ascii="Tahoma" w:hAnsi="Tahoma" w:cs="Tahoma"/>
                <w:b/>
                <w:sz w:val="22"/>
                <w:szCs w:val="22"/>
              </w:rPr>
            </w:pPr>
            <w:r w:rsidRPr="00C37251">
              <w:rPr>
                <w:rFonts w:ascii="Tahoma" w:hAnsi="Tahoma" w:cs="Tahoma"/>
                <w:b/>
                <w:sz w:val="22"/>
                <w:szCs w:val="22"/>
              </w:rPr>
              <w:t>Predlagatelj:</w:t>
            </w:r>
          </w:p>
        </w:tc>
        <w:tc>
          <w:tcPr>
            <w:tcW w:w="5400" w:type="dxa"/>
          </w:tcPr>
          <w:p w14:paraId="7C9A7237" w14:textId="77777777" w:rsidR="00307A31" w:rsidRPr="00C37251" w:rsidRDefault="00307A31" w:rsidP="00501499">
            <w:pPr>
              <w:jc w:val="both"/>
              <w:rPr>
                <w:rFonts w:ascii="Tahoma" w:hAnsi="Tahoma" w:cs="Tahoma"/>
                <w:b/>
                <w:sz w:val="22"/>
                <w:szCs w:val="22"/>
              </w:rPr>
            </w:pPr>
            <w:r w:rsidRPr="00C37251">
              <w:rPr>
                <w:rFonts w:ascii="Tahoma" w:hAnsi="Tahoma" w:cs="Tahoma"/>
                <w:b/>
                <w:sz w:val="22"/>
                <w:szCs w:val="22"/>
              </w:rPr>
              <w:t>Župan Občine Prevalje</w:t>
            </w:r>
          </w:p>
        </w:tc>
      </w:tr>
    </w:tbl>
    <w:p w14:paraId="7ED50E34" w14:textId="77777777" w:rsidR="002D18C2" w:rsidRPr="00C37251" w:rsidRDefault="002D18C2" w:rsidP="002D18C2">
      <w:pPr>
        <w:jc w:val="both"/>
        <w:rPr>
          <w:rFonts w:ascii="Tahoma" w:hAnsi="Tahoma" w:cs="Tahoma"/>
          <w:sz w:val="22"/>
          <w:szCs w:val="22"/>
        </w:rPr>
      </w:pPr>
    </w:p>
    <w:tbl>
      <w:tblPr>
        <w:tblW w:w="9212" w:type="dxa"/>
        <w:tblLayout w:type="fixed"/>
        <w:tblCellMar>
          <w:left w:w="70" w:type="dxa"/>
          <w:right w:w="70" w:type="dxa"/>
        </w:tblCellMar>
        <w:tblLook w:val="0000" w:firstRow="0" w:lastRow="0" w:firstColumn="0" w:lastColumn="0" w:noHBand="0" w:noVBand="0"/>
      </w:tblPr>
      <w:tblGrid>
        <w:gridCol w:w="3700"/>
        <w:gridCol w:w="5512"/>
      </w:tblGrid>
      <w:tr w:rsidR="002D18C2" w:rsidRPr="00C37251" w14:paraId="0B0C3C6C" w14:textId="77777777" w:rsidTr="005842B6">
        <w:tc>
          <w:tcPr>
            <w:tcW w:w="3700" w:type="dxa"/>
          </w:tcPr>
          <w:p w14:paraId="4E8ECFA2" w14:textId="77777777" w:rsidR="002D18C2" w:rsidRPr="00C37251" w:rsidRDefault="002D18C2" w:rsidP="005842B6">
            <w:pPr>
              <w:jc w:val="both"/>
              <w:rPr>
                <w:rFonts w:ascii="Tahoma" w:hAnsi="Tahoma" w:cs="Tahoma"/>
                <w:b/>
                <w:sz w:val="22"/>
                <w:szCs w:val="22"/>
              </w:rPr>
            </w:pPr>
            <w:r w:rsidRPr="00C37251">
              <w:rPr>
                <w:rFonts w:ascii="Tahoma" w:hAnsi="Tahoma" w:cs="Tahoma"/>
                <w:b/>
                <w:sz w:val="22"/>
                <w:szCs w:val="22"/>
              </w:rPr>
              <w:t>Namen sprejema dokumenta:</w:t>
            </w:r>
          </w:p>
        </w:tc>
        <w:tc>
          <w:tcPr>
            <w:tcW w:w="5512" w:type="dxa"/>
          </w:tcPr>
          <w:p w14:paraId="436EC1C3" w14:textId="3D501598" w:rsidR="002D18C2" w:rsidRPr="00C37251" w:rsidRDefault="004B3F02" w:rsidP="00E82FAB">
            <w:pPr>
              <w:jc w:val="both"/>
              <w:rPr>
                <w:rFonts w:ascii="Tahoma" w:hAnsi="Tahoma" w:cs="Tahoma"/>
                <w:sz w:val="22"/>
                <w:szCs w:val="22"/>
              </w:rPr>
            </w:pPr>
            <w:r w:rsidRPr="004B3F02">
              <w:rPr>
                <w:rFonts w:ascii="Tahoma" w:hAnsi="Tahoma" w:cs="Tahoma"/>
                <w:sz w:val="22"/>
                <w:szCs w:val="22"/>
              </w:rPr>
              <w:t>Investitor večnamenskega športnega objekta in ureditve bližnjega parka s hišo Jezero je Občina Prevalje. Objekt Koroški plezalni center se bo predvidoma gradil ob obstoječi stavbi Osnovne šole Franja Goloba Prevalje in bo namenjen predvsem izvajanju dejavnosti športnega plezanja in izobraževanju na tem področju. V neposredni bližini investitor namerava urediti degradirano področje v park, v sklopu parka pa urediti tudi kulturno dediščino hišo Jezero, ki bo nudila prostor kulturnim, izobraževalnim vsebina s poudarkom na digitalizaciji vsebine in opreme.</w:t>
            </w:r>
          </w:p>
        </w:tc>
      </w:tr>
    </w:tbl>
    <w:p w14:paraId="6F76A1E5" w14:textId="77777777" w:rsidR="002D18C2" w:rsidRPr="00C37251" w:rsidRDefault="002D18C2" w:rsidP="002D18C2">
      <w:pPr>
        <w:jc w:val="both"/>
        <w:rPr>
          <w:rFonts w:ascii="Tahoma" w:hAnsi="Tahoma" w:cs="Tahoma"/>
          <w:sz w:val="22"/>
          <w:szCs w:val="22"/>
        </w:rPr>
      </w:pPr>
    </w:p>
    <w:tbl>
      <w:tblPr>
        <w:tblW w:w="9212" w:type="dxa"/>
        <w:tblLayout w:type="fixed"/>
        <w:tblCellMar>
          <w:left w:w="70" w:type="dxa"/>
          <w:right w:w="70" w:type="dxa"/>
        </w:tblCellMar>
        <w:tblLook w:val="0000" w:firstRow="0" w:lastRow="0" w:firstColumn="0" w:lastColumn="0" w:noHBand="0" w:noVBand="0"/>
      </w:tblPr>
      <w:tblGrid>
        <w:gridCol w:w="3700"/>
        <w:gridCol w:w="5512"/>
      </w:tblGrid>
      <w:tr w:rsidR="002D18C2" w:rsidRPr="00C37251" w14:paraId="1008225B" w14:textId="77777777" w:rsidTr="005842B6">
        <w:tc>
          <w:tcPr>
            <w:tcW w:w="3700" w:type="dxa"/>
          </w:tcPr>
          <w:p w14:paraId="352DC3E8" w14:textId="77777777" w:rsidR="002D18C2" w:rsidRPr="00C37251" w:rsidRDefault="002D18C2" w:rsidP="005842B6">
            <w:pPr>
              <w:rPr>
                <w:rFonts w:ascii="Tahoma" w:hAnsi="Tahoma" w:cs="Tahoma"/>
                <w:b/>
                <w:sz w:val="22"/>
                <w:szCs w:val="22"/>
              </w:rPr>
            </w:pPr>
            <w:r w:rsidRPr="00C37251">
              <w:rPr>
                <w:rFonts w:ascii="Tahoma" w:hAnsi="Tahoma" w:cs="Tahoma"/>
                <w:b/>
                <w:sz w:val="22"/>
                <w:szCs w:val="22"/>
              </w:rPr>
              <w:t>Pravna podlaga za sprejem dokumenta:</w:t>
            </w:r>
          </w:p>
        </w:tc>
        <w:tc>
          <w:tcPr>
            <w:tcW w:w="5512" w:type="dxa"/>
          </w:tcPr>
          <w:p w14:paraId="08DC4919" w14:textId="77777777" w:rsidR="004B3F02" w:rsidRPr="004B3F02" w:rsidRDefault="004B3F02" w:rsidP="004B3F02">
            <w:pPr>
              <w:jc w:val="both"/>
              <w:rPr>
                <w:rFonts w:ascii="Tahoma" w:hAnsi="Tahoma" w:cs="Tahoma"/>
                <w:sz w:val="22"/>
                <w:szCs w:val="22"/>
              </w:rPr>
            </w:pPr>
            <w:r w:rsidRPr="004B3F02">
              <w:rPr>
                <w:rFonts w:ascii="Tahoma" w:hAnsi="Tahoma" w:cs="Tahoma"/>
                <w:sz w:val="22"/>
                <w:szCs w:val="22"/>
              </w:rPr>
              <w:t>-</w:t>
            </w:r>
            <w:r w:rsidRPr="004B3F02">
              <w:rPr>
                <w:rFonts w:ascii="Tahoma" w:hAnsi="Tahoma" w:cs="Tahoma"/>
                <w:sz w:val="22"/>
                <w:szCs w:val="22"/>
              </w:rPr>
              <w:tab/>
              <w:t>Uredba o enotni metodologiji za pripravo in obravnavo investicijske dokumentacije na področju javnih financ (Uradni list RS, št. 60/06, 54/10 in 27/16);</w:t>
            </w:r>
          </w:p>
          <w:p w14:paraId="05ED0174" w14:textId="77777777" w:rsidR="004B3F02" w:rsidRPr="004B3F02" w:rsidRDefault="004B3F02" w:rsidP="004B3F02">
            <w:pPr>
              <w:jc w:val="both"/>
              <w:rPr>
                <w:rFonts w:ascii="Tahoma" w:hAnsi="Tahoma" w:cs="Tahoma"/>
                <w:sz w:val="22"/>
                <w:szCs w:val="22"/>
              </w:rPr>
            </w:pPr>
            <w:r w:rsidRPr="004B3F02">
              <w:rPr>
                <w:rFonts w:ascii="Tahoma" w:hAnsi="Tahoma" w:cs="Tahoma"/>
                <w:sz w:val="22"/>
                <w:szCs w:val="22"/>
              </w:rPr>
              <w:t>-</w:t>
            </w:r>
            <w:r w:rsidRPr="004B3F02">
              <w:rPr>
                <w:rFonts w:ascii="Tahoma" w:hAnsi="Tahoma" w:cs="Tahoma"/>
                <w:sz w:val="22"/>
                <w:szCs w:val="22"/>
              </w:rPr>
              <w:tab/>
              <w:t>Zakon o javnih financah (Uradni list RS, št. 11/11 – uradno prečiščeno besedilo, 14/13 – popr. in 101/13, 55/15 - ZFisP in 96/15 – ZIPRS1617 in 13/18) s podzakonskimi akti;</w:t>
            </w:r>
          </w:p>
          <w:p w14:paraId="705D698C" w14:textId="77777777" w:rsidR="004B3F02" w:rsidRPr="004B3F02" w:rsidRDefault="004B3F02" w:rsidP="004B3F02">
            <w:pPr>
              <w:jc w:val="both"/>
              <w:rPr>
                <w:rFonts w:ascii="Tahoma" w:hAnsi="Tahoma" w:cs="Tahoma"/>
                <w:sz w:val="22"/>
                <w:szCs w:val="22"/>
              </w:rPr>
            </w:pPr>
            <w:r w:rsidRPr="004B3F02">
              <w:rPr>
                <w:rFonts w:ascii="Tahoma" w:hAnsi="Tahoma" w:cs="Tahoma"/>
                <w:sz w:val="22"/>
                <w:szCs w:val="22"/>
              </w:rPr>
              <w:t>-</w:t>
            </w:r>
            <w:r w:rsidRPr="004B3F02">
              <w:rPr>
                <w:rFonts w:ascii="Tahoma" w:hAnsi="Tahoma" w:cs="Tahoma"/>
                <w:sz w:val="22"/>
                <w:szCs w:val="22"/>
              </w:rPr>
              <w:tab/>
              <w:t>Energetski zakon (Uradni list RS, št. 17/14, 81/15 in 43/19) s podzakonskimi akti;</w:t>
            </w:r>
          </w:p>
          <w:p w14:paraId="4AA718B8" w14:textId="77777777" w:rsidR="004B3F02" w:rsidRPr="004B3F02" w:rsidRDefault="004B3F02" w:rsidP="004B3F02">
            <w:pPr>
              <w:jc w:val="both"/>
              <w:rPr>
                <w:rFonts w:ascii="Tahoma" w:hAnsi="Tahoma" w:cs="Tahoma"/>
                <w:sz w:val="22"/>
                <w:szCs w:val="22"/>
              </w:rPr>
            </w:pPr>
            <w:r w:rsidRPr="004B3F02">
              <w:rPr>
                <w:rFonts w:ascii="Tahoma" w:hAnsi="Tahoma" w:cs="Tahoma"/>
                <w:sz w:val="22"/>
                <w:szCs w:val="22"/>
              </w:rPr>
              <w:t>-</w:t>
            </w:r>
            <w:r w:rsidRPr="004B3F02">
              <w:rPr>
                <w:rFonts w:ascii="Tahoma" w:hAnsi="Tahoma" w:cs="Tahoma"/>
                <w:sz w:val="22"/>
                <w:szCs w:val="22"/>
              </w:rPr>
              <w:tab/>
              <w:t>Pravilnik o učinkoviti rabi energije v stavbah (Uradni list RS, št. 52/10);</w:t>
            </w:r>
          </w:p>
          <w:p w14:paraId="076C243D" w14:textId="77777777" w:rsidR="004B3F02" w:rsidRPr="004B3F02" w:rsidRDefault="004B3F02" w:rsidP="004B3F02">
            <w:pPr>
              <w:jc w:val="both"/>
              <w:rPr>
                <w:rFonts w:ascii="Tahoma" w:hAnsi="Tahoma" w:cs="Tahoma"/>
                <w:sz w:val="22"/>
                <w:szCs w:val="22"/>
              </w:rPr>
            </w:pPr>
            <w:r w:rsidRPr="004B3F02">
              <w:rPr>
                <w:rFonts w:ascii="Tahoma" w:hAnsi="Tahoma" w:cs="Tahoma"/>
                <w:sz w:val="22"/>
                <w:szCs w:val="22"/>
              </w:rPr>
              <w:t>-</w:t>
            </w:r>
            <w:r w:rsidRPr="004B3F02">
              <w:rPr>
                <w:rFonts w:ascii="Tahoma" w:hAnsi="Tahoma" w:cs="Tahoma"/>
                <w:sz w:val="22"/>
                <w:szCs w:val="22"/>
              </w:rPr>
              <w:tab/>
              <w:t>Tehnična smernica TSG-1-004:2010: Učinkovita raba energije, 2010;</w:t>
            </w:r>
          </w:p>
          <w:p w14:paraId="5AB6E005" w14:textId="77777777" w:rsidR="004B3F02" w:rsidRPr="004B3F02" w:rsidRDefault="004B3F02" w:rsidP="004B3F02">
            <w:pPr>
              <w:jc w:val="both"/>
              <w:rPr>
                <w:rFonts w:ascii="Tahoma" w:hAnsi="Tahoma" w:cs="Tahoma"/>
                <w:sz w:val="22"/>
                <w:szCs w:val="22"/>
              </w:rPr>
            </w:pPr>
            <w:r w:rsidRPr="004B3F02">
              <w:rPr>
                <w:rFonts w:ascii="Tahoma" w:hAnsi="Tahoma" w:cs="Tahoma"/>
                <w:sz w:val="22"/>
                <w:szCs w:val="22"/>
              </w:rPr>
              <w:t>-</w:t>
            </w:r>
            <w:r w:rsidRPr="004B3F02">
              <w:rPr>
                <w:rFonts w:ascii="Tahoma" w:hAnsi="Tahoma" w:cs="Tahoma"/>
                <w:sz w:val="22"/>
                <w:szCs w:val="22"/>
              </w:rPr>
              <w:tab/>
              <w:t>Pravilnik o zahtevah za zagotavljanje varnosti in zdravja delavcev na delovnih mestih (Uradni list RS, št. 89/1999, 39/2005, 43/2011 – ZVZD-1);</w:t>
            </w:r>
          </w:p>
          <w:p w14:paraId="34BD11EF" w14:textId="77777777" w:rsidR="004B3F02" w:rsidRPr="004B3F02" w:rsidRDefault="004B3F02" w:rsidP="004B3F02">
            <w:pPr>
              <w:jc w:val="both"/>
              <w:rPr>
                <w:rFonts w:ascii="Tahoma" w:hAnsi="Tahoma" w:cs="Tahoma"/>
                <w:sz w:val="22"/>
                <w:szCs w:val="22"/>
              </w:rPr>
            </w:pPr>
            <w:r w:rsidRPr="004B3F02">
              <w:rPr>
                <w:rFonts w:ascii="Tahoma" w:hAnsi="Tahoma" w:cs="Tahoma"/>
                <w:sz w:val="22"/>
                <w:szCs w:val="22"/>
              </w:rPr>
              <w:t>-</w:t>
            </w:r>
            <w:r w:rsidRPr="004B3F02">
              <w:rPr>
                <w:rFonts w:ascii="Tahoma" w:hAnsi="Tahoma" w:cs="Tahoma"/>
                <w:sz w:val="22"/>
                <w:szCs w:val="22"/>
              </w:rPr>
              <w:tab/>
              <w:t>Gradbeni zakon (Uradni list RS, št. 61/17 in 72/17 – popr.);</w:t>
            </w:r>
          </w:p>
          <w:p w14:paraId="37C15C8B" w14:textId="5465C9CD" w:rsidR="002D18C2" w:rsidRPr="00C37251" w:rsidRDefault="004B3F02" w:rsidP="004B3F02">
            <w:pPr>
              <w:jc w:val="both"/>
              <w:rPr>
                <w:rFonts w:ascii="Tahoma" w:hAnsi="Tahoma" w:cs="Tahoma"/>
                <w:sz w:val="22"/>
                <w:szCs w:val="22"/>
              </w:rPr>
            </w:pPr>
            <w:r w:rsidRPr="004B3F02">
              <w:rPr>
                <w:rFonts w:ascii="Tahoma" w:hAnsi="Tahoma" w:cs="Tahoma"/>
                <w:sz w:val="22"/>
                <w:szCs w:val="22"/>
              </w:rPr>
              <w:t>-</w:t>
            </w:r>
            <w:r w:rsidRPr="004B3F02">
              <w:rPr>
                <w:rFonts w:ascii="Tahoma" w:hAnsi="Tahoma" w:cs="Tahoma"/>
                <w:sz w:val="22"/>
                <w:szCs w:val="22"/>
              </w:rPr>
              <w:tab/>
              <w:t>Strategija kulturne dediščine, Ministrstvo za kulturo, november 2018.</w:t>
            </w:r>
          </w:p>
        </w:tc>
      </w:tr>
    </w:tbl>
    <w:p w14:paraId="231AB914" w14:textId="77777777" w:rsidR="002D18C2" w:rsidRPr="00C37251" w:rsidRDefault="002D18C2" w:rsidP="002D18C2">
      <w:pPr>
        <w:jc w:val="both"/>
        <w:rPr>
          <w:rFonts w:ascii="Tahoma" w:hAnsi="Tahoma" w:cs="Tahoma"/>
          <w:sz w:val="22"/>
          <w:szCs w:val="22"/>
        </w:rPr>
      </w:pPr>
    </w:p>
    <w:p w14:paraId="533AFAB3" w14:textId="77777777" w:rsidR="00C37251" w:rsidRPr="00C37251" w:rsidRDefault="00C37251" w:rsidP="00C37251">
      <w:pPr>
        <w:jc w:val="both"/>
        <w:rPr>
          <w:rFonts w:ascii="Tahoma" w:hAnsi="Tahoma" w:cs="Tahoma"/>
          <w:sz w:val="22"/>
          <w:szCs w:val="22"/>
        </w:rPr>
      </w:pPr>
      <w:r w:rsidRPr="00C37251">
        <w:rPr>
          <w:rFonts w:ascii="Tahoma" w:hAnsi="Tahoma" w:cs="Tahoma"/>
          <w:b/>
          <w:sz w:val="22"/>
          <w:szCs w:val="22"/>
        </w:rPr>
        <w:t>Finančne posledice sprejetja dokumenta:</w:t>
      </w:r>
    </w:p>
    <w:p w14:paraId="18B074FB" w14:textId="77777777" w:rsidR="00C37251" w:rsidRPr="00C37251" w:rsidRDefault="00C37251" w:rsidP="00C37251">
      <w:pPr>
        <w:jc w:val="both"/>
        <w:rPr>
          <w:rFonts w:ascii="Tahoma" w:hAnsi="Tahoma" w:cs="Tahoma"/>
          <w:sz w:val="22"/>
          <w:szCs w:val="22"/>
        </w:rPr>
      </w:pPr>
    </w:p>
    <w:p w14:paraId="44846D64" w14:textId="0AC38FE7" w:rsidR="00C37251" w:rsidRPr="004F0EA4" w:rsidRDefault="004B3F02" w:rsidP="00C37251">
      <w:pPr>
        <w:jc w:val="both"/>
        <w:rPr>
          <w:rFonts w:ascii="Tahoma" w:hAnsi="Tahoma" w:cs="Tahoma"/>
          <w:color w:val="000000"/>
          <w:sz w:val="22"/>
          <w:szCs w:val="22"/>
        </w:rPr>
      </w:pPr>
      <w:r w:rsidRPr="004B3F02">
        <w:rPr>
          <w:rFonts w:ascii="Tahoma" w:hAnsi="Tahoma" w:cs="Tahoma"/>
          <w:color w:val="000000"/>
          <w:sz w:val="22"/>
          <w:szCs w:val="22"/>
        </w:rPr>
        <w:t xml:space="preserve">Investitor namerava investicijo financirati z lastnimi sredstvi, nepovratnimi sredstvi Eko sklada in sredstvi Ministrstva za izobraževanje in šport. Sredstva Eko sklada so predvidena po shemi </w:t>
      </w:r>
      <w:r w:rsidRPr="004B3F02">
        <w:rPr>
          <w:rFonts w:ascii="Tahoma" w:hAnsi="Tahoma" w:cs="Tahoma"/>
          <w:color w:val="000000"/>
          <w:sz w:val="22"/>
          <w:szCs w:val="22"/>
        </w:rPr>
        <w:lastRenderedPageBreak/>
        <w:t>sofinanciranja novogradenj splošnega družbenega pomena (Nepovratne finančne spodbude za nove naložbe v gradnjo skoraj nič-energijskih stavb splošnega družbenega pomena 72SUB-sNESLS19). Investitor predvideva tudi donacijo, ki predstavlja pomemben vir finančnih sredstev.</w:t>
      </w:r>
    </w:p>
    <w:p w14:paraId="20387EAA" w14:textId="77777777" w:rsidR="00C37251" w:rsidRDefault="00C37251" w:rsidP="00C37251">
      <w:pPr>
        <w:jc w:val="both"/>
        <w:rPr>
          <w:rFonts w:ascii="Tahoma" w:hAnsi="Tahoma" w:cs="Tahoma"/>
          <w:color w:val="000000"/>
          <w:sz w:val="22"/>
          <w:szCs w:val="22"/>
        </w:rPr>
      </w:pPr>
    </w:p>
    <w:p w14:paraId="0390800B" w14:textId="7F339809" w:rsidR="004B3F02" w:rsidRDefault="004B3F02" w:rsidP="00C37251">
      <w:pPr>
        <w:jc w:val="both"/>
        <w:rPr>
          <w:rFonts w:ascii="Tahoma" w:hAnsi="Tahoma" w:cs="Tahoma"/>
          <w:color w:val="000000"/>
          <w:sz w:val="22"/>
          <w:szCs w:val="22"/>
        </w:rPr>
      </w:pPr>
      <w:r w:rsidRPr="004B3F02">
        <w:rPr>
          <w:rFonts w:ascii="Tahoma" w:hAnsi="Tahoma" w:cs="Tahoma"/>
          <w:color w:val="000000"/>
          <w:sz w:val="22"/>
          <w:szCs w:val="22"/>
        </w:rPr>
        <w:t>Vrednost investicije po tekočih cenah in virih financiranja</w:t>
      </w:r>
      <w:r>
        <w:rPr>
          <w:rFonts w:ascii="Tahoma" w:hAnsi="Tahoma" w:cs="Tahoma"/>
          <w:color w:val="000000"/>
          <w:sz w:val="22"/>
          <w:szCs w:val="22"/>
        </w:rPr>
        <w:t>:</w:t>
      </w:r>
    </w:p>
    <w:tbl>
      <w:tblPr>
        <w:tblW w:w="7240" w:type="dxa"/>
        <w:tblCellMar>
          <w:left w:w="70" w:type="dxa"/>
          <w:right w:w="70" w:type="dxa"/>
        </w:tblCellMar>
        <w:tblLook w:val="04A0" w:firstRow="1" w:lastRow="0" w:firstColumn="1" w:lastColumn="0" w:noHBand="0" w:noVBand="1"/>
      </w:tblPr>
      <w:tblGrid>
        <w:gridCol w:w="4000"/>
        <w:gridCol w:w="1620"/>
        <w:gridCol w:w="1620"/>
      </w:tblGrid>
      <w:tr w:rsidR="004B3F02" w:rsidRPr="004B3F02" w14:paraId="6F8430C1" w14:textId="77777777" w:rsidTr="002503A2">
        <w:trPr>
          <w:trHeight w:val="450"/>
        </w:trPr>
        <w:tc>
          <w:tcPr>
            <w:tcW w:w="4000" w:type="dxa"/>
            <w:tcBorders>
              <w:top w:val="single" w:sz="4" w:space="0" w:color="auto"/>
              <w:left w:val="single" w:sz="4" w:space="0" w:color="auto"/>
              <w:bottom w:val="single" w:sz="4" w:space="0" w:color="auto"/>
              <w:right w:val="single" w:sz="4" w:space="0" w:color="auto"/>
            </w:tcBorders>
            <w:shd w:val="clear" w:color="000000" w:fill="B8CCE4"/>
            <w:hideMark/>
          </w:tcPr>
          <w:p w14:paraId="670C63ED" w14:textId="77777777" w:rsidR="004B3F02" w:rsidRPr="004B3F02" w:rsidRDefault="004B3F02" w:rsidP="004B3F02">
            <w:pPr>
              <w:rPr>
                <w:rFonts w:ascii="Arial" w:hAnsi="Arial" w:cs="Arial"/>
                <w:b/>
                <w:bCs/>
                <w:color w:val="000000"/>
                <w:sz w:val="16"/>
                <w:szCs w:val="16"/>
              </w:rPr>
            </w:pPr>
            <w:r w:rsidRPr="004B3F02">
              <w:rPr>
                <w:rFonts w:ascii="Arial" w:hAnsi="Arial" w:cs="Arial"/>
                <w:b/>
                <w:bCs/>
                <w:color w:val="000000"/>
                <w:sz w:val="16"/>
                <w:szCs w:val="16"/>
              </w:rPr>
              <w:t>Viri financiranja</w:t>
            </w:r>
            <w:r w:rsidRPr="004B3F02">
              <w:rPr>
                <w:rFonts w:ascii="Arial" w:hAnsi="Arial" w:cs="Arial"/>
                <w:b/>
                <w:bCs/>
                <w:color w:val="000000"/>
                <w:sz w:val="16"/>
                <w:szCs w:val="16"/>
              </w:rPr>
              <w:br/>
              <w:t>Tekoče cene</w:t>
            </w:r>
          </w:p>
        </w:tc>
        <w:tc>
          <w:tcPr>
            <w:tcW w:w="1620" w:type="dxa"/>
            <w:tcBorders>
              <w:top w:val="single" w:sz="4" w:space="0" w:color="auto"/>
              <w:left w:val="nil"/>
              <w:bottom w:val="single" w:sz="4" w:space="0" w:color="auto"/>
              <w:right w:val="single" w:sz="4" w:space="0" w:color="auto"/>
            </w:tcBorders>
            <w:shd w:val="clear" w:color="000000" w:fill="B8CCE4"/>
            <w:hideMark/>
          </w:tcPr>
          <w:p w14:paraId="61626305" w14:textId="77777777" w:rsidR="004B3F02" w:rsidRPr="004B3F02" w:rsidRDefault="004B3F02" w:rsidP="004B3F02">
            <w:pPr>
              <w:jc w:val="right"/>
              <w:rPr>
                <w:rFonts w:ascii="Arial" w:hAnsi="Arial" w:cs="Arial"/>
                <w:b/>
                <w:bCs/>
                <w:color w:val="000000"/>
                <w:sz w:val="16"/>
                <w:szCs w:val="16"/>
              </w:rPr>
            </w:pPr>
            <w:r w:rsidRPr="004B3F02">
              <w:rPr>
                <w:rFonts w:ascii="Arial" w:hAnsi="Arial" w:cs="Arial"/>
                <w:b/>
                <w:bCs/>
                <w:color w:val="000000"/>
                <w:sz w:val="16"/>
                <w:szCs w:val="16"/>
              </w:rPr>
              <w:t xml:space="preserve">Delež </w:t>
            </w:r>
            <w:r w:rsidRPr="004B3F02">
              <w:rPr>
                <w:rFonts w:ascii="Arial" w:hAnsi="Arial" w:cs="Arial"/>
                <w:b/>
                <w:bCs/>
                <w:color w:val="000000"/>
                <w:sz w:val="16"/>
                <w:szCs w:val="16"/>
              </w:rPr>
              <w:br/>
              <w:t>[%]</w:t>
            </w:r>
          </w:p>
        </w:tc>
        <w:tc>
          <w:tcPr>
            <w:tcW w:w="1620" w:type="dxa"/>
            <w:tcBorders>
              <w:top w:val="single" w:sz="4" w:space="0" w:color="auto"/>
              <w:left w:val="nil"/>
              <w:bottom w:val="single" w:sz="4" w:space="0" w:color="auto"/>
              <w:right w:val="single" w:sz="4" w:space="0" w:color="auto"/>
            </w:tcBorders>
            <w:shd w:val="clear" w:color="000000" w:fill="B8CCE4"/>
            <w:hideMark/>
          </w:tcPr>
          <w:p w14:paraId="167DB48D" w14:textId="77777777" w:rsidR="004B3F02" w:rsidRPr="004B3F02" w:rsidRDefault="004B3F02" w:rsidP="004B3F02">
            <w:pPr>
              <w:jc w:val="right"/>
              <w:rPr>
                <w:rFonts w:ascii="Arial" w:hAnsi="Arial" w:cs="Arial"/>
                <w:b/>
                <w:bCs/>
                <w:color w:val="000000"/>
                <w:sz w:val="16"/>
                <w:szCs w:val="16"/>
              </w:rPr>
            </w:pPr>
            <w:r w:rsidRPr="004B3F02">
              <w:rPr>
                <w:rFonts w:ascii="Arial" w:hAnsi="Arial" w:cs="Arial"/>
                <w:b/>
                <w:bCs/>
                <w:color w:val="000000"/>
                <w:sz w:val="16"/>
                <w:szCs w:val="16"/>
              </w:rPr>
              <w:t xml:space="preserve">Vrednost </w:t>
            </w:r>
            <w:r w:rsidRPr="004B3F02">
              <w:rPr>
                <w:rFonts w:ascii="Arial" w:hAnsi="Arial" w:cs="Arial"/>
                <w:b/>
                <w:bCs/>
                <w:color w:val="000000"/>
                <w:sz w:val="16"/>
                <w:szCs w:val="16"/>
              </w:rPr>
              <w:br/>
              <w:t>[EUR]</w:t>
            </w:r>
          </w:p>
        </w:tc>
      </w:tr>
      <w:tr w:rsidR="004B3F02" w:rsidRPr="004B3F02" w14:paraId="575D70B8" w14:textId="77777777" w:rsidTr="002503A2">
        <w:trPr>
          <w:trHeight w:val="22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D4F4A69" w14:textId="77777777" w:rsidR="004B3F02" w:rsidRPr="004B3F02" w:rsidRDefault="004B3F02" w:rsidP="004B3F02">
            <w:pPr>
              <w:rPr>
                <w:rFonts w:ascii="Arial" w:hAnsi="Arial" w:cs="Arial"/>
                <w:sz w:val="16"/>
                <w:szCs w:val="16"/>
              </w:rPr>
            </w:pPr>
            <w:r w:rsidRPr="004B3F02">
              <w:rPr>
                <w:rFonts w:ascii="Arial" w:hAnsi="Arial" w:cs="Arial"/>
                <w:sz w:val="16"/>
                <w:szCs w:val="16"/>
              </w:rPr>
              <w:t>Nepovratna sredstva Eko sklad (II. skupina)</w:t>
            </w:r>
          </w:p>
        </w:tc>
        <w:tc>
          <w:tcPr>
            <w:tcW w:w="1620" w:type="dxa"/>
            <w:tcBorders>
              <w:top w:val="nil"/>
              <w:left w:val="nil"/>
              <w:bottom w:val="single" w:sz="4" w:space="0" w:color="auto"/>
              <w:right w:val="single" w:sz="4" w:space="0" w:color="auto"/>
            </w:tcBorders>
            <w:shd w:val="clear" w:color="auto" w:fill="auto"/>
            <w:vAlign w:val="center"/>
            <w:hideMark/>
          </w:tcPr>
          <w:p w14:paraId="25E66002"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9,06%</w:t>
            </w:r>
          </w:p>
        </w:tc>
        <w:tc>
          <w:tcPr>
            <w:tcW w:w="1620" w:type="dxa"/>
            <w:tcBorders>
              <w:top w:val="nil"/>
              <w:left w:val="nil"/>
              <w:bottom w:val="single" w:sz="4" w:space="0" w:color="auto"/>
              <w:right w:val="single" w:sz="4" w:space="0" w:color="auto"/>
            </w:tcBorders>
            <w:shd w:val="clear" w:color="auto" w:fill="auto"/>
            <w:vAlign w:val="center"/>
            <w:hideMark/>
          </w:tcPr>
          <w:p w14:paraId="11FDF99B"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516.119,00</w:t>
            </w:r>
          </w:p>
        </w:tc>
      </w:tr>
      <w:tr w:rsidR="004B3F02" w:rsidRPr="004B3F02" w14:paraId="6CCD4E6D" w14:textId="77777777" w:rsidTr="002503A2">
        <w:trPr>
          <w:trHeight w:val="22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6BA32A3" w14:textId="77777777" w:rsidR="004B3F02" w:rsidRPr="004B3F02" w:rsidRDefault="004B3F02" w:rsidP="004B3F02">
            <w:pPr>
              <w:rPr>
                <w:rFonts w:ascii="Arial" w:hAnsi="Arial" w:cs="Arial"/>
                <w:sz w:val="16"/>
                <w:szCs w:val="16"/>
              </w:rPr>
            </w:pPr>
            <w:r w:rsidRPr="004B3F02">
              <w:rPr>
                <w:rFonts w:ascii="Arial" w:hAnsi="Arial" w:cs="Arial"/>
                <w:sz w:val="16"/>
                <w:szCs w:val="16"/>
              </w:rPr>
              <w:t>Ministrstvo za izobraževanje znanost in šport</w:t>
            </w:r>
          </w:p>
        </w:tc>
        <w:tc>
          <w:tcPr>
            <w:tcW w:w="1620" w:type="dxa"/>
            <w:tcBorders>
              <w:top w:val="nil"/>
              <w:left w:val="nil"/>
              <w:bottom w:val="single" w:sz="4" w:space="0" w:color="auto"/>
              <w:right w:val="single" w:sz="4" w:space="0" w:color="auto"/>
            </w:tcBorders>
            <w:shd w:val="clear" w:color="auto" w:fill="auto"/>
            <w:vAlign w:val="center"/>
            <w:hideMark/>
          </w:tcPr>
          <w:p w14:paraId="2035715B"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55,83%</w:t>
            </w:r>
          </w:p>
        </w:tc>
        <w:tc>
          <w:tcPr>
            <w:tcW w:w="1620" w:type="dxa"/>
            <w:tcBorders>
              <w:top w:val="nil"/>
              <w:left w:val="nil"/>
              <w:bottom w:val="single" w:sz="4" w:space="0" w:color="auto"/>
              <w:right w:val="single" w:sz="4" w:space="0" w:color="auto"/>
            </w:tcBorders>
            <w:shd w:val="clear" w:color="auto" w:fill="auto"/>
            <w:vAlign w:val="center"/>
            <w:hideMark/>
          </w:tcPr>
          <w:p w14:paraId="3D4A773E"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3.180.287,02</w:t>
            </w:r>
          </w:p>
        </w:tc>
      </w:tr>
      <w:tr w:rsidR="004B3F02" w:rsidRPr="004B3F02" w14:paraId="0D7F7362" w14:textId="77777777" w:rsidTr="002503A2">
        <w:trPr>
          <w:trHeight w:val="22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B46A1B0" w14:textId="77777777" w:rsidR="004B3F02" w:rsidRPr="004B3F02" w:rsidRDefault="004B3F02" w:rsidP="004B3F02">
            <w:pPr>
              <w:rPr>
                <w:rFonts w:ascii="Arial" w:hAnsi="Arial" w:cs="Arial"/>
                <w:sz w:val="16"/>
                <w:szCs w:val="16"/>
              </w:rPr>
            </w:pPr>
            <w:r w:rsidRPr="004B3F02">
              <w:rPr>
                <w:rFonts w:ascii="Arial" w:hAnsi="Arial" w:cs="Arial"/>
                <w:sz w:val="16"/>
                <w:szCs w:val="16"/>
              </w:rPr>
              <w:t>Lastna sredstva Občina Prevalje</w:t>
            </w:r>
          </w:p>
        </w:tc>
        <w:tc>
          <w:tcPr>
            <w:tcW w:w="1620" w:type="dxa"/>
            <w:tcBorders>
              <w:top w:val="nil"/>
              <w:left w:val="nil"/>
              <w:bottom w:val="single" w:sz="4" w:space="0" w:color="auto"/>
              <w:right w:val="single" w:sz="4" w:space="0" w:color="auto"/>
            </w:tcBorders>
            <w:shd w:val="clear" w:color="auto" w:fill="auto"/>
            <w:vAlign w:val="center"/>
            <w:hideMark/>
          </w:tcPr>
          <w:p w14:paraId="7FB59A9A"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35,11%</w:t>
            </w:r>
          </w:p>
        </w:tc>
        <w:tc>
          <w:tcPr>
            <w:tcW w:w="1620" w:type="dxa"/>
            <w:tcBorders>
              <w:top w:val="nil"/>
              <w:left w:val="nil"/>
              <w:bottom w:val="single" w:sz="4" w:space="0" w:color="auto"/>
              <w:right w:val="single" w:sz="4" w:space="0" w:color="auto"/>
            </w:tcBorders>
            <w:shd w:val="clear" w:color="auto" w:fill="auto"/>
            <w:vAlign w:val="center"/>
            <w:hideMark/>
          </w:tcPr>
          <w:p w14:paraId="74F8F297"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2.000.000,00</w:t>
            </w:r>
          </w:p>
        </w:tc>
      </w:tr>
      <w:tr w:rsidR="004B3F02" w:rsidRPr="004B3F02" w14:paraId="1C90164A" w14:textId="77777777" w:rsidTr="002503A2">
        <w:trPr>
          <w:trHeight w:val="225"/>
        </w:trPr>
        <w:tc>
          <w:tcPr>
            <w:tcW w:w="4000" w:type="dxa"/>
            <w:tcBorders>
              <w:top w:val="nil"/>
              <w:left w:val="single" w:sz="4" w:space="0" w:color="auto"/>
              <w:bottom w:val="single" w:sz="4" w:space="0" w:color="auto"/>
              <w:right w:val="single" w:sz="4" w:space="0" w:color="auto"/>
            </w:tcBorders>
            <w:shd w:val="clear" w:color="000000" w:fill="F2F2F2"/>
            <w:vAlign w:val="center"/>
            <w:hideMark/>
          </w:tcPr>
          <w:p w14:paraId="6D7A390F" w14:textId="77777777" w:rsidR="004B3F02" w:rsidRPr="004B3F02" w:rsidRDefault="004B3F02" w:rsidP="004B3F02">
            <w:pPr>
              <w:rPr>
                <w:rFonts w:ascii="Arial" w:hAnsi="Arial" w:cs="Arial"/>
                <w:b/>
                <w:bCs/>
                <w:sz w:val="16"/>
                <w:szCs w:val="16"/>
              </w:rPr>
            </w:pPr>
            <w:r w:rsidRPr="004B3F02">
              <w:rPr>
                <w:rFonts w:ascii="Arial" w:hAnsi="Arial" w:cs="Arial"/>
                <w:b/>
                <w:bCs/>
                <w:sz w:val="16"/>
                <w:szCs w:val="16"/>
              </w:rPr>
              <w:t>Investicijska vrednost z DDV</w:t>
            </w:r>
          </w:p>
        </w:tc>
        <w:tc>
          <w:tcPr>
            <w:tcW w:w="1620" w:type="dxa"/>
            <w:tcBorders>
              <w:top w:val="nil"/>
              <w:left w:val="nil"/>
              <w:bottom w:val="single" w:sz="4" w:space="0" w:color="auto"/>
              <w:right w:val="single" w:sz="4" w:space="0" w:color="auto"/>
            </w:tcBorders>
            <w:shd w:val="clear" w:color="000000" w:fill="F2F2F2"/>
            <w:vAlign w:val="center"/>
            <w:hideMark/>
          </w:tcPr>
          <w:p w14:paraId="04EBF914" w14:textId="77777777" w:rsidR="004B3F02" w:rsidRPr="004B3F02" w:rsidRDefault="004B3F02" w:rsidP="004B3F02">
            <w:pPr>
              <w:jc w:val="right"/>
              <w:rPr>
                <w:rFonts w:ascii="Arial" w:hAnsi="Arial" w:cs="Arial"/>
                <w:b/>
                <w:bCs/>
                <w:sz w:val="16"/>
                <w:szCs w:val="16"/>
              </w:rPr>
            </w:pPr>
            <w:r w:rsidRPr="004B3F02">
              <w:rPr>
                <w:rFonts w:ascii="Arial" w:hAnsi="Arial" w:cs="Arial"/>
                <w:b/>
                <w:bCs/>
                <w:sz w:val="16"/>
                <w:szCs w:val="16"/>
              </w:rPr>
              <w:t>100,00%</w:t>
            </w:r>
          </w:p>
        </w:tc>
        <w:tc>
          <w:tcPr>
            <w:tcW w:w="1620" w:type="dxa"/>
            <w:tcBorders>
              <w:top w:val="nil"/>
              <w:left w:val="nil"/>
              <w:bottom w:val="single" w:sz="4" w:space="0" w:color="auto"/>
              <w:right w:val="single" w:sz="4" w:space="0" w:color="auto"/>
            </w:tcBorders>
            <w:shd w:val="clear" w:color="000000" w:fill="F2F2F2"/>
            <w:vAlign w:val="center"/>
            <w:hideMark/>
          </w:tcPr>
          <w:p w14:paraId="6BBF14DB" w14:textId="77777777" w:rsidR="004B3F02" w:rsidRPr="004B3F02" w:rsidRDefault="004B3F02" w:rsidP="004B3F02">
            <w:pPr>
              <w:jc w:val="right"/>
              <w:rPr>
                <w:rFonts w:ascii="Arial" w:hAnsi="Arial" w:cs="Arial"/>
                <w:b/>
                <w:bCs/>
                <w:sz w:val="16"/>
                <w:szCs w:val="16"/>
              </w:rPr>
            </w:pPr>
            <w:r w:rsidRPr="004B3F02">
              <w:rPr>
                <w:rFonts w:ascii="Arial" w:hAnsi="Arial" w:cs="Arial"/>
                <w:b/>
                <w:bCs/>
                <w:sz w:val="16"/>
                <w:szCs w:val="16"/>
              </w:rPr>
              <w:t>5.696.406,02</w:t>
            </w:r>
          </w:p>
        </w:tc>
      </w:tr>
    </w:tbl>
    <w:p w14:paraId="598CC803" w14:textId="77777777" w:rsidR="004B3F02" w:rsidRDefault="004B3F02" w:rsidP="00C37251">
      <w:pPr>
        <w:jc w:val="both"/>
        <w:rPr>
          <w:rFonts w:ascii="Tahoma" w:hAnsi="Tahoma" w:cs="Tahoma"/>
          <w:color w:val="000000"/>
          <w:sz w:val="22"/>
          <w:szCs w:val="22"/>
        </w:rPr>
      </w:pPr>
    </w:p>
    <w:p w14:paraId="08E206C4" w14:textId="77777777" w:rsidR="004B3F02" w:rsidRDefault="004B3F02" w:rsidP="00C37251">
      <w:pPr>
        <w:jc w:val="both"/>
        <w:rPr>
          <w:rFonts w:ascii="Tahoma" w:hAnsi="Tahoma" w:cs="Tahoma"/>
          <w:color w:val="000000"/>
          <w:sz w:val="22"/>
          <w:szCs w:val="22"/>
        </w:rPr>
      </w:pPr>
    </w:p>
    <w:p w14:paraId="622A415A" w14:textId="7771ED29" w:rsidR="004B3F02" w:rsidRDefault="004B3F02" w:rsidP="00C37251">
      <w:pPr>
        <w:jc w:val="both"/>
        <w:rPr>
          <w:rFonts w:ascii="Tahoma" w:hAnsi="Tahoma" w:cs="Tahoma"/>
          <w:color w:val="000000"/>
          <w:sz w:val="22"/>
          <w:szCs w:val="22"/>
        </w:rPr>
      </w:pPr>
      <w:r w:rsidRPr="004B3F02">
        <w:rPr>
          <w:rFonts w:ascii="Tahoma" w:hAnsi="Tahoma" w:cs="Tahoma"/>
          <w:color w:val="000000"/>
          <w:sz w:val="22"/>
          <w:szCs w:val="22"/>
        </w:rPr>
        <w:t>Skupna vrednost investicije po tekočih cenah z DDV je 5.696.406,02 EUR. Od tega so nepovratna sredstva Eko sklada predvidena v znesku 516.119,00 EUR, lastna sredstva Občine Prevalje s sofinancerji znašajo 2.000.000,00 EUR. Na podlagi interventnega zakona za odpravo ovir pri izvedbi pomembnih investicij po epidemiji COVID-19 bo po predlogu za zaprtje finančne konstrukcije projekta Ministrstvo za izobraževanje, znanost in šport prispevalo 3.180.287,02 EUR.</w:t>
      </w:r>
    </w:p>
    <w:p w14:paraId="0A1A03B9" w14:textId="77777777" w:rsidR="004B3F02" w:rsidRDefault="004B3F02" w:rsidP="00C37251">
      <w:pPr>
        <w:jc w:val="both"/>
        <w:rPr>
          <w:rFonts w:ascii="Tahoma" w:hAnsi="Tahoma" w:cs="Tahoma"/>
          <w:color w:val="000000"/>
          <w:sz w:val="22"/>
          <w:szCs w:val="22"/>
        </w:rPr>
      </w:pPr>
    </w:p>
    <w:p w14:paraId="2AC25A3C" w14:textId="77777777" w:rsidR="004B3F02" w:rsidRPr="004B3F02" w:rsidRDefault="004B3F02" w:rsidP="004B3F02">
      <w:pPr>
        <w:spacing w:after="120" w:line="288" w:lineRule="auto"/>
        <w:jc w:val="both"/>
        <w:rPr>
          <w:rFonts w:ascii="Tahoma" w:hAnsi="Tahoma" w:cs="Tahoma"/>
          <w:sz w:val="22"/>
          <w:szCs w:val="20"/>
        </w:rPr>
      </w:pPr>
      <w:r w:rsidRPr="004B3F02">
        <w:rPr>
          <w:rFonts w:ascii="Tahoma" w:hAnsi="Tahoma" w:cs="Tahoma"/>
          <w:sz w:val="22"/>
          <w:szCs w:val="20"/>
        </w:rPr>
        <w:t>Z investicijo se predvidevajo aktivnosti, ki se bodo izvajale predvidoma v letih 2020, 2021 in 2022.</w:t>
      </w:r>
    </w:p>
    <w:p w14:paraId="7D0C6F68" w14:textId="0161FC6C" w:rsidR="004B3F02" w:rsidRPr="004B3F02" w:rsidRDefault="004B3F02" w:rsidP="004B3F02">
      <w:pPr>
        <w:keepNext/>
        <w:spacing w:before="240" w:after="120"/>
        <w:rPr>
          <w:rFonts w:ascii="Tahoma" w:hAnsi="Tahoma" w:cs="Tahoma"/>
          <w:sz w:val="22"/>
          <w:szCs w:val="20"/>
        </w:rPr>
      </w:pPr>
      <w:bookmarkStart w:id="0" w:name="_Toc50555390"/>
      <w:r w:rsidRPr="004B3F02">
        <w:rPr>
          <w:rFonts w:ascii="Tahoma" w:hAnsi="Tahoma" w:cs="Tahoma"/>
          <w:sz w:val="22"/>
          <w:szCs w:val="20"/>
        </w:rPr>
        <w:t>Vrednost investicije in dinamika financiranja</w:t>
      </w:r>
      <w:bookmarkEnd w:id="0"/>
      <w:r w:rsidRPr="004B3F02">
        <w:rPr>
          <w:rFonts w:ascii="Tahoma" w:hAnsi="Tahoma" w:cs="Tahoma"/>
          <w:sz w:val="22"/>
          <w:szCs w:val="20"/>
        </w:rPr>
        <w:t>:</w:t>
      </w:r>
    </w:p>
    <w:tbl>
      <w:tblPr>
        <w:tblW w:w="5082" w:type="pct"/>
        <w:tblLayout w:type="fixed"/>
        <w:tblCellMar>
          <w:left w:w="70" w:type="dxa"/>
          <w:right w:w="70" w:type="dxa"/>
        </w:tblCellMar>
        <w:tblLook w:val="04A0" w:firstRow="1" w:lastRow="0" w:firstColumn="1" w:lastColumn="0" w:noHBand="0" w:noVBand="1"/>
      </w:tblPr>
      <w:tblGrid>
        <w:gridCol w:w="3538"/>
        <w:gridCol w:w="851"/>
        <w:gridCol w:w="1205"/>
        <w:gridCol w:w="1205"/>
        <w:gridCol w:w="1205"/>
        <w:gridCol w:w="1205"/>
      </w:tblGrid>
      <w:tr w:rsidR="004B3F02" w:rsidRPr="004B3F02" w14:paraId="47826528" w14:textId="77777777" w:rsidTr="002503A2">
        <w:trPr>
          <w:trHeight w:val="480"/>
        </w:trPr>
        <w:tc>
          <w:tcPr>
            <w:tcW w:w="1921" w:type="pct"/>
            <w:tcBorders>
              <w:top w:val="single" w:sz="4" w:space="0" w:color="auto"/>
              <w:left w:val="single" w:sz="4" w:space="0" w:color="auto"/>
              <w:bottom w:val="single" w:sz="4" w:space="0" w:color="auto"/>
              <w:right w:val="single" w:sz="4" w:space="0" w:color="auto"/>
            </w:tcBorders>
            <w:shd w:val="clear" w:color="000000" w:fill="B8CCE4"/>
            <w:hideMark/>
          </w:tcPr>
          <w:p w14:paraId="611AF126" w14:textId="77777777" w:rsidR="004B3F02" w:rsidRPr="004B3F02" w:rsidRDefault="004B3F02" w:rsidP="004B3F02">
            <w:pPr>
              <w:rPr>
                <w:rFonts w:ascii="Arial" w:hAnsi="Arial" w:cs="Arial"/>
                <w:b/>
                <w:bCs/>
                <w:color w:val="000000"/>
                <w:sz w:val="16"/>
                <w:szCs w:val="16"/>
              </w:rPr>
            </w:pPr>
            <w:r w:rsidRPr="004B3F02">
              <w:rPr>
                <w:rFonts w:ascii="Arial" w:hAnsi="Arial" w:cs="Arial"/>
                <w:b/>
                <w:bCs/>
                <w:color w:val="000000"/>
                <w:sz w:val="16"/>
                <w:szCs w:val="16"/>
              </w:rPr>
              <w:t>Viri financiranja</w:t>
            </w:r>
            <w:r w:rsidRPr="004B3F02">
              <w:rPr>
                <w:rFonts w:ascii="Arial" w:hAnsi="Arial" w:cs="Arial"/>
                <w:b/>
                <w:bCs/>
                <w:color w:val="000000"/>
                <w:sz w:val="16"/>
                <w:szCs w:val="16"/>
              </w:rPr>
              <w:br/>
              <w:t>Tekoče cene</w:t>
            </w:r>
          </w:p>
        </w:tc>
        <w:tc>
          <w:tcPr>
            <w:tcW w:w="462" w:type="pct"/>
            <w:tcBorders>
              <w:top w:val="single" w:sz="4" w:space="0" w:color="auto"/>
              <w:left w:val="nil"/>
              <w:bottom w:val="single" w:sz="4" w:space="0" w:color="auto"/>
              <w:right w:val="single" w:sz="4" w:space="0" w:color="auto"/>
            </w:tcBorders>
            <w:shd w:val="clear" w:color="000000" w:fill="B8CCE4"/>
            <w:hideMark/>
          </w:tcPr>
          <w:p w14:paraId="61A22F1F" w14:textId="77777777" w:rsidR="004B3F02" w:rsidRPr="004B3F02" w:rsidRDefault="004B3F02" w:rsidP="004B3F02">
            <w:pPr>
              <w:jc w:val="right"/>
              <w:rPr>
                <w:rFonts w:ascii="Arial" w:hAnsi="Arial" w:cs="Arial"/>
                <w:b/>
                <w:bCs/>
                <w:color w:val="000000"/>
                <w:sz w:val="16"/>
                <w:szCs w:val="16"/>
              </w:rPr>
            </w:pPr>
            <w:r w:rsidRPr="004B3F02">
              <w:rPr>
                <w:rFonts w:ascii="Arial" w:hAnsi="Arial" w:cs="Arial"/>
                <w:b/>
                <w:bCs/>
                <w:color w:val="000000"/>
                <w:sz w:val="16"/>
                <w:szCs w:val="16"/>
              </w:rPr>
              <w:t xml:space="preserve">Delež </w:t>
            </w:r>
            <w:r w:rsidRPr="004B3F02">
              <w:rPr>
                <w:rFonts w:ascii="Arial" w:hAnsi="Arial" w:cs="Arial"/>
                <w:b/>
                <w:bCs/>
                <w:color w:val="000000"/>
                <w:sz w:val="16"/>
                <w:szCs w:val="16"/>
              </w:rPr>
              <w:br/>
              <w:t>[%]</w:t>
            </w:r>
          </w:p>
        </w:tc>
        <w:tc>
          <w:tcPr>
            <w:tcW w:w="654" w:type="pct"/>
            <w:tcBorders>
              <w:top w:val="single" w:sz="4" w:space="0" w:color="auto"/>
              <w:left w:val="nil"/>
              <w:bottom w:val="single" w:sz="4" w:space="0" w:color="auto"/>
              <w:right w:val="single" w:sz="4" w:space="0" w:color="auto"/>
            </w:tcBorders>
            <w:shd w:val="clear" w:color="000000" w:fill="B8CCE4"/>
            <w:hideMark/>
          </w:tcPr>
          <w:p w14:paraId="25F69CD1" w14:textId="77777777" w:rsidR="004B3F02" w:rsidRPr="004B3F02" w:rsidRDefault="004B3F02" w:rsidP="004B3F02">
            <w:pPr>
              <w:jc w:val="right"/>
              <w:rPr>
                <w:rFonts w:ascii="Arial" w:hAnsi="Arial" w:cs="Arial"/>
                <w:b/>
                <w:bCs/>
                <w:color w:val="000000"/>
                <w:sz w:val="16"/>
                <w:szCs w:val="16"/>
              </w:rPr>
            </w:pPr>
            <w:r w:rsidRPr="004B3F02">
              <w:rPr>
                <w:rFonts w:ascii="Arial" w:hAnsi="Arial" w:cs="Arial"/>
                <w:b/>
                <w:bCs/>
                <w:color w:val="000000"/>
                <w:sz w:val="16"/>
                <w:szCs w:val="16"/>
              </w:rPr>
              <w:t xml:space="preserve">Vrednost </w:t>
            </w:r>
            <w:r w:rsidRPr="004B3F02">
              <w:rPr>
                <w:rFonts w:ascii="Arial" w:hAnsi="Arial" w:cs="Arial"/>
                <w:b/>
                <w:bCs/>
                <w:color w:val="000000"/>
                <w:sz w:val="16"/>
                <w:szCs w:val="16"/>
              </w:rPr>
              <w:br/>
              <w:t>[EUR]</w:t>
            </w:r>
          </w:p>
        </w:tc>
        <w:tc>
          <w:tcPr>
            <w:tcW w:w="654" w:type="pct"/>
            <w:tcBorders>
              <w:top w:val="single" w:sz="4" w:space="0" w:color="auto"/>
              <w:left w:val="nil"/>
              <w:bottom w:val="single" w:sz="4" w:space="0" w:color="auto"/>
              <w:right w:val="single" w:sz="4" w:space="0" w:color="auto"/>
            </w:tcBorders>
            <w:shd w:val="clear" w:color="000000" w:fill="B8CCE4"/>
            <w:hideMark/>
          </w:tcPr>
          <w:p w14:paraId="00EACEA1" w14:textId="77777777" w:rsidR="004B3F02" w:rsidRPr="004B3F02" w:rsidRDefault="004B3F02" w:rsidP="004B3F02">
            <w:pPr>
              <w:jc w:val="right"/>
              <w:rPr>
                <w:rFonts w:ascii="Arial" w:hAnsi="Arial" w:cs="Arial"/>
                <w:b/>
                <w:bCs/>
                <w:color w:val="000000"/>
                <w:sz w:val="16"/>
                <w:szCs w:val="16"/>
              </w:rPr>
            </w:pPr>
            <w:r w:rsidRPr="004B3F02">
              <w:rPr>
                <w:rFonts w:ascii="Arial" w:hAnsi="Arial" w:cs="Arial"/>
                <w:b/>
                <w:bCs/>
                <w:color w:val="000000"/>
                <w:sz w:val="16"/>
                <w:szCs w:val="16"/>
              </w:rPr>
              <w:t xml:space="preserve">Leto </w:t>
            </w:r>
            <w:r w:rsidRPr="004B3F02">
              <w:rPr>
                <w:rFonts w:ascii="Arial" w:hAnsi="Arial" w:cs="Arial"/>
                <w:b/>
                <w:bCs/>
                <w:color w:val="000000"/>
                <w:sz w:val="16"/>
                <w:szCs w:val="16"/>
              </w:rPr>
              <w:br/>
              <w:t>2020</w:t>
            </w:r>
          </w:p>
        </w:tc>
        <w:tc>
          <w:tcPr>
            <w:tcW w:w="654" w:type="pct"/>
            <w:tcBorders>
              <w:top w:val="single" w:sz="4" w:space="0" w:color="auto"/>
              <w:left w:val="nil"/>
              <w:bottom w:val="single" w:sz="4" w:space="0" w:color="auto"/>
              <w:right w:val="single" w:sz="4" w:space="0" w:color="auto"/>
            </w:tcBorders>
            <w:shd w:val="clear" w:color="000000" w:fill="B8CCE4"/>
            <w:hideMark/>
          </w:tcPr>
          <w:p w14:paraId="4B059BA7" w14:textId="77777777" w:rsidR="004B3F02" w:rsidRPr="004B3F02" w:rsidRDefault="004B3F02" w:rsidP="004B3F02">
            <w:pPr>
              <w:jc w:val="right"/>
              <w:rPr>
                <w:rFonts w:ascii="Arial" w:hAnsi="Arial" w:cs="Arial"/>
                <w:b/>
                <w:bCs/>
                <w:color w:val="000000"/>
                <w:sz w:val="16"/>
                <w:szCs w:val="16"/>
              </w:rPr>
            </w:pPr>
            <w:r w:rsidRPr="004B3F02">
              <w:rPr>
                <w:rFonts w:ascii="Arial" w:hAnsi="Arial" w:cs="Arial"/>
                <w:b/>
                <w:bCs/>
                <w:color w:val="000000"/>
                <w:sz w:val="16"/>
                <w:szCs w:val="16"/>
              </w:rPr>
              <w:t>Leto</w:t>
            </w:r>
            <w:r w:rsidRPr="004B3F02">
              <w:rPr>
                <w:rFonts w:ascii="Arial" w:hAnsi="Arial" w:cs="Arial"/>
                <w:b/>
                <w:bCs/>
                <w:color w:val="000000"/>
                <w:sz w:val="16"/>
                <w:szCs w:val="16"/>
              </w:rPr>
              <w:br/>
              <w:t>2021</w:t>
            </w:r>
          </w:p>
        </w:tc>
        <w:tc>
          <w:tcPr>
            <w:tcW w:w="654" w:type="pct"/>
            <w:tcBorders>
              <w:top w:val="single" w:sz="4" w:space="0" w:color="auto"/>
              <w:left w:val="nil"/>
              <w:bottom w:val="single" w:sz="4" w:space="0" w:color="auto"/>
              <w:right w:val="single" w:sz="4" w:space="0" w:color="auto"/>
            </w:tcBorders>
            <w:shd w:val="clear" w:color="000000" w:fill="B8CCE4"/>
            <w:hideMark/>
          </w:tcPr>
          <w:p w14:paraId="3131331B" w14:textId="77777777" w:rsidR="004B3F02" w:rsidRPr="004B3F02" w:rsidRDefault="004B3F02" w:rsidP="004B3F02">
            <w:pPr>
              <w:jc w:val="right"/>
              <w:rPr>
                <w:rFonts w:ascii="Arial" w:hAnsi="Arial" w:cs="Arial"/>
                <w:b/>
                <w:bCs/>
                <w:color w:val="000000"/>
                <w:sz w:val="16"/>
                <w:szCs w:val="16"/>
              </w:rPr>
            </w:pPr>
            <w:r w:rsidRPr="004B3F02">
              <w:rPr>
                <w:rFonts w:ascii="Arial" w:hAnsi="Arial" w:cs="Arial"/>
                <w:b/>
                <w:bCs/>
                <w:color w:val="000000"/>
                <w:sz w:val="16"/>
                <w:szCs w:val="16"/>
              </w:rPr>
              <w:t>Leto</w:t>
            </w:r>
            <w:r w:rsidRPr="004B3F02">
              <w:rPr>
                <w:rFonts w:ascii="Arial" w:hAnsi="Arial" w:cs="Arial"/>
                <w:b/>
                <w:bCs/>
                <w:color w:val="000000"/>
                <w:sz w:val="16"/>
                <w:szCs w:val="16"/>
              </w:rPr>
              <w:br/>
              <w:t>2022</w:t>
            </w:r>
          </w:p>
        </w:tc>
      </w:tr>
      <w:tr w:rsidR="004B3F02" w:rsidRPr="004B3F02" w14:paraId="17F7EC5D" w14:textId="77777777" w:rsidTr="002503A2">
        <w:trPr>
          <w:trHeight w:hRule="exact" w:val="284"/>
        </w:trPr>
        <w:tc>
          <w:tcPr>
            <w:tcW w:w="1921" w:type="pct"/>
            <w:tcBorders>
              <w:top w:val="nil"/>
              <w:left w:val="single" w:sz="4" w:space="0" w:color="auto"/>
              <w:bottom w:val="single" w:sz="4" w:space="0" w:color="auto"/>
              <w:right w:val="single" w:sz="4" w:space="0" w:color="auto"/>
            </w:tcBorders>
            <w:shd w:val="clear" w:color="auto" w:fill="auto"/>
            <w:vAlign w:val="center"/>
            <w:hideMark/>
          </w:tcPr>
          <w:p w14:paraId="706F7AE8" w14:textId="77777777" w:rsidR="004B3F02" w:rsidRPr="004B3F02" w:rsidRDefault="004B3F02" w:rsidP="004B3F02">
            <w:pPr>
              <w:rPr>
                <w:rFonts w:ascii="Arial" w:hAnsi="Arial" w:cs="Arial"/>
                <w:sz w:val="16"/>
                <w:szCs w:val="16"/>
              </w:rPr>
            </w:pPr>
            <w:r w:rsidRPr="004B3F02">
              <w:rPr>
                <w:rFonts w:ascii="Arial" w:hAnsi="Arial" w:cs="Arial"/>
                <w:sz w:val="16"/>
                <w:szCs w:val="16"/>
              </w:rPr>
              <w:t>Nepovratna sredstva Eko sklad (II. skupina)</w:t>
            </w:r>
          </w:p>
        </w:tc>
        <w:tc>
          <w:tcPr>
            <w:tcW w:w="462" w:type="pct"/>
            <w:tcBorders>
              <w:top w:val="nil"/>
              <w:left w:val="nil"/>
              <w:bottom w:val="single" w:sz="4" w:space="0" w:color="auto"/>
              <w:right w:val="single" w:sz="4" w:space="0" w:color="auto"/>
            </w:tcBorders>
            <w:shd w:val="clear" w:color="auto" w:fill="auto"/>
            <w:vAlign w:val="center"/>
            <w:hideMark/>
          </w:tcPr>
          <w:p w14:paraId="7FCB0C24"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9,06%</w:t>
            </w:r>
          </w:p>
        </w:tc>
        <w:tc>
          <w:tcPr>
            <w:tcW w:w="654" w:type="pct"/>
            <w:tcBorders>
              <w:top w:val="nil"/>
              <w:left w:val="nil"/>
              <w:bottom w:val="single" w:sz="4" w:space="0" w:color="auto"/>
              <w:right w:val="single" w:sz="4" w:space="0" w:color="auto"/>
            </w:tcBorders>
            <w:shd w:val="clear" w:color="auto" w:fill="auto"/>
            <w:vAlign w:val="center"/>
            <w:hideMark/>
          </w:tcPr>
          <w:p w14:paraId="2B9DB6A4"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516.119,00</w:t>
            </w:r>
          </w:p>
        </w:tc>
        <w:tc>
          <w:tcPr>
            <w:tcW w:w="654" w:type="pct"/>
            <w:tcBorders>
              <w:top w:val="nil"/>
              <w:left w:val="nil"/>
              <w:bottom w:val="single" w:sz="4" w:space="0" w:color="auto"/>
              <w:right w:val="single" w:sz="4" w:space="0" w:color="auto"/>
            </w:tcBorders>
            <w:shd w:val="clear" w:color="auto" w:fill="auto"/>
            <w:noWrap/>
            <w:vAlign w:val="center"/>
          </w:tcPr>
          <w:p w14:paraId="5C748B44"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0,00</w:t>
            </w:r>
          </w:p>
        </w:tc>
        <w:tc>
          <w:tcPr>
            <w:tcW w:w="654" w:type="pct"/>
            <w:tcBorders>
              <w:top w:val="nil"/>
              <w:left w:val="nil"/>
              <w:bottom w:val="single" w:sz="4" w:space="0" w:color="auto"/>
              <w:right w:val="single" w:sz="4" w:space="0" w:color="auto"/>
            </w:tcBorders>
            <w:shd w:val="clear" w:color="auto" w:fill="auto"/>
            <w:noWrap/>
            <w:vAlign w:val="center"/>
          </w:tcPr>
          <w:p w14:paraId="7E0F99CC"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0,00</w:t>
            </w:r>
          </w:p>
        </w:tc>
        <w:tc>
          <w:tcPr>
            <w:tcW w:w="654" w:type="pct"/>
            <w:tcBorders>
              <w:top w:val="nil"/>
              <w:left w:val="nil"/>
              <w:bottom w:val="single" w:sz="4" w:space="0" w:color="auto"/>
              <w:right w:val="single" w:sz="4" w:space="0" w:color="auto"/>
            </w:tcBorders>
            <w:shd w:val="clear" w:color="auto" w:fill="auto"/>
            <w:noWrap/>
            <w:vAlign w:val="center"/>
            <w:hideMark/>
          </w:tcPr>
          <w:p w14:paraId="378C2F1B"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516.119,00</w:t>
            </w:r>
          </w:p>
        </w:tc>
      </w:tr>
      <w:tr w:rsidR="004B3F02" w:rsidRPr="004B3F02" w14:paraId="29F805B6" w14:textId="77777777" w:rsidTr="002503A2">
        <w:trPr>
          <w:trHeight w:hRule="exact" w:val="284"/>
        </w:trPr>
        <w:tc>
          <w:tcPr>
            <w:tcW w:w="1921" w:type="pct"/>
            <w:tcBorders>
              <w:top w:val="nil"/>
              <w:left w:val="single" w:sz="4" w:space="0" w:color="auto"/>
              <w:bottom w:val="single" w:sz="4" w:space="0" w:color="auto"/>
              <w:right w:val="single" w:sz="4" w:space="0" w:color="auto"/>
            </w:tcBorders>
            <w:shd w:val="clear" w:color="auto" w:fill="auto"/>
            <w:vAlign w:val="center"/>
          </w:tcPr>
          <w:p w14:paraId="1D335F30" w14:textId="77777777" w:rsidR="004B3F02" w:rsidRPr="004B3F02" w:rsidRDefault="004B3F02" w:rsidP="004B3F02">
            <w:pPr>
              <w:rPr>
                <w:rFonts w:ascii="Arial" w:hAnsi="Arial" w:cs="Arial"/>
                <w:sz w:val="16"/>
                <w:szCs w:val="16"/>
              </w:rPr>
            </w:pPr>
            <w:r w:rsidRPr="004B3F02">
              <w:rPr>
                <w:rFonts w:ascii="Arial" w:hAnsi="Arial" w:cs="Arial"/>
                <w:sz w:val="16"/>
                <w:szCs w:val="16"/>
              </w:rPr>
              <w:t>Ministrstvo za izobraževanje, znanost in šport</w:t>
            </w:r>
          </w:p>
        </w:tc>
        <w:tc>
          <w:tcPr>
            <w:tcW w:w="462" w:type="pct"/>
            <w:tcBorders>
              <w:top w:val="nil"/>
              <w:left w:val="nil"/>
              <w:bottom w:val="single" w:sz="4" w:space="0" w:color="auto"/>
              <w:right w:val="single" w:sz="4" w:space="0" w:color="auto"/>
            </w:tcBorders>
            <w:shd w:val="clear" w:color="auto" w:fill="auto"/>
            <w:vAlign w:val="center"/>
          </w:tcPr>
          <w:p w14:paraId="56D77F24"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55,83%</w:t>
            </w:r>
          </w:p>
        </w:tc>
        <w:tc>
          <w:tcPr>
            <w:tcW w:w="654" w:type="pct"/>
            <w:tcBorders>
              <w:top w:val="nil"/>
              <w:left w:val="nil"/>
              <w:bottom w:val="single" w:sz="4" w:space="0" w:color="auto"/>
              <w:right w:val="single" w:sz="4" w:space="0" w:color="auto"/>
            </w:tcBorders>
            <w:shd w:val="clear" w:color="auto" w:fill="auto"/>
            <w:vAlign w:val="center"/>
          </w:tcPr>
          <w:p w14:paraId="24356597"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3.180.287,02</w:t>
            </w:r>
          </w:p>
        </w:tc>
        <w:tc>
          <w:tcPr>
            <w:tcW w:w="654" w:type="pct"/>
            <w:tcBorders>
              <w:top w:val="nil"/>
              <w:left w:val="nil"/>
              <w:bottom w:val="single" w:sz="4" w:space="0" w:color="auto"/>
              <w:right w:val="single" w:sz="4" w:space="0" w:color="auto"/>
            </w:tcBorders>
            <w:shd w:val="clear" w:color="auto" w:fill="auto"/>
            <w:noWrap/>
            <w:vAlign w:val="center"/>
          </w:tcPr>
          <w:p w14:paraId="2F871FB5"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0,00</w:t>
            </w:r>
          </w:p>
        </w:tc>
        <w:tc>
          <w:tcPr>
            <w:tcW w:w="654" w:type="pct"/>
            <w:tcBorders>
              <w:top w:val="nil"/>
              <w:left w:val="nil"/>
              <w:bottom w:val="single" w:sz="4" w:space="0" w:color="auto"/>
              <w:right w:val="single" w:sz="4" w:space="0" w:color="auto"/>
            </w:tcBorders>
            <w:shd w:val="clear" w:color="auto" w:fill="auto"/>
            <w:noWrap/>
            <w:vAlign w:val="center"/>
          </w:tcPr>
          <w:p w14:paraId="6DD83207"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344.594,90</w:t>
            </w:r>
          </w:p>
        </w:tc>
        <w:tc>
          <w:tcPr>
            <w:tcW w:w="654" w:type="pct"/>
            <w:tcBorders>
              <w:top w:val="nil"/>
              <w:left w:val="nil"/>
              <w:bottom w:val="single" w:sz="4" w:space="0" w:color="auto"/>
              <w:right w:val="single" w:sz="4" w:space="0" w:color="auto"/>
            </w:tcBorders>
            <w:shd w:val="clear" w:color="auto" w:fill="auto"/>
            <w:noWrap/>
            <w:vAlign w:val="center"/>
          </w:tcPr>
          <w:p w14:paraId="1A041721"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2.835.692,12</w:t>
            </w:r>
          </w:p>
        </w:tc>
      </w:tr>
      <w:tr w:rsidR="004B3F02" w:rsidRPr="004B3F02" w14:paraId="243638C9" w14:textId="77777777" w:rsidTr="002503A2">
        <w:trPr>
          <w:trHeight w:hRule="exact" w:val="284"/>
        </w:trPr>
        <w:tc>
          <w:tcPr>
            <w:tcW w:w="1921" w:type="pct"/>
            <w:tcBorders>
              <w:top w:val="nil"/>
              <w:left w:val="single" w:sz="4" w:space="0" w:color="auto"/>
              <w:bottom w:val="single" w:sz="4" w:space="0" w:color="auto"/>
              <w:right w:val="single" w:sz="4" w:space="0" w:color="auto"/>
            </w:tcBorders>
            <w:shd w:val="clear" w:color="auto" w:fill="auto"/>
            <w:vAlign w:val="center"/>
            <w:hideMark/>
          </w:tcPr>
          <w:p w14:paraId="2AFFDDDA" w14:textId="77777777" w:rsidR="004B3F02" w:rsidRPr="004B3F02" w:rsidRDefault="004B3F02" w:rsidP="004B3F02">
            <w:pPr>
              <w:rPr>
                <w:rFonts w:ascii="Arial" w:hAnsi="Arial" w:cs="Arial"/>
                <w:sz w:val="16"/>
                <w:szCs w:val="16"/>
              </w:rPr>
            </w:pPr>
            <w:r w:rsidRPr="004B3F02">
              <w:rPr>
                <w:rFonts w:ascii="Arial" w:hAnsi="Arial" w:cs="Arial"/>
                <w:sz w:val="16"/>
                <w:szCs w:val="16"/>
              </w:rPr>
              <w:t>Lastna sredstva Občina Prevalje</w:t>
            </w:r>
          </w:p>
        </w:tc>
        <w:tc>
          <w:tcPr>
            <w:tcW w:w="462" w:type="pct"/>
            <w:tcBorders>
              <w:top w:val="nil"/>
              <w:left w:val="nil"/>
              <w:bottom w:val="single" w:sz="4" w:space="0" w:color="auto"/>
              <w:right w:val="single" w:sz="4" w:space="0" w:color="auto"/>
            </w:tcBorders>
            <w:shd w:val="clear" w:color="auto" w:fill="auto"/>
            <w:vAlign w:val="center"/>
            <w:hideMark/>
          </w:tcPr>
          <w:p w14:paraId="34EEB9A8"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35,11%</w:t>
            </w:r>
          </w:p>
        </w:tc>
        <w:tc>
          <w:tcPr>
            <w:tcW w:w="654" w:type="pct"/>
            <w:tcBorders>
              <w:top w:val="nil"/>
              <w:left w:val="nil"/>
              <w:bottom w:val="single" w:sz="4" w:space="0" w:color="auto"/>
              <w:right w:val="single" w:sz="4" w:space="0" w:color="auto"/>
            </w:tcBorders>
            <w:shd w:val="clear" w:color="auto" w:fill="auto"/>
            <w:vAlign w:val="center"/>
            <w:hideMark/>
          </w:tcPr>
          <w:p w14:paraId="4555241E"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2.000.000,00</w:t>
            </w:r>
          </w:p>
        </w:tc>
        <w:tc>
          <w:tcPr>
            <w:tcW w:w="654" w:type="pct"/>
            <w:tcBorders>
              <w:top w:val="nil"/>
              <w:left w:val="nil"/>
              <w:bottom w:val="single" w:sz="4" w:space="0" w:color="auto"/>
              <w:right w:val="single" w:sz="4" w:space="0" w:color="auto"/>
            </w:tcBorders>
            <w:shd w:val="clear" w:color="auto" w:fill="auto"/>
            <w:noWrap/>
            <w:vAlign w:val="center"/>
            <w:hideMark/>
          </w:tcPr>
          <w:p w14:paraId="6E5774AD"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155.800,34</w:t>
            </w:r>
          </w:p>
        </w:tc>
        <w:tc>
          <w:tcPr>
            <w:tcW w:w="654" w:type="pct"/>
            <w:tcBorders>
              <w:top w:val="nil"/>
              <w:left w:val="nil"/>
              <w:bottom w:val="single" w:sz="4" w:space="0" w:color="auto"/>
              <w:right w:val="single" w:sz="4" w:space="0" w:color="auto"/>
            </w:tcBorders>
            <w:shd w:val="clear" w:color="auto" w:fill="auto"/>
            <w:noWrap/>
            <w:vAlign w:val="center"/>
            <w:hideMark/>
          </w:tcPr>
          <w:p w14:paraId="2C2412A0"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1.844.199,66</w:t>
            </w:r>
          </w:p>
        </w:tc>
        <w:tc>
          <w:tcPr>
            <w:tcW w:w="654" w:type="pct"/>
            <w:tcBorders>
              <w:top w:val="nil"/>
              <w:left w:val="nil"/>
              <w:bottom w:val="single" w:sz="4" w:space="0" w:color="auto"/>
              <w:right w:val="single" w:sz="4" w:space="0" w:color="auto"/>
            </w:tcBorders>
            <w:shd w:val="clear" w:color="auto" w:fill="auto"/>
            <w:noWrap/>
            <w:vAlign w:val="center"/>
            <w:hideMark/>
          </w:tcPr>
          <w:p w14:paraId="7EEB4EAD" w14:textId="77777777" w:rsidR="004B3F02" w:rsidRPr="004B3F02" w:rsidRDefault="004B3F02" w:rsidP="004B3F02">
            <w:pPr>
              <w:jc w:val="right"/>
              <w:rPr>
                <w:rFonts w:ascii="Arial" w:hAnsi="Arial" w:cs="Arial"/>
                <w:sz w:val="16"/>
                <w:szCs w:val="16"/>
              </w:rPr>
            </w:pPr>
            <w:r w:rsidRPr="004B3F02">
              <w:rPr>
                <w:rFonts w:ascii="Arial" w:hAnsi="Arial" w:cs="Arial"/>
                <w:sz w:val="16"/>
                <w:szCs w:val="16"/>
              </w:rPr>
              <w:t>0,00</w:t>
            </w:r>
          </w:p>
        </w:tc>
      </w:tr>
      <w:tr w:rsidR="004B3F02" w:rsidRPr="004B3F02" w14:paraId="775AA676" w14:textId="77777777" w:rsidTr="002503A2">
        <w:trPr>
          <w:trHeight w:hRule="exact" w:val="284"/>
        </w:trPr>
        <w:tc>
          <w:tcPr>
            <w:tcW w:w="1921" w:type="pct"/>
            <w:tcBorders>
              <w:top w:val="nil"/>
              <w:left w:val="single" w:sz="4" w:space="0" w:color="auto"/>
              <w:bottom w:val="single" w:sz="4" w:space="0" w:color="auto"/>
              <w:right w:val="single" w:sz="4" w:space="0" w:color="auto"/>
            </w:tcBorders>
            <w:shd w:val="clear" w:color="000000" w:fill="F2F2F2"/>
            <w:vAlign w:val="center"/>
            <w:hideMark/>
          </w:tcPr>
          <w:p w14:paraId="4F2D4D43" w14:textId="77777777" w:rsidR="004B3F02" w:rsidRPr="004B3F02" w:rsidRDefault="004B3F02" w:rsidP="004B3F02">
            <w:pPr>
              <w:rPr>
                <w:rFonts w:ascii="Arial" w:hAnsi="Arial" w:cs="Arial"/>
                <w:b/>
                <w:bCs/>
                <w:sz w:val="16"/>
                <w:szCs w:val="16"/>
              </w:rPr>
            </w:pPr>
            <w:r w:rsidRPr="004B3F02">
              <w:rPr>
                <w:rFonts w:ascii="Arial" w:hAnsi="Arial" w:cs="Arial"/>
                <w:b/>
                <w:bCs/>
                <w:sz w:val="16"/>
                <w:szCs w:val="16"/>
              </w:rPr>
              <w:t>Investicijska vrednost z DDV</w:t>
            </w:r>
          </w:p>
        </w:tc>
        <w:tc>
          <w:tcPr>
            <w:tcW w:w="462" w:type="pct"/>
            <w:tcBorders>
              <w:top w:val="nil"/>
              <w:left w:val="nil"/>
              <w:bottom w:val="single" w:sz="4" w:space="0" w:color="auto"/>
              <w:right w:val="single" w:sz="4" w:space="0" w:color="auto"/>
            </w:tcBorders>
            <w:shd w:val="clear" w:color="000000" w:fill="F2F2F2"/>
            <w:vAlign w:val="center"/>
            <w:hideMark/>
          </w:tcPr>
          <w:p w14:paraId="17F9DFCE" w14:textId="77777777" w:rsidR="004B3F02" w:rsidRPr="004B3F02" w:rsidRDefault="004B3F02" w:rsidP="004B3F02">
            <w:pPr>
              <w:jc w:val="right"/>
              <w:rPr>
                <w:rFonts w:ascii="Arial" w:hAnsi="Arial" w:cs="Arial"/>
                <w:b/>
                <w:bCs/>
                <w:sz w:val="16"/>
                <w:szCs w:val="16"/>
              </w:rPr>
            </w:pPr>
            <w:r w:rsidRPr="004B3F02">
              <w:rPr>
                <w:rFonts w:ascii="Arial" w:hAnsi="Arial" w:cs="Arial"/>
                <w:b/>
                <w:bCs/>
                <w:sz w:val="16"/>
                <w:szCs w:val="16"/>
              </w:rPr>
              <w:t>100,00%</w:t>
            </w:r>
          </w:p>
        </w:tc>
        <w:tc>
          <w:tcPr>
            <w:tcW w:w="654" w:type="pct"/>
            <w:tcBorders>
              <w:top w:val="nil"/>
              <w:left w:val="nil"/>
              <w:bottom w:val="single" w:sz="4" w:space="0" w:color="auto"/>
              <w:right w:val="single" w:sz="4" w:space="0" w:color="auto"/>
            </w:tcBorders>
            <w:shd w:val="clear" w:color="000000" w:fill="F2F2F2"/>
            <w:vAlign w:val="center"/>
            <w:hideMark/>
          </w:tcPr>
          <w:p w14:paraId="680B9ADB" w14:textId="77777777" w:rsidR="004B3F02" w:rsidRPr="004B3F02" w:rsidRDefault="004B3F02" w:rsidP="004B3F02">
            <w:pPr>
              <w:jc w:val="right"/>
              <w:rPr>
                <w:rFonts w:ascii="Arial" w:hAnsi="Arial" w:cs="Arial"/>
                <w:b/>
                <w:bCs/>
                <w:sz w:val="16"/>
                <w:szCs w:val="16"/>
              </w:rPr>
            </w:pPr>
            <w:r w:rsidRPr="004B3F02">
              <w:rPr>
                <w:rFonts w:ascii="Arial" w:hAnsi="Arial" w:cs="Arial"/>
                <w:b/>
                <w:bCs/>
                <w:sz w:val="16"/>
                <w:szCs w:val="16"/>
              </w:rPr>
              <w:t>5.696.406,02</w:t>
            </w:r>
          </w:p>
        </w:tc>
        <w:tc>
          <w:tcPr>
            <w:tcW w:w="654" w:type="pct"/>
            <w:tcBorders>
              <w:top w:val="nil"/>
              <w:left w:val="nil"/>
              <w:bottom w:val="single" w:sz="4" w:space="0" w:color="auto"/>
              <w:right w:val="single" w:sz="4" w:space="0" w:color="auto"/>
            </w:tcBorders>
            <w:shd w:val="clear" w:color="000000" w:fill="F2F2F2"/>
            <w:vAlign w:val="center"/>
            <w:hideMark/>
          </w:tcPr>
          <w:p w14:paraId="2040A62B" w14:textId="77777777" w:rsidR="004B3F02" w:rsidRPr="004B3F02" w:rsidRDefault="004B3F02" w:rsidP="004B3F02">
            <w:pPr>
              <w:jc w:val="right"/>
              <w:rPr>
                <w:rFonts w:ascii="Arial" w:hAnsi="Arial" w:cs="Arial"/>
                <w:b/>
                <w:bCs/>
                <w:sz w:val="16"/>
                <w:szCs w:val="16"/>
              </w:rPr>
            </w:pPr>
            <w:r w:rsidRPr="004B3F02">
              <w:rPr>
                <w:rFonts w:ascii="Arial" w:hAnsi="Arial" w:cs="Arial"/>
                <w:b/>
                <w:bCs/>
                <w:sz w:val="16"/>
                <w:szCs w:val="16"/>
              </w:rPr>
              <w:t>155.800,34</w:t>
            </w:r>
          </w:p>
        </w:tc>
        <w:tc>
          <w:tcPr>
            <w:tcW w:w="654" w:type="pct"/>
            <w:tcBorders>
              <w:top w:val="nil"/>
              <w:left w:val="nil"/>
              <w:bottom w:val="single" w:sz="4" w:space="0" w:color="auto"/>
              <w:right w:val="single" w:sz="4" w:space="0" w:color="auto"/>
            </w:tcBorders>
            <w:shd w:val="clear" w:color="000000" w:fill="F2F2F2"/>
            <w:vAlign w:val="center"/>
            <w:hideMark/>
          </w:tcPr>
          <w:p w14:paraId="6B337498" w14:textId="77777777" w:rsidR="004B3F02" w:rsidRPr="004B3F02" w:rsidRDefault="004B3F02" w:rsidP="004B3F02">
            <w:pPr>
              <w:jc w:val="right"/>
              <w:rPr>
                <w:rFonts w:ascii="Arial" w:hAnsi="Arial" w:cs="Arial"/>
                <w:b/>
                <w:bCs/>
                <w:sz w:val="16"/>
                <w:szCs w:val="16"/>
              </w:rPr>
            </w:pPr>
            <w:r w:rsidRPr="004B3F02">
              <w:rPr>
                <w:rFonts w:ascii="Arial" w:hAnsi="Arial" w:cs="Arial"/>
                <w:b/>
                <w:bCs/>
                <w:sz w:val="16"/>
                <w:szCs w:val="16"/>
              </w:rPr>
              <w:t>2.188.794,56</w:t>
            </w:r>
          </w:p>
        </w:tc>
        <w:tc>
          <w:tcPr>
            <w:tcW w:w="654" w:type="pct"/>
            <w:tcBorders>
              <w:top w:val="nil"/>
              <w:left w:val="nil"/>
              <w:bottom w:val="single" w:sz="4" w:space="0" w:color="auto"/>
              <w:right w:val="single" w:sz="4" w:space="0" w:color="auto"/>
            </w:tcBorders>
            <w:shd w:val="clear" w:color="000000" w:fill="F2F2F2"/>
            <w:vAlign w:val="center"/>
            <w:hideMark/>
          </w:tcPr>
          <w:p w14:paraId="300CD52B" w14:textId="77777777" w:rsidR="004B3F02" w:rsidRPr="004B3F02" w:rsidRDefault="004B3F02" w:rsidP="004B3F02">
            <w:pPr>
              <w:jc w:val="right"/>
              <w:rPr>
                <w:rFonts w:ascii="Arial" w:hAnsi="Arial" w:cs="Arial"/>
                <w:b/>
                <w:bCs/>
                <w:sz w:val="16"/>
                <w:szCs w:val="16"/>
              </w:rPr>
            </w:pPr>
            <w:r w:rsidRPr="004B3F02">
              <w:rPr>
                <w:rFonts w:ascii="Arial" w:hAnsi="Arial" w:cs="Arial"/>
                <w:b/>
                <w:bCs/>
                <w:sz w:val="16"/>
                <w:szCs w:val="16"/>
              </w:rPr>
              <w:t>3.351.811,12</w:t>
            </w:r>
          </w:p>
        </w:tc>
      </w:tr>
    </w:tbl>
    <w:p w14:paraId="230D8482" w14:textId="77777777" w:rsidR="004B3F02" w:rsidRPr="00C37251" w:rsidRDefault="004B3F02" w:rsidP="00C37251">
      <w:pPr>
        <w:jc w:val="both"/>
        <w:rPr>
          <w:rFonts w:ascii="Tahoma" w:hAnsi="Tahoma" w:cs="Tahoma"/>
          <w:sz w:val="22"/>
          <w:szCs w:val="22"/>
        </w:rPr>
      </w:pPr>
    </w:p>
    <w:p w14:paraId="04EB71D3" w14:textId="77777777" w:rsidR="002D18C2" w:rsidRPr="00C37251" w:rsidRDefault="002D18C2" w:rsidP="002D18C2">
      <w:pPr>
        <w:jc w:val="both"/>
        <w:rPr>
          <w:rFonts w:ascii="Tahoma" w:hAnsi="Tahoma" w:cs="Tahoma"/>
          <w:sz w:val="22"/>
          <w:szCs w:val="22"/>
        </w:rPr>
      </w:pPr>
    </w:p>
    <w:p w14:paraId="577A5413" w14:textId="36EB93E4" w:rsidR="002D18C2" w:rsidRDefault="00307A31" w:rsidP="002D18C2">
      <w:pPr>
        <w:jc w:val="both"/>
        <w:rPr>
          <w:rFonts w:ascii="Tahoma" w:hAnsi="Tahoma" w:cs="Tahoma"/>
          <w:sz w:val="22"/>
          <w:szCs w:val="22"/>
        </w:rPr>
      </w:pPr>
      <w:r w:rsidRPr="00C37251">
        <w:rPr>
          <w:rFonts w:ascii="Tahoma" w:hAnsi="Tahoma" w:cs="Tahoma"/>
          <w:sz w:val="22"/>
          <w:szCs w:val="22"/>
        </w:rPr>
        <w:t>Predlog sklep</w:t>
      </w:r>
      <w:r w:rsidR="004F0EA4">
        <w:rPr>
          <w:rFonts w:ascii="Tahoma" w:hAnsi="Tahoma" w:cs="Tahoma"/>
          <w:sz w:val="22"/>
          <w:szCs w:val="22"/>
        </w:rPr>
        <w:t>a</w:t>
      </w:r>
      <w:r w:rsidRPr="00C37251">
        <w:rPr>
          <w:rFonts w:ascii="Tahoma" w:hAnsi="Tahoma" w:cs="Tahoma"/>
          <w:sz w:val="22"/>
          <w:szCs w:val="22"/>
        </w:rPr>
        <w:t>:</w:t>
      </w:r>
    </w:p>
    <w:tbl>
      <w:tblPr>
        <w:tblW w:w="9072" w:type="dxa"/>
        <w:tblLook w:val="01E0" w:firstRow="1" w:lastRow="1" w:firstColumn="1" w:lastColumn="1" w:noHBand="0" w:noVBand="0"/>
      </w:tblPr>
      <w:tblGrid>
        <w:gridCol w:w="709"/>
        <w:gridCol w:w="8363"/>
      </w:tblGrid>
      <w:tr w:rsidR="00C37251" w:rsidRPr="00C37251" w14:paraId="36172468" w14:textId="77777777" w:rsidTr="004F0EA4">
        <w:tc>
          <w:tcPr>
            <w:tcW w:w="709" w:type="dxa"/>
          </w:tcPr>
          <w:p w14:paraId="0AF849BD" w14:textId="77777777" w:rsidR="00307A31" w:rsidRDefault="00307A31" w:rsidP="005D0A77">
            <w:pPr>
              <w:jc w:val="both"/>
              <w:rPr>
                <w:rFonts w:ascii="Tahoma" w:hAnsi="Tahoma" w:cs="Tahoma"/>
                <w:sz w:val="22"/>
                <w:szCs w:val="22"/>
              </w:rPr>
            </w:pPr>
          </w:p>
          <w:p w14:paraId="739F1945" w14:textId="77777777" w:rsidR="00307A31" w:rsidRDefault="00307A31" w:rsidP="005D0A77">
            <w:pPr>
              <w:jc w:val="both"/>
              <w:rPr>
                <w:rFonts w:ascii="Tahoma" w:hAnsi="Tahoma" w:cs="Tahoma"/>
                <w:sz w:val="22"/>
                <w:szCs w:val="22"/>
              </w:rPr>
            </w:pPr>
          </w:p>
          <w:p w14:paraId="39995DBC" w14:textId="77777777" w:rsidR="00307A31" w:rsidRDefault="00307A31" w:rsidP="005D0A77">
            <w:pPr>
              <w:jc w:val="both"/>
              <w:rPr>
                <w:rFonts w:ascii="Tahoma" w:hAnsi="Tahoma" w:cs="Tahoma"/>
                <w:sz w:val="22"/>
                <w:szCs w:val="22"/>
              </w:rPr>
            </w:pPr>
          </w:p>
          <w:p w14:paraId="4BADBDE7" w14:textId="77777777" w:rsidR="00307A31" w:rsidRDefault="00307A31" w:rsidP="005D0A77">
            <w:pPr>
              <w:jc w:val="both"/>
              <w:rPr>
                <w:rFonts w:ascii="Tahoma" w:hAnsi="Tahoma" w:cs="Tahoma"/>
                <w:sz w:val="22"/>
                <w:szCs w:val="22"/>
              </w:rPr>
            </w:pPr>
          </w:p>
          <w:p w14:paraId="635B2121" w14:textId="77777777" w:rsidR="00307A31" w:rsidRDefault="00307A31" w:rsidP="005D0A77">
            <w:pPr>
              <w:jc w:val="both"/>
              <w:rPr>
                <w:rFonts w:ascii="Tahoma" w:hAnsi="Tahoma" w:cs="Tahoma"/>
                <w:sz w:val="22"/>
                <w:szCs w:val="22"/>
              </w:rPr>
            </w:pPr>
          </w:p>
          <w:p w14:paraId="3A12E381" w14:textId="77777777" w:rsidR="00307A31" w:rsidRDefault="00307A31" w:rsidP="005D0A77">
            <w:pPr>
              <w:jc w:val="both"/>
              <w:rPr>
                <w:rFonts w:ascii="Tahoma" w:hAnsi="Tahoma" w:cs="Tahoma"/>
                <w:sz w:val="22"/>
                <w:szCs w:val="22"/>
              </w:rPr>
            </w:pPr>
          </w:p>
          <w:p w14:paraId="01AE90A7" w14:textId="77777777" w:rsidR="00307A31" w:rsidRDefault="00307A31" w:rsidP="005D0A77">
            <w:pPr>
              <w:jc w:val="both"/>
              <w:rPr>
                <w:rFonts w:ascii="Tahoma" w:hAnsi="Tahoma" w:cs="Tahoma"/>
                <w:sz w:val="22"/>
                <w:szCs w:val="22"/>
              </w:rPr>
            </w:pPr>
          </w:p>
          <w:p w14:paraId="20F00068" w14:textId="77777777" w:rsidR="00307A31" w:rsidRDefault="00307A31" w:rsidP="005D0A77">
            <w:pPr>
              <w:jc w:val="both"/>
              <w:rPr>
                <w:rFonts w:ascii="Tahoma" w:hAnsi="Tahoma" w:cs="Tahoma"/>
                <w:sz w:val="22"/>
                <w:szCs w:val="22"/>
              </w:rPr>
            </w:pPr>
          </w:p>
          <w:p w14:paraId="34A32624" w14:textId="250F8BA0" w:rsidR="00307A31" w:rsidRPr="00C37251" w:rsidRDefault="00307A31" w:rsidP="005D0A77">
            <w:pPr>
              <w:jc w:val="both"/>
              <w:rPr>
                <w:rFonts w:ascii="Tahoma" w:hAnsi="Tahoma" w:cs="Tahoma"/>
                <w:sz w:val="22"/>
                <w:szCs w:val="22"/>
              </w:rPr>
            </w:pPr>
          </w:p>
        </w:tc>
        <w:tc>
          <w:tcPr>
            <w:tcW w:w="8363" w:type="dxa"/>
          </w:tcPr>
          <w:p w14:paraId="71FB1442" w14:textId="77777777" w:rsidR="00307A31" w:rsidRDefault="00307A31" w:rsidP="005D0A77">
            <w:pPr>
              <w:jc w:val="both"/>
              <w:rPr>
                <w:rFonts w:ascii="Tahoma" w:hAnsi="Tahoma" w:cs="Tahoma"/>
                <w:b/>
                <w:sz w:val="22"/>
                <w:szCs w:val="22"/>
              </w:rPr>
            </w:pPr>
          </w:p>
          <w:p w14:paraId="1DC4B9AC" w14:textId="0AB2736F" w:rsidR="00307A31" w:rsidRPr="00C37251" w:rsidRDefault="00C37251" w:rsidP="005D0A77">
            <w:pPr>
              <w:jc w:val="both"/>
              <w:rPr>
                <w:rFonts w:ascii="Tahoma" w:hAnsi="Tahoma" w:cs="Tahoma"/>
                <w:b/>
                <w:sz w:val="22"/>
                <w:szCs w:val="22"/>
              </w:rPr>
            </w:pPr>
            <w:r w:rsidRPr="00C37251">
              <w:rPr>
                <w:rFonts w:ascii="Tahoma" w:hAnsi="Tahoma" w:cs="Tahoma"/>
                <w:b/>
                <w:sz w:val="22"/>
                <w:szCs w:val="22"/>
              </w:rPr>
              <w:t xml:space="preserve">Občinski svet Občine Prevalje </w:t>
            </w:r>
            <w:r w:rsidR="00307A31">
              <w:rPr>
                <w:rFonts w:ascii="Tahoma" w:hAnsi="Tahoma" w:cs="Tahoma"/>
                <w:b/>
                <w:sz w:val="22"/>
                <w:szCs w:val="22"/>
              </w:rPr>
              <w:t>sprejme</w:t>
            </w:r>
            <w:r w:rsidRPr="00C37251">
              <w:rPr>
                <w:rFonts w:ascii="Tahoma" w:hAnsi="Tahoma" w:cs="Tahoma"/>
                <w:b/>
                <w:sz w:val="22"/>
                <w:szCs w:val="22"/>
              </w:rPr>
              <w:t xml:space="preserve"> </w:t>
            </w:r>
            <w:r w:rsidR="00307A31">
              <w:rPr>
                <w:rFonts w:ascii="Tahoma" w:hAnsi="Tahoma" w:cs="Tahoma"/>
                <w:b/>
                <w:sz w:val="22"/>
                <w:szCs w:val="22"/>
              </w:rPr>
              <w:t>D</w:t>
            </w:r>
            <w:r w:rsidRPr="00C37251">
              <w:rPr>
                <w:rFonts w:ascii="Tahoma" w:hAnsi="Tahoma" w:cs="Tahoma"/>
                <w:b/>
                <w:sz w:val="22"/>
                <w:szCs w:val="22"/>
              </w:rPr>
              <w:t xml:space="preserve">okument identifikacije investicijskega projekta – DIIP </w:t>
            </w:r>
            <w:r w:rsidR="004B3F02">
              <w:rPr>
                <w:rFonts w:ascii="Tahoma" w:hAnsi="Tahoma" w:cs="Tahoma"/>
                <w:b/>
                <w:sz w:val="22"/>
                <w:szCs w:val="22"/>
              </w:rPr>
              <w:t xml:space="preserve">za projekt: </w:t>
            </w:r>
            <w:r w:rsidR="004B3F02" w:rsidRPr="004B3F02">
              <w:rPr>
                <w:rFonts w:ascii="Tahoma" w:hAnsi="Tahoma" w:cs="Tahoma"/>
                <w:b/>
                <w:sz w:val="22"/>
                <w:szCs w:val="22"/>
              </w:rPr>
              <w:t>Izgradnja Športnega kompleksa »Koroški plezalni center in park Jezero«</w:t>
            </w:r>
            <w:bookmarkStart w:id="1" w:name="_GoBack"/>
            <w:bookmarkEnd w:id="1"/>
            <w:r w:rsidR="004B3F02">
              <w:rPr>
                <w:rFonts w:ascii="Tahoma" w:hAnsi="Tahoma" w:cs="Tahoma"/>
                <w:b/>
                <w:sz w:val="22"/>
                <w:szCs w:val="22"/>
              </w:rPr>
              <w:t>.</w:t>
            </w:r>
          </w:p>
          <w:p w14:paraId="1F13C810" w14:textId="77777777" w:rsidR="00C37251" w:rsidRDefault="00307A31" w:rsidP="005D0A77">
            <w:pPr>
              <w:jc w:val="both"/>
              <w:rPr>
                <w:rFonts w:ascii="Tahoma" w:hAnsi="Tahoma" w:cs="Tahoma"/>
                <w:b/>
                <w:sz w:val="22"/>
                <w:szCs w:val="22"/>
              </w:rPr>
            </w:pPr>
            <w:r w:rsidRPr="00C37251">
              <w:rPr>
                <w:rFonts w:ascii="Tahoma" w:hAnsi="Tahoma" w:cs="Tahoma"/>
                <w:b/>
                <w:sz w:val="22"/>
                <w:szCs w:val="22"/>
              </w:rPr>
              <w:t>Občinski svet pooblašča župana za morebitne kasnejše popravke in dopolnitve dokument</w:t>
            </w:r>
            <w:r>
              <w:rPr>
                <w:rFonts w:ascii="Tahoma" w:hAnsi="Tahoma" w:cs="Tahoma"/>
                <w:b/>
                <w:sz w:val="22"/>
                <w:szCs w:val="22"/>
              </w:rPr>
              <w:t>a</w:t>
            </w:r>
            <w:r w:rsidRPr="00C37251">
              <w:rPr>
                <w:rFonts w:ascii="Tahoma" w:hAnsi="Tahoma" w:cs="Tahoma"/>
                <w:b/>
                <w:sz w:val="22"/>
                <w:szCs w:val="22"/>
              </w:rPr>
              <w:t>, ki bi jih narekovale zahteve prijave za nepovratna sredstva.</w:t>
            </w:r>
          </w:p>
          <w:p w14:paraId="0104F427" w14:textId="1826D6EA" w:rsidR="00C37251" w:rsidRPr="00C37251" w:rsidRDefault="00C37251" w:rsidP="005D0A77">
            <w:pPr>
              <w:jc w:val="both"/>
              <w:rPr>
                <w:rFonts w:ascii="Tahoma" w:hAnsi="Tahoma" w:cs="Tahoma"/>
                <w:b/>
                <w:sz w:val="22"/>
                <w:szCs w:val="22"/>
              </w:rPr>
            </w:pPr>
          </w:p>
        </w:tc>
      </w:tr>
    </w:tbl>
    <w:p w14:paraId="30DC7204" w14:textId="77777777" w:rsidR="002D18C2" w:rsidRPr="00C37251" w:rsidRDefault="002D18C2" w:rsidP="002D18C2">
      <w:pPr>
        <w:jc w:val="center"/>
        <w:rPr>
          <w:rFonts w:ascii="Tahoma" w:hAnsi="Tahoma" w:cs="Tahoma"/>
          <w:b/>
          <w:sz w:val="22"/>
          <w:szCs w:val="22"/>
        </w:rPr>
      </w:pPr>
    </w:p>
    <w:p w14:paraId="140EC64B" w14:textId="77777777" w:rsidR="002D18C2" w:rsidRPr="00C37251" w:rsidRDefault="002D18C2" w:rsidP="002D18C2">
      <w:pPr>
        <w:jc w:val="center"/>
        <w:rPr>
          <w:rFonts w:ascii="Tahoma" w:hAnsi="Tahoma" w:cs="Tahoma"/>
          <w:b/>
          <w:sz w:val="22"/>
          <w:szCs w:val="22"/>
        </w:rPr>
      </w:pPr>
    </w:p>
    <w:p w14:paraId="15D9DFA0" w14:textId="77777777" w:rsidR="002D18C2" w:rsidRPr="00C37251" w:rsidRDefault="002D18C2" w:rsidP="002D18C2">
      <w:pPr>
        <w:jc w:val="center"/>
        <w:rPr>
          <w:rFonts w:ascii="Tahoma" w:hAnsi="Tahoma" w:cs="Tahoma"/>
          <w:b/>
          <w:sz w:val="22"/>
          <w:szCs w:val="22"/>
        </w:rPr>
      </w:pPr>
    </w:p>
    <w:p w14:paraId="6264AF53" w14:textId="77777777" w:rsidR="00B83453" w:rsidRPr="00C37251" w:rsidRDefault="00B83453" w:rsidP="00B83453">
      <w:pPr>
        <w:ind w:left="5954"/>
        <w:jc w:val="center"/>
        <w:rPr>
          <w:rFonts w:ascii="Tahoma" w:hAnsi="Tahoma" w:cs="Tahoma"/>
          <w:b/>
          <w:sz w:val="22"/>
          <w:szCs w:val="22"/>
        </w:rPr>
      </w:pPr>
      <w:r w:rsidRPr="00C37251">
        <w:rPr>
          <w:rFonts w:ascii="Tahoma" w:hAnsi="Tahoma" w:cs="Tahoma"/>
          <w:b/>
          <w:sz w:val="22"/>
          <w:szCs w:val="22"/>
        </w:rPr>
        <w:t>Župan Občine Prevalje</w:t>
      </w:r>
    </w:p>
    <w:p w14:paraId="4BA6F7D1" w14:textId="77777777" w:rsidR="002D18C2" w:rsidRPr="00C37251" w:rsidRDefault="00B83453" w:rsidP="00C37251">
      <w:pPr>
        <w:tabs>
          <w:tab w:val="center" w:pos="7797"/>
        </w:tabs>
        <w:ind w:left="5954"/>
        <w:jc w:val="center"/>
        <w:rPr>
          <w:rFonts w:ascii="Tahoma" w:hAnsi="Tahoma" w:cs="Tahoma"/>
          <w:b/>
          <w:sz w:val="22"/>
          <w:szCs w:val="22"/>
        </w:rPr>
      </w:pPr>
      <w:r w:rsidRPr="00C37251">
        <w:rPr>
          <w:rFonts w:ascii="Tahoma" w:hAnsi="Tahoma" w:cs="Tahoma"/>
          <w:b/>
          <w:sz w:val="22"/>
          <w:szCs w:val="22"/>
        </w:rPr>
        <w:t>dr. Matija Tasič</w:t>
      </w:r>
    </w:p>
    <w:sectPr w:rsidR="002D18C2" w:rsidRPr="00C37251" w:rsidSect="00C37251">
      <w:footerReference w:type="even"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CE9C1" w14:textId="77777777" w:rsidR="000D1C69" w:rsidRDefault="000D1C69">
      <w:r>
        <w:separator/>
      </w:r>
    </w:p>
  </w:endnote>
  <w:endnote w:type="continuationSeparator" w:id="0">
    <w:p w14:paraId="3E121A0E" w14:textId="77777777" w:rsidR="000D1C69" w:rsidRDefault="000D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DDFA5" w14:textId="77777777" w:rsidR="001D1536" w:rsidRDefault="002D18C2" w:rsidP="0067063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5</w:t>
    </w:r>
    <w:r>
      <w:rPr>
        <w:rStyle w:val="tevilkastrani"/>
      </w:rPr>
      <w:fldChar w:fldCharType="end"/>
    </w:r>
  </w:p>
  <w:p w14:paraId="7AF9AB28" w14:textId="77777777" w:rsidR="001D1536" w:rsidRDefault="000D1C69" w:rsidP="0067063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61A51" w14:textId="77777777" w:rsidR="001D1536" w:rsidRPr="00F25568" w:rsidRDefault="002D18C2" w:rsidP="0067063E">
    <w:pPr>
      <w:pStyle w:val="Noga"/>
      <w:framePr w:wrap="around" w:vAnchor="text" w:hAnchor="margin" w:xAlign="right" w:y="1"/>
      <w:rPr>
        <w:rStyle w:val="tevilkastrani"/>
        <w:rFonts w:ascii="Calibri" w:hAnsi="Calibri"/>
        <w:sz w:val="18"/>
        <w:szCs w:val="18"/>
      </w:rPr>
    </w:pPr>
    <w:r w:rsidRPr="00F25568">
      <w:rPr>
        <w:rStyle w:val="tevilkastrani"/>
        <w:rFonts w:ascii="Calibri" w:hAnsi="Calibri"/>
        <w:sz w:val="18"/>
        <w:szCs w:val="18"/>
      </w:rPr>
      <w:fldChar w:fldCharType="begin"/>
    </w:r>
    <w:r w:rsidRPr="00F25568">
      <w:rPr>
        <w:rStyle w:val="tevilkastrani"/>
        <w:rFonts w:ascii="Calibri" w:hAnsi="Calibri"/>
        <w:sz w:val="18"/>
        <w:szCs w:val="18"/>
      </w:rPr>
      <w:instrText xml:space="preserve">PAGE  </w:instrText>
    </w:r>
    <w:r w:rsidRPr="00F25568">
      <w:rPr>
        <w:rStyle w:val="tevilkastrani"/>
        <w:rFonts w:ascii="Calibri" w:hAnsi="Calibri"/>
        <w:sz w:val="18"/>
        <w:szCs w:val="18"/>
      </w:rPr>
      <w:fldChar w:fldCharType="separate"/>
    </w:r>
    <w:r w:rsidR="000D1C69">
      <w:rPr>
        <w:rStyle w:val="tevilkastrani"/>
        <w:rFonts w:ascii="Calibri" w:hAnsi="Calibri"/>
        <w:noProof/>
        <w:sz w:val="18"/>
        <w:szCs w:val="18"/>
      </w:rPr>
      <w:t>1</w:t>
    </w:r>
    <w:r w:rsidRPr="00F25568">
      <w:rPr>
        <w:rStyle w:val="tevilkastrani"/>
        <w:rFonts w:ascii="Calibri" w:hAnsi="Calibri"/>
        <w:sz w:val="18"/>
        <w:szCs w:val="18"/>
      </w:rPr>
      <w:fldChar w:fldCharType="end"/>
    </w:r>
  </w:p>
  <w:p w14:paraId="62CC6466" w14:textId="77777777" w:rsidR="001D1536" w:rsidRDefault="000D1C69" w:rsidP="0067063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D02E1" w14:textId="77777777" w:rsidR="000D1C69" w:rsidRDefault="000D1C69">
      <w:r>
        <w:separator/>
      </w:r>
    </w:p>
  </w:footnote>
  <w:footnote w:type="continuationSeparator" w:id="0">
    <w:p w14:paraId="3E509BB9" w14:textId="77777777" w:rsidR="000D1C69" w:rsidRDefault="000D1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C2"/>
    <w:rsid w:val="000D1C69"/>
    <w:rsid w:val="000D5C32"/>
    <w:rsid w:val="000F74A1"/>
    <w:rsid w:val="002D18C2"/>
    <w:rsid w:val="00307A31"/>
    <w:rsid w:val="004B3F02"/>
    <w:rsid w:val="004F0EA4"/>
    <w:rsid w:val="005D7662"/>
    <w:rsid w:val="00735822"/>
    <w:rsid w:val="008039DD"/>
    <w:rsid w:val="00892BB7"/>
    <w:rsid w:val="008D3A85"/>
    <w:rsid w:val="00955C98"/>
    <w:rsid w:val="00956BFC"/>
    <w:rsid w:val="00B1331C"/>
    <w:rsid w:val="00B83453"/>
    <w:rsid w:val="00C37251"/>
    <w:rsid w:val="00CD16D4"/>
    <w:rsid w:val="00D017B6"/>
    <w:rsid w:val="00D923D6"/>
    <w:rsid w:val="00DB00F9"/>
    <w:rsid w:val="00E356B7"/>
    <w:rsid w:val="00E82FAB"/>
    <w:rsid w:val="00EC0092"/>
    <w:rsid w:val="00F67D7B"/>
    <w:rsid w:val="00F803B5"/>
    <w:rsid w:val="00FE43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307B"/>
  <w15:chartTrackingRefBased/>
  <w15:docId w15:val="{ACE2EFB2-A4D0-4905-BB7D-254548E5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18C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2D18C2"/>
    <w:pPr>
      <w:keepNext/>
      <w:outlineLvl w:val="0"/>
    </w:pPr>
    <w:rPr>
      <w:b/>
      <w:sz w:val="20"/>
      <w:szCs w:val="20"/>
    </w:rPr>
  </w:style>
  <w:style w:type="paragraph" w:styleId="Naslov2">
    <w:name w:val="heading 2"/>
    <w:basedOn w:val="Navaden"/>
    <w:next w:val="Navaden"/>
    <w:link w:val="Naslov2Znak"/>
    <w:qFormat/>
    <w:rsid w:val="002D18C2"/>
    <w:pPr>
      <w:keepNext/>
      <w:outlineLvl w:val="1"/>
    </w:pPr>
    <w:rPr>
      <w:rFonts w:ascii="Tahoma" w:hAnsi="Tahoma"/>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D18C2"/>
    <w:rPr>
      <w:rFonts w:ascii="Times New Roman" w:eastAsia="Times New Roman" w:hAnsi="Times New Roman" w:cs="Times New Roman"/>
      <w:b/>
      <w:sz w:val="20"/>
      <w:szCs w:val="20"/>
      <w:lang w:eastAsia="sl-SI"/>
    </w:rPr>
  </w:style>
  <w:style w:type="character" w:customStyle="1" w:styleId="Naslov2Znak">
    <w:name w:val="Naslov 2 Znak"/>
    <w:basedOn w:val="Privzetapisavaodstavka"/>
    <w:link w:val="Naslov2"/>
    <w:rsid w:val="002D18C2"/>
    <w:rPr>
      <w:rFonts w:ascii="Tahoma" w:eastAsia="Times New Roman" w:hAnsi="Tahoma" w:cs="Times New Roman"/>
      <w:b/>
      <w:sz w:val="24"/>
      <w:szCs w:val="20"/>
      <w:lang w:eastAsia="sl-SI"/>
    </w:rPr>
  </w:style>
  <w:style w:type="paragraph" w:styleId="Noga">
    <w:name w:val="footer"/>
    <w:basedOn w:val="Navaden"/>
    <w:link w:val="NogaZnak"/>
    <w:rsid w:val="002D18C2"/>
    <w:pPr>
      <w:tabs>
        <w:tab w:val="center" w:pos="4536"/>
        <w:tab w:val="right" w:pos="9072"/>
      </w:tabs>
    </w:pPr>
    <w:rPr>
      <w:rFonts w:ascii="Tahoma" w:hAnsi="Tahoma" w:cs="Tahoma"/>
      <w:sz w:val="22"/>
      <w:szCs w:val="22"/>
    </w:rPr>
  </w:style>
  <w:style w:type="character" w:customStyle="1" w:styleId="NogaZnak">
    <w:name w:val="Noga Znak"/>
    <w:basedOn w:val="Privzetapisavaodstavka"/>
    <w:link w:val="Noga"/>
    <w:rsid w:val="002D18C2"/>
    <w:rPr>
      <w:rFonts w:ascii="Tahoma" w:eastAsia="Times New Roman" w:hAnsi="Tahoma" w:cs="Tahoma"/>
      <w:lang w:eastAsia="sl-SI"/>
    </w:rPr>
  </w:style>
  <w:style w:type="character" w:styleId="tevilkastrani">
    <w:name w:val="page number"/>
    <w:basedOn w:val="Privzetapisavaodstavka"/>
    <w:rsid w:val="002D18C2"/>
  </w:style>
  <w:style w:type="paragraph" w:styleId="Glava">
    <w:name w:val="header"/>
    <w:basedOn w:val="Navaden"/>
    <w:link w:val="GlavaZnak"/>
    <w:rsid w:val="00C37251"/>
    <w:pPr>
      <w:tabs>
        <w:tab w:val="center" w:pos="4153"/>
        <w:tab w:val="right" w:pos="8306"/>
      </w:tabs>
    </w:pPr>
    <w:rPr>
      <w:rFonts w:ascii="Wingdings" w:hAnsi="Wingdings"/>
      <w:sz w:val="20"/>
      <w:szCs w:val="20"/>
    </w:rPr>
  </w:style>
  <w:style w:type="character" w:customStyle="1" w:styleId="GlavaZnak">
    <w:name w:val="Glava Znak"/>
    <w:basedOn w:val="Privzetapisavaodstavka"/>
    <w:link w:val="Glava"/>
    <w:rsid w:val="00C37251"/>
    <w:rPr>
      <w:rFonts w:ascii="Wingdings" w:eastAsia="Times New Roman" w:hAnsi="Wingdings" w:cs="Times New Roman"/>
      <w:sz w:val="20"/>
      <w:szCs w:val="20"/>
      <w:lang w:eastAsia="sl-SI"/>
    </w:rPr>
  </w:style>
  <w:style w:type="character" w:styleId="Hiperpovezava">
    <w:name w:val="Hyperlink"/>
    <w:basedOn w:val="Privzetapisavaodstavka"/>
    <w:uiPriority w:val="99"/>
    <w:semiHidden/>
    <w:unhideWhenUsed/>
    <w:rsid w:val="00C37251"/>
    <w:rPr>
      <w:color w:val="0000FF"/>
      <w:u w:val="single"/>
    </w:rPr>
  </w:style>
  <w:style w:type="paragraph" w:customStyle="1" w:styleId="Standard">
    <w:name w:val="Standard"/>
    <w:rsid w:val="00C37251"/>
    <w:pPr>
      <w:suppressAutoHyphens/>
      <w:spacing w:after="0" w:line="240" w:lineRule="auto"/>
      <w:jc w:val="both"/>
    </w:pPr>
    <w:rPr>
      <w:rFonts w:ascii="Calibri" w:eastAsia="Times New Roman" w:hAnsi="Calibri" w:cs="Times New Roman"/>
      <w:szCs w:val="24"/>
      <w:lang w:eastAsia="sl-SI"/>
    </w:rPr>
  </w:style>
  <w:style w:type="table" w:customStyle="1" w:styleId="TableNormal">
    <w:name w:val="Table Normal"/>
    <w:uiPriority w:val="2"/>
    <w:semiHidden/>
    <w:unhideWhenUsed/>
    <w:qFormat/>
    <w:rsid w:val="005D76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5D7662"/>
    <w:pPr>
      <w:widowControl w:val="0"/>
      <w:autoSpaceDE w:val="0"/>
      <w:autoSpaceDN w:val="0"/>
    </w:pPr>
    <w:rPr>
      <w:rFonts w:ascii="Calibri" w:eastAsia="Calibri" w:hAnsi="Calibri" w:cs="Calibri"/>
      <w:sz w:val="22"/>
      <w:szCs w:val="22"/>
      <w:lang w:eastAsia="en-US"/>
    </w:rPr>
  </w:style>
  <w:style w:type="paragraph" w:styleId="Besedilooblaka">
    <w:name w:val="Balloon Text"/>
    <w:basedOn w:val="Navaden"/>
    <w:link w:val="BesedilooblakaZnak"/>
    <w:uiPriority w:val="99"/>
    <w:semiHidden/>
    <w:unhideWhenUsed/>
    <w:rsid w:val="005D766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7662"/>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604</Words>
  <Characters>3447</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5</cp:revision>
  <cp:lastPrinted>2020-06-12T07:35:00Z</cp:lastPrinted>
  <dcterms:created xsi:type="dcterms:W3CDTF">2020-06-10T15:30:00Z</dcterms:created>
  <dcterms:modified xsi:type="dcterms:W3CDTF">2020-09-09T15:05:00Z</dcterms:modified>
</cp:coreProperties>
</file>