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00" w:rsidRPr="00A24E00" w:rsidRDefault="00A24E00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1613"/>
      </w:tblGrid>
      <w:tr w:rsidR="00A24E00" w:rsidRPr="00A24E00" w:rsidTr="001F384B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A24E00" w:rsidRPr="00A24E00" w:rsidTr="001F384B">
              <w:tc>
                <w:tcPr>
                  <w:tcW w:w="244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OBČINA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Hrib 17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1318 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Tel.: 8350-100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Fax</w:t>
                  </w:r>
                  <w:proofErr w:type="spellEnd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4E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1511131" wp14:editId="4E0D884D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24E00" w:rsidRPr="00A24E00" w:rsidTr="001F384B">
        <w:trPr>
          <w:trHeight w:val="71"/>
        </w:trPr>
        <w:tc>
          <w:tcPr>
            <w:tcW w:w="2835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7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A24E00" w:rsidRPr="00A24E00" w:rsidRDefault="00A24E00" w:rsidP="00A24E00">
      <w:pPr>
        <w:spacing w:after="0" w:line="240" w:lineRule="auto"/>
        <w:ind w:left="71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4E00" w:rsidRPr="00A24E00" w:rsidRDefault="00A24E00" w:rsidP="00A2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4E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GRADIVO ZA  3. REDNO SEJO OBČINSKEGA SVETA, 19. 03. 2015</w:t>
      </w:r>
    </w:p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2DEF" w:rsidRPr="00A24E00" w:rsidRDefault="00A24E00" w:rsidP="00A2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00">
        <w:rPr>
          <w:rFonts w:ascii="Times New Roman" w:hAnsi="Times New Roman" w:cs="Times New Roman"/>
          <w:b/>
          <w:sz w:val="24"/>
          <w:szCs w:val="24"/>
        </w:rPr>
        <w:t>POROČILO O IZVRŠITVI SKLEPOV 2. REDNE SEJE, 18. 12. 2014</w:t>
      </w:r>
    </w:p>
    <w:p w:rsidR="00132DEF" w:rsidRPr="00A24E00" w:rsidRDefault="00132DEF" w:rsidP="00A24E00">
      <w:pPr>
        <w:ind w:right="-142"/>
        <w:rPr>
          <w:rFonts w:ascii="Times New Roman" w:hAnsi="Times New Roman" w:cs="Times New Roman"/>
          <w:sz w:val="24"/>
          <w:szCs w:val="24"/>
        </w:rPr>
      </w:pPr>
      <w:r w:rsidRPr="00A24E00">
        <w:rPr>
          <w:rFonts w:ascii="Times New Roman" w:hAnsi="Times New Roman" w:cs="Times New Roman"/>
          <w:sz w:val="24"/>
          <w:szCs w:val="24"/>
        </w:rPr>
        <w:t>Na seji je bilo obravnavano 12 točk dnevnega reda. Realizacija sklepov dnevnega reda:</w:t>
      </w:r>
    </w:p>
    <w:p w:rsidR="00EA524D" w:rsidRDefault="00732C22" w:rsidP="00EA524D">
      <w:pPr>
        <w:spacing w:after="0" w:line="240" w:lineRule="auto"/>
        <w:ind w:left="426" w:right="-142" w:hanging="426"/>
        <w:rPr>
          <w:rFonts w:ascii="Times New Roman" w:hAnsi="Times New Roman" w:cs="Times New Roman"/>
          <w:b/>
          <w:sz w:val="24"/>
          <w:szCs w:val="24"/>
        </w:rPr>
      </w:pPr>
      <w:r w:rsidRPr="00EA524D">
        <w:rPr>
          <w:rFonts w:ascii="Times New Roman" w:hAnsi="Times New Roman" w:cs="Times New Roman"/>
          <w:b/>
          <w:sz w:val="24"/>
          <w:szCs w:val="24"/>
        </w:rPr>
        <w:t>Ad</w:t>
      </w:r>
      <w:r w:rsidR="00EA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24D">
        <w:rPr>
          <w:rFonts w:ascii="Times New Roman" w:hAnsi="Times New Roman" w:cs="Times New Roman"/>
          <w:b/>
          <w:sz w:val="24"/>
          <w:szCs w:val="24"/>
        </w:rPr>
        <w:t xml:space="preserve">4. Sprejem sklepa o določitvi vrednosti točke za izračun nadomestila za uporabo stavbnega zemljišča v občini Loški Potok za leto 2015. </w:t>
      </w:r>
    </w:p>
    <w:p w:rsidR="00132DEF" w:rsidRDefault="00732C22" w:rsidP="00EA524D">
      <w:pPr>
        <w:spacing w:after="0" w:line="240" w:lineRule="auto"/>
        <w:ind w:left="852" w:right="-142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E00">
        <w:rPr>
          <w:rFonts w:ascii="Times New Roman" w:hAnsi="Times New Roman" w:cs="Times New Roman"/>
          <w:sz w:val="24"/>
          <w:szCs w:val="24"/>
        </w:rPr>
        <w:t xml:space="preserve">Sklep je bil objavljen v uradnem v </w:t>
      </w:r>
      <w:r w:rsidR="00A24E00" w:rsidRPr="00A24E00">
        <w:rPr>
          <w:rFonts w:ascii="Times New Roman" w:hAnsi="Times New Roman" w:cs="Times New Roman"/>
          <w:sz w:val="24"/>
          <w:szCs w:val="24"/>
        </w:rPr>
        <w:t>Uradnem listu RS, štev. 94/2014</w:t>
      </w:r>
    </w:p>
    <w:p w:rsidR="00EA524D" w:rsidRPr="00A24E00" w:rsidRDefault="00EA524D" w:rsidP="00EA524D">
      <w:pPr>
        <w:spacing w:after="0"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</w:p>
    <w:p w:rsidR="00EA524D" w:rsidRDefault="00132DEF" w:rsidP="00EA524D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EA524D">
        <w:rPr>
          <w:rFonts w:ascii="Times New Roman" w:hAnsi="Times New Roman" w:cs="Times New Roman"/>
          <w:b/>
          <w:sz w:val="24"/>
          <w:szCs w:val="24"/>
        </w:rPr>
        <w:t>Ad</w:t>
      </w:r>
      <w:r w:rsidR="00EA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24D">
        <w:rPr>
          <w:rFonts w:ascii="Times New Roman" w:hAnsi="Times New Roman" w:cs="Times New Roman"/>
          <w:b/>
          <w:sz w:val="24"/>
          <w:szCs w:val="24"/>
        </w:rPr>
        <w:t xml:space="preserve">5. Sprejem sklepa o enkratni denarni pomoči za novorojence v občini Loški Potok. </w:t>
      </w:r>
      <w:r w:rsidRPr="00A24E00">
        <w:rPr>
          <w:rFonts w:ascii="Times New Roman" w:hAnsi="Times New Roman" w:cs="Times New Roman"/>
          <w:sz w:val="24"/>
          <w:szCs w:val="24"/>
        </w:rPr>
        <w:t xml:space="preserve">Sklep, ki ga je svet sprejel je bil objavljen v uradnem listu </w:t>
      </w:r>
      <w:r w:rsidR="00A24E00" w:rsidRPr="00A24E00">
        <w:rPr>
          <w:rFonts w:ascii="Times New Roman" w:hAnsi="Times New Roman" w:cs="Times New Roman"/>
          <w:sz w:val="24"/>
          <w:szCs w:val="24"/>
        </w:rPr>
        <w:t>94/2014</w:t>
      </w:r>
      <w:r w:rsidRPr="00A24E00">
        <w:rPr>
          <w:rFonts w:ascii="Times New Roman" w:hAnsi="Times New Roman" w:cs="Times New Roman"/>
          <w:sz w:val="24"/>
          <w:szCs w:val="24"/>
        </w:rPr>
        <w:t xml:space="preserve"> in je stopil v veljavo 1.</w:t>
      </w:r>
      <w:r w:rsidR="00A24E00" w:rsidRPr="00A24E00">
        <w:rPr>
          <w:rFonts w:ascii="Times New Roman" w:hAnsi="Times New Roman" w:cs="Times New Roman"/>
          <w:sz w:val="24"/>
          <w:szCs w:val="24"/>
        </w:rPr>
        <w:t xml:space="preserve"> </w:t>
      </w:r>
      <w:r w:rsidRPr="00A24E00">
        <w:rPr>
          <w:rFonts w:ascii="Times New Roman" w:hAnsi="Times New Roman" w:cs="Times New Roman"/>
          <w:sz w:val="24"/>
          <w:szCs w:val="24"/>
        </w:rPr>
        <w:t>1.</w:t>
      </w:r>
      <w:r w:rsidR="00A24E00" w:rsidRPr="00A24E00">
        <w:rPr>
          <w:rFonts w:ascii="Times New Roman" w:hAnsi="Times New Roman" w:cs="Times New Roman"/>
          <w:sz w:val="24"/>
          <w:szCs w:val="24"/>
        </w:rPr>
        <w:t xml:space="preserve"> </w:t>
      </w:r>
      <w:r w:rsidRPr="00A24E00">
        <w:rPr>
          <w:rFonts w:ascii="Times New Roman" w:hAnsi="Times New Roman" w:cs="Times New Roman"/>
          <w:sz w:val="24"/>
          <w:szCs w:val="24"/>
        </w:rPr>
        <w:t>2015</w:t>
      </w:r>
      <w:r w:rsidR="00A24E00" w:rsidRPr="00A24E00">
        <w:rPr>
          <w:rFonts w:ascii="Times New Roman" w:hAnsi="Times New Roman" w:cs="Times New Roman"/>
          <w:sz w:val="24"/>
          <w:szCs w:val="24"/>
        </w:rPr>
        <w:t>.</w:t>
      </w:r>
    </w:p>
    <w:p w:rsidR="008A1D1F" w:rsidRPr="00A24E00" w:rsidRDefault="00132DEF" w:rsidP="00EA524D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EA524D">
        <w:rPr>
          <w:rFonts w:ascii="Times New Roman" w:hAnsi="Times New Roman" w:cs="Times New Roman"/>
          <w:b/>
          <w:sz w:val="24"/>
          <w:szCs w:val="24"/>
        </w:rPr>
        <w:t>Ad</w:t>
      </w:r>
      <w:r w:rsidR="00EA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24D">
        <w:rPr>
          <w:rFonts w:ascii="Times New Roman" w:hAnsi="Times New Roman" w:cs="Times New Roman"/>
          <w:b/>
          <w:sz w:val="24"/>
          <w:szCs w:val="24"/>
        </w:rPr>
        <w:t>7. Sprejem odloka o II. Rebalansu proračuna za leto 2014.</w:t>
      </w:r>
      <w:r w:rsidRPr="00A24E00">
        <w:rPr>
          <w:rFonts w:ascii="Times New Roman" w:hAnsi="Times New Roman" w:cs="Times New Roman"/>
          <w:sz w:val="24"/>
          <w:szCs w:val="24"/>
        </w:rPr>
        <w:t xml:space="preserve"> V sklopu sprejetja proračuna je bil s</w:t>
      </w:r>
      <w:r w:rsidR="00A24E00">
        <w:rPr>
          <w:rFonts w:ascii="Times New Roman" w:hAnsi="Times New Roman" w:cs="Times New Roman"/>
          <w:sz w:val="24"/>
          <w:szCs w:val="24"/>
        </w:rPr>
        <w:t xml:space="preserve">prejet tudi sklep o nakazilu 1.000 </w:t>
      </w:r>
      <w:proofErr w:type="spellStart"/>
      <w:r w:rsidR="00A24E00">
        <w:rPr>
          <w:rFonts w:ascii="Times New Roman" w:hAnsi="Times New Roman" w:cs="Times New Roman"/>
          <w:sz w:val="24"/>
          <w:szCs w:val="24"/>
        </w:rPr>
        <w:t>evr</w:t>
      </w:r>
      <w:proofErr w:type="spellEnd"/>
      <w:r w:rsidRPr="00A24E00">
        <w:rPr>
          <w:rFonts w:ascii="Times New Roman" w:hAnsi="Times New Roman" w:cs="Times New Roman"/>
          <w:sz w:val="24"/>
          <w:szCs w:val="24"/>
        </w:rPr>
        <w:t xml:space="preserve"> občini Loška Dolina za odpravo posledic poplav, ki so jih prizadele v letu 2014.</w:t>
      </w:r>
    </w:p>
    <w:p w:rsidR="00132DEF" w:rsidRPr="00A24E00" w:rsidRDefault="00A24E00" w:rsidP="00EA524D">
      <w:pPr>
        <w:spacing w:line="240" w:lineRule="auto"/>
        <w:ind w:left="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Sklep je bil realiziran. 1.000  </w:t>
      </w:r>
      <w:proofErr w:type="spellStart"/>
      <w:r>
        <w:rPr>
          <w:rFonts w:ascii="Times New Roman" w:hAnsi="Times New Roman" w:cs="Times New Roman"/>
          <w:sz w:val="24"/>
          <w:szCs w:val="24"/>
        </w:rPr>
        <w:t>evr</w:t>
      </w:r>
      <w:proofErr w:type="spellEnd"/>
      <w:r w:rsidR="008A1D1F" w:rsidRPr="00A24E00">
        <w:rPr>
          <w:rFonts w:ascii="Times New Roman" w:hAnsi="Times New Roman" w:cs="Times New Roman"/>
          <w:sz w:val="24"/>
          <w:szCs w:val="24"/>
        </w:rPr>
        <w:t xml:space="preserve"> je bilo nakazano na poseben TRR Občine Loška dolina, namenjen zbiranju sredstev za ta namen</w:t>
      </w:r>
      <w:r>
        <w:rPr>
          <w:rFonts w:ascii="Times New Roman" w:hAnsi="Times New Roman" w:cs="Times New Roman"/>
          <w:sz w:val="24"/>
          <w:szCs w:val="24"/>
        </w:rPr>
        <w:t>. Občina Loška dolina se je za to gesto občinskemu svetu občine Loški Potok pisno zahvalila.</w:t>
      </w:r>
    </w:p>
    <w:p w:rsidR="008A1D1F" w:rsidRPr="00EA524D" w:rsidRDefault="008A1D1F" w:rsidP="00A24E00">
      <w:pPr>
        <w:ind w:left="426" w:right="-142" w:hanging="426"/>
        <w:rPr>
          <w:rFonts w:ascii="Times New Roman" w:hAnsi="Times New Roman" w:cs="Times New Roman"/>
          <w:b/>
          <w:sz w:val="24"/>
          <w:szCs w:val="24"/>
        </w:rPr>
      </w:pPr>
      <w:r w:rsidRPr="00EA524D">
        <w:rPr>
          <w:rFonts w:ascii="Times New Roman" w:hAnsi="Times New Roman" w:cs="Times New Roman"/>
          <w:b/>
          <w:sz w:val="24"/>
          <w:szCs w:val="24"/>
        </w:rPr>
        <w:t xml:space="preserve">Ad11. Reševanje prošenj. </w:t>
      </w:r>
    </w:p>
    <w:p w:rsidR="008A1D1F" w:rsidRPr="00A24E00" w:rsidRDefault="008A1D1F" w:rsidP="00A24E00">
      <w:pPr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24E00">
        <w:rPr>
          <w:rFonts w:ascii="Times New Roman" w:hAnsi="Times New Roman" w:cs="Times New Roman"/>
          <w:sz w:val="24"/>
          <w:szCs w:val="24"/>
        </w:rPr>
        <w:t xml:space="preserve">V sklopu te točke so bili sprejeti naslednji sklepi: </w:t>
      </w:r>
    </w:p>
    <w:p w:rsidR="008A1D1F" w:rsidRDefault="008A1D1F" w:rsidP="00EA524D">
      <w:pPr>
        <w:pStyle w:val="Odstavekseznama"/>
        <w:numPr>
          <w:ilvl w:val="0"/>
          <w:numId w:val="1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4E00">
        <w:rPr>
          <w:rFonts w:ascii="Times New Roman" w:hAnsi="Times New Roman" w:cs="Times New Roman"/>
          <w:sz w:val="24"/>
          <w:szCs w:val="24"/>
        </w:rPr>
        <w:t xml:space="preserve">Zavodu za gozdove se za leto 2015 odobri plačilo 75% kotizacije za udeležence dvodnevnega izobraževanja </w:t>
      </w:r>
      <w:r w:rsidR="00B064DD" w:rsidRPr="00A24E00">
        <w:rPr>
          <w:rFonts w:ascii="Times New Roman" w:hAnsi="Times New Roman" w:cs="Times New Roman"/>
          <w:sz w:val="24"/>
          <w:szCs w:val="24"/>
        </w:rPr>
        <w:t xml:space="preserve">za varno delo z motorno žago za </w:t>
      </w:r>
      <w:r w:rsidR="00EA524D">
        <w:rPr>
          <w:rFonts w:ascii="Times New Roman" w:hAnsi="Times New Roman" w:cs="Times New Roman"/>
          <w:sz w:val="24"/>
          <w:szCs w:val="24"/>
        </w:rPr>
        <w:t>lastnike gozdov v višini 750evr</w:t>
      </w:r>
      <w:r w:rsidR="00B064DD" w:rsidRPr="00A24E00">
        <w:rPr>
          <w:rFonts w:ascii="Times New Roman" w:hAnsi="Times New Roman" w:cs="Times New Roman"/>
          <w:sz w:val="24"/>
          <w:szCs w:val="24"/>
        </w:rPr>
        <w:t xml:space="preserve">. </w:t>
      </w:r>
      <w:r w:rsidR="00EA524D">
        <w:rPr>
          <w:rFonts w:ascii="Times New Roman" w:hAnsi="Times New Roman" w:cs="Times New Roman"/>
          <w:sz w:val="24"/>
          <w:szCs w:val="24"/>
        </w:rPr>
        <w:t>Zavod je bil o sklepu obveščen.</w:t>
      </w:r>
    </w:p>
    <w:p w:rsidR="00EA524D" w:rsidRPr="00EA524D" w:rsidRDefault="00EA524D" w:rsidP="00EA524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B064DD" w:rsidRDefault="00B064DD" w:rsidP="00EA524D">
      <w:pPr>
        <w:pStyle w:val="Odstavekseznama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A24E00">
        <w:rPr>
          <w:rFonts w:ascii="Times New Roman" w:hAnsi="Times New Roman" w:cs="Times New Roman"/>
          <w:sz w:val="24"/>
          <w:szCs w:val="24"/>
        </w:rPr>
        <w:t>Območnemu združenju veteranov za Slovenijo Ribnica se je za leto 2014 na</w:t>
      </w:r>
      <w:r w:rsidR="00EA524D">
        <w:rPr>
          <w:rFonts w:ascii="Times New Roman" w:hAnsi="Times New Roman" w:cs="Times New Roman"/>
          <w:sz w:val="24"/>
          <w:szCs w:val="24"/>
        </w:rPr>
        <w:t>kaže 420evr</w:t>
      </w:r>
      <w:r w:rsidRPr="00A24E00">
        <w:rPr>
          <w:rFonts w:ascii="Times New Roman" w:hAnsi="Times New Roman" w:cs="Times New Roman"/>
          <w:sz w:val="24"/>
          <w:szCs w:val="24"/>
        </w:rPr>
        <w:t xml:space="preserve"> kot prispevek za delovanje društva. Sklep je bil realiziran</w:t>
      </w:r>
      <w:r w:rsidR="00EA524D">
        <w:rPr>
          <w:rFonts w:ascii="Times New Roman" w:hAnsi="Times New Roman" w:cs="Times New Roman"/>
          <w:sz w:val="24"/>
          <w:szCs w:val="24"/>
        </w:rPr>
        <w:t>.</w:t>
      </w:r>
    </w:p>
    <w:p w:rsidR="00EA524D" w:rsidRPr="00EA524D" w:rsidRDefault="00EA524D" w:rsidP="00EA524D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</w:p>
    <w:p w:rsidR="00B064DD" w:rsidRPr="00A24E00" w:rsidRDefault="00B064DD" w:rsidP="00EA524D">
      <w:pPr>
        <w:pStyle w:val="Odstavekseznama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A24E00">
        <w:rPr>
          <w:rFonts w:ascii="Times New Roman" w:hAnsi="Times New Roman" w:cs="Times New Roman"/>
          <w:sz w:val="24"/>
          <w:szCs w:val="24"/>
        </w:rPr>
        <w:t xml:space="preserve">Da se izvede menjava parcel 1224, last Jožeta Lavriča in parcele 2134 – javno dobro občine Loški Potok, obe k. o. Hrib. </w:t>
      </w:r>
      <w:r w:rsidR="00EA524D">
        <w:rPr>
          <w:rFonts w:ascii="Times New Roman" w:hAnsi="Times New Roman" w:cs="Times New Roman"/>
          <w:sz w:val="24"/>
          <w:szCs w:val="24"/>
        </w:rPr>
        <w:t>Lastnik je bil o sklepu obveščen.</w:t>
      </w:r>
    </w:p>
    <w:p w:rsidR="00B064DD" w:rsidRDefault="00B064DD" w:rsidP="00A24E00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EA524D" w:rsidRDefault="00EA524D" w:rsidP="00EA524D">
      <w:pPr>
        <w:spacing w:after="0" w:line="240" w:lineRule="auto"/>
        <w:ind w:left="637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Župan:</w:t>
      </w:r>
    </w:p>
    <w:p w:rsidR="00EA524D" w:rsidRPr="00A24E00" w:rsidRDefault="00EA524D" w:rsidP="00EA524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Ivan Benčina</w:t>
      </w:r>
    </w:p>
    <w:sectPr w:rsidR="00EA524D" w:rsidRPr="00A24E00" w:rsidSect="00EA524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8F7"/>
    <w:multiLevelType w:val="hybridMultilevel"/>
    <w:tmpl w:val="9168DA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F"/>
    <w:rsid w:val="00132DEF"/>
    <w:rsid w:val="00732C22"/>
    <w:rsid w:val="00862BB7"/>
    <w:rsid w:val="008A1D1F"/>
    <w:rsid w:val="00A24E00"/>
    <w:rsid w:val="00A41FDF"/>
    <w:rsid w:val="00B064DD"/>
    <w:rsid w:val="00EA524D"/>
    <w:rsid w:val="00F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Mojca</cp:lastModifiedBy>
  <cp:revision>3</cp:revision>
  <cp:lastPrinted>2015-03-12T08:57:00Z</cp:lastPrinted>
  <dcterms:created xsi:type="dcterms:W3CDTF">2015-03-12T08:38:00Z</dcterms:created>
  <dcterms:modified xsi:type="dcterms:W3CDTF">2015-03-12T09:05:00Z</dcterms:modified>
</cp:coreProperties>
</file>