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C255E7" w:rsidRPr="00C255E7" w:rsidTr="00777841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C255E7" w:rsidRPr="00C255E7" w:rsidRDefault="00C255E7" w:rsidP="00C255E7">
            <w:pPr>
              <w:spacing w:before="24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C255E7">
              <w:rPr>
                <w:rFonts w:ascii="Tahoma" w:eastAsia="Times New Roman" w:hAnsi="Tahoma" w:cs="Tahoma"/>
                <w:b/>
                <w:bCs/>
                <w:i/>
                <w:iCs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444500" cy="5524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E7" w:rsidRPr="00C255E7" w:rsidRDefault="00C255E7" w:rsidP="00C255E7">
            <w:pPr>
              <w:spacing w:before="24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     </w:t>
            </w:r>
          </w:p>
        </w:tc>
        <w:tc>
          <w:tcPr>
            <w:tcW w:w="2977" w:type="dxa"/>
          </w:tcPr>
          <w:p w:rsidR="00C255E7" w:rsidRPr="00C255E7" w:rsidRDefault="00C255E7" w:rsidP="00C255E7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</w:p>
          <w:p w:rsidR="00C255E7" w:rsidRPr="00C255E7" w:rsidRDefault="00C255E7" w:rsidP="00C255E7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 xml:space="preserve">  </w:t>
            </w:r>
            <w:r w:rsidRPr="00C255E7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sl-SI"/>
              </w:rPr>
              <w:t>OBČINA CERKLJE</w:t>
            </w:r>
          </w:p>
          <w:p w:rsidR="00C255E7" w:rsidRPr="00C255E7" w:rsidRDefault="00C255E7" w:rsidP="00C255E7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  NA GORENJSKEM</w:t>
            </w:r>
          </w:p>
        </w:tc>
      </w:tr>
      <w:tr w:rsidR="00C255E7" w:rsidRPr="00C255E7" w:rsidTr="00777841">
        <w:trPr>
          <w:cantSplit/>
          <w:trHeight w:hRule="exact" w:val="294"/>
        </w:trPr>
        <w:tc>
          <w:tcPr>
            <w:tcW w:w="851" w:type="dxa"/>
            <w:vMerge/>
          </w:tcPr>
          <w:p w:rsidR="00C255E7" w:rsidRPr="00C255E7" w:rsidRDefault="00C255E7" w:rsidP="00C255E7">
            <w:pPr>
              <w:spacing w:before="240" w:after="6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C255E7" w:rsidRPr="00C255E7" w:rsidRDefault="00C255E7" w:rsidP="00C255E7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C255E7" w:rsidRPr="00C255E7" w:rsidTr="00777841">
        <w:trPr>
          <w:trHeight w:val="281"/>
        </w:trPr>
        <w:tc>
          <w:tcPr>
            <w:tcW w:w="3828" w:type="dxa"/>
            <w:gridSpan w:val="2"/>
          </w:tcPr>
          <w:p w:rsidR="00C255E7" w:rsidRPr="00C255E7" w:rsidRDefault="00C255E7" w:rsidP="00C255E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Cs/>
                <w:i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bCs/>
                <w:i/>
                <w:lang w:eastAsia="sl-SI"/>
              </w:rPr>
              <w:t>Trg Davorina Jenka 13, 4207 Cerklje</w:t>
            </w:r>
          </w:p>
        </w:tc>
      </w:tr>
      <w:tr w:rsidR="00C255E7" w:rsidRPr="00C255E7" w:rsidTr="00777841">
        <w:trPr>
          <w:trHeight w:val="285"/>
        </w:trPr>
        <w:tc>
          <w:tcPr>
            <w:tcW w:w="3828" w:type="dxa"/>
            <w:gridSpan w:val="2"/>
          </w:tcPr>
          <w:p w:rsidR="00C255E7" w:rsidRPr="00C255E7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i/>
                <w:lang w:eastAsia="sl-SI"/>
              </w:rPr>
              <w:t>e-mail:obcinacerklje@siol.net</w:t>
            </w:r>
          </w:p>
        </w:tc>
      </w:tr>
      <w:tr w:rsidR="00C255E7" w:rsidRPr="00C255E7" w:rsidTr="00777841">
        <w:trPr>
          <w:trHeight w:val="285"/>
        </w:trPr>
        <w:tc>
          <w:tcPr>
            <w:tcW w:w="3828" w:type="dxa"/>
            <w:gridSpan w:val="2"/>
          </w:tcPr>
          <w:p w:rsidR="00C255E7" w:rsidRPr="00C255E7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4"/>
                <w:lang w:eastAsia="sl-SI"/>
              </w:rPr>
            </w:pPr>
            <w:r w:rsidRPr="00C255E7">
              <w:rPr>
                <w:rFonts w:ascii="Tahoma" w:eastAsia="Times New Roman" w:hAnsi="Tahoma" w:cs="Tahoma"/>
                <w:i/>
                <w:lang w:eastAsia="sl-SI"/>
              </w:rPr>
              <w:sym w:font="Wingdings" w:char="F037"/>
            </w:r>
            <w:r w:rsidRPr="00C255E7">
              <w:rPr>
                <w:rFonts w:ascii="Tahoma" w:eastAsia="Times New Roman" w:hAnsi="Tahoma" w:cs="Tahoma"/>
                <w:i/>
                <w:lang w:eastAsia="sl-SI"/>
              </w:rPr>
              <w:t xml:space="preserve"> 04/28 15 820</w:t>
            </w:r>
            <w:r w:rsidRPr="00C255E7">
              <w:rPr>
                <w:rFonts w:ascii="Tahoma" w:eastAsia="Times New Roman" w:hAnsi="Tahoma" w:cs="Tahoma"/>
                <w:i/>
                <w:lang w:eastAsia="sl-SI"/>
              </w:rPr>
              <w:sym w:font="Wingdings" w:char="F028"/>
            </w:r>
            <w:r w:rsidRPr="00C255E7">
              <w:rPr>
                <w:rFonts w:ascii="Tahoma" w:eastAsia="Times New Roman" w:hAnsi="Tahoma" w:cs="Tahoma"/>
                <w:i/>
                <w:lang w:eastAsia="sl-SI"/>
              </w:rPr>
              <w:t xml:space="preserve">  04/ 28 15 800</w:t>
            </w:r>
          </w:p>
        </w:tc>
      </w:tr>
    </w:tbl>
    <w:p w:rsidR="00C255E7" w:rsidRPr="00C255E7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255E7" w:rsidRPr="00136D8C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36D8C">
        <w:rPr>
          <w:rFonts w:ascii="Tahoma" w:eastAsia="Times New Roman" w:hAnsi="Tahoma" w:cs="Tahoma"/>
          <w:sz w:val="20"/>
          <w:szCs w:val="20"/>
          <w:lang w:eastAsia="sl-SI"/>
        </w:rPr>
        <w:t xml:space="preserve">Številka: </w:t>
      </w:r>
      <w:r w:rsidR="007A50A3">
        <w:rPr>
          <w:rFonts w:ascii="Tahoma" w:eastAsia="Times New Roman" w:hAnsi="Tahoma" w:cs="Tahoma"/>
          <w:sz w:val="20"/>
          <w:szCs w:val="20"/>
          <w:lang w:eastAsia="sl-SI"/>
        </w:rPr>
        <w:t>032-0004/2014</w:t>
      </w:r>
      <w:r w:rsidR="007A50A3" w:rsidRPr="00B37C51">
        <w:rPr>
          <w:rFonts w:ascii="Tahoma" w:eastAsia="Times New Roman" w:hAnsi="Tahoma" w:cs="Tahoma"/>
          <w:sz w:val="20"/>
          <w:szCs w:val="20"/>
          <w:lang w:eastAsia="sl-SI"/>
        </w:rPr>
        <w:t>-</w:t>
      </w:r>
      <w:r w:rsidR="00B37C51" w:rsidRPr="00B37C51">
        <w:rPr>
          <w:rFonts w:ascii="Tahoma" w:eastAsia="Times New Roman" w:hAnsi="Tahoma" w:cs="Tahoma"/>
          <w:sz w:val="20"/>
          <w:szCs w:val="20"/>
          <w:lang w:eastAsia="sl-SI"/>
        </w:rPr>
        <w:t>455</w:t>
      </w:r>
    </w:p>
    <w:p w:rsidR="00C255E7" w:rsidRPr="00ED4E02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36D8C">
        <w:rPr>
          <w:rFonts w:ascii="Tahoma" w:eastAsia="Times New Roman" w:hAnsi="Tahoma" w:cs="Tahoma"/>
          <w:sz w:val="20"/>
          <w:szCs w:val="20"/>
          <w:lang w:eastAsia="sl-SI"/>
        </w:rPr>
        <w:t>Datum:</w:t>
      </w:r>
      <w:r w:rsidR="002910DB" w:rsidRPr="00136D8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136D8C">
        <w:rPr>
          <w:rFonts w:ascii="Tahoma" w:eastAsia="Times New Roman" w:hAnsi="Tahoma" w:cs="Tahoma"/>
          <w:sz w:val="20"/>
          <w:szCs w:val="20"/>
          <w:lang w:eastAsia="sl-SI"/>
        </w:rPr>
        <w:t xml:space="preserve">  </w:t>
      </w:r>
      <w:r w:rsidR="00255D01">
        <w:rPr>
          <w:rFonts w:ascii="Tahoma" w:eastAsia="Times New Roman" w:hAnsi="Tahoma" w:cs="Tahoma"/>
          <w:sz w:val="20"/>
          <w:szCs w:val="20"/>
          <w:lang w:eastAsia="sl-SI"/>
        </w:rPr>
        <w:t>11.06.2018</w:t>
      </w:r>
    </w:p>
    <w:p w:rsidR="00363956" w:rsidRPr="00C255E7" w:rsidRDefault="00363956" w:rsidP="00C255E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255E7" w:rsidRPr="006B2527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6B2527">
        <w:rPr>
          <w:rFonts w:ascii="Tahoma" w:eastAsia="Times New Roman" w:hAnsi="Tahoma" w:cs="Tahoma"/>
          <w:b/>
          <w:lang w:eastAsia="sl-SI"/>
        </w:rPr>
        <w:t>OBČINSKI SVET</w:t>
      </w:r>
    </w:p>
    <w:p w:rsidR="00C255E7" w:rsidRPr="006B2527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6B2527">
        <w:rPr>
          <w:rFonts w:ascii="Tahoma" w:eastAsia="Times New Roman" w:hAnsi="Tahoma" w:cs="Tahoma"/>
          <w:b/>
          <w:lang w:eastAsia="sl-SI"/>
        </w:rPr>
        <w:t>OBČINE CERKLJE NA GORENJSKEM</w:t>
      </w:r>
    </w:p>
    <w:p w:rsidR="00C255E7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C255E7" w:rsidRPr="00C255E7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C255E7" w:rsidRPr="006B2527" w:rsidTr="00410A0B">
        <w:trPr>
          <w:trHeight w:val="1379"/>
        </w:trPr>
        <w:tc>
          <w:tcPr>
            <w:tcW w:w="1128" w:type="pct"/>
          </w:tcPr>
          <w:p w:rsidR="00C255E7" w:rsidRPr="006B2527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255E7" w:rsidRPr="006B2527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B252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ZADEVA:</w:t>
            </w:r>
          </w:p>
        </w:tc>
        <w:tc>
          <w:tcPr>
            <w:tcW w:w="3872" w:type="pct"/>
          </w:tcPr>
          <w:p w:rsidR="00C255E7" w:rsidRPr="00E931EB" w:rsidRDefault="009116EE" w:rsidP="009116EE">
            <w:pPr>
              <w:spacing w:after="210" w:line="360" w:lineRule="atLeast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E931EB">
              <w:rPr>
                <w:rFonts w:ascii="Tahoma" w:eastAsia="Times New Roman" w:hAnsi="Tahoma" w:cs="Tahoma"/>
                <w:b/>
                <w:lang w:eastAsia="sl-SI"/>
              </w:rPr>
              <w:t>Odlok o razveljavitvi Odloka</w:t>
            </w:r>
            <w:r w:rsidR="00410A0B" w:rsidRPr="00E931EB">
              <w:rPr>
                <w:rFonts w:ascii="Tahoma" w:eastAsia="Times New Roman" w:hAnsi="Tahoma" w:cs="Tahoma"/>
                <w:b/>
                <w:lang w:eastAsia="sl-SI"/>
              </w:rPr>
              <w:t xml:space="preserve"> o spremembah in dopolnitvah Odloka</w:t>
            </w:r>
            <w:r w:rsidR="002910DB" w:rsidRPr="00E931EB">
              <w:rPr>
                <w:rFonts w:ascii="Tahoma" w:eastAsia="Times New Roman" w:hAnsi="Tahoma" w:cs="Tahoma"/>
                <w:b/>
                <w:lang w:eastAsia="sl-SI"/>
              </w:rPr>
              <w:t xml:space="preserve"> </w:t>
            </w:r>
            <w:r w:rsidR="008D64F0" w:rsidRPr="00E931EB">
              <w:rPr>
                <w:rFonts w:ascii="Tahoma" w:eastAsia="Times New Roman" w:hAnsi="Tahoma" w:cs="Tahoma"/>
                <w:b/>
                <w:lang w:eastAsia="sl-SI"/>
              </w:rPr>
              <w:t xml:space="preserve">o </w:t>
            </w:r>
            <w:r w:rsidR="001F548B" w:rsidRPr="00E931EB">
              <w:rPr>
                <w:rFonts w:ascii="Tahoma" w:eastAsia="Times New Roman" w:hAnsi="Tahoma" w:cs="Tahoma"/>
                <w:b/>
                <w:lang w:eastAsia="sl-SI"/>
              </w:rPr>
              <w:t>odvajanju in čiščenju komunalne in padavinske odpadne vode</w:t>
            </w:r>
            <w:r w:rsidR="00C214D7" w:rsidRPr="00E931EB">
              <w:rPr>
                <w:rFonts w:ascii="Tahoma" w:eastAsia="Times New Roman" w:hAnsi="Tahoma" w:cs="Tahoma"/>
                <w:b/>
                <w:lang w:eastAsia="sl-SI"/>
              </w:rPr>
              <w:t xml:space="preserve"> na območju </w:t>
            </w:r>
            <w:r w:rsidR="001F548B" w:rsidRPr="00E931EB">
              <w:rPr>
                <w:rFonts w:ascii="Tahoma" w:eastAsia="Times New Roman" w:hAnsi="Tahoma" w:cs="Tahoma"/>
                <w:b/>
                <w:lang w:eastAsia="sl-SI"/>
              </w:rPr>
              <w:t>o</w:t>
            </w:r>
            <w:r w:rsidR="00C214D7" w:rsidRPr="00E931EB">
              <w:rPr>
                <w:rFonts w:ascii="Tahoma" w:eastAsia="Times New Roman" w:hAnsi="Tahoma" w:cs="Tahoma"/>
                <w:b/>
                <w:lang w:eastAsia="sl-SI"/>
              </w:rPr>
              <w:t>bčine Cerklje na Gorenjskem</w:t>
            </w:r>
            <w:r w:rsidR="00B37C51" w:rsidRPr="00E931EB">
              <w:rPr>
                <w:rFonts w:ascii="Tahoma" w:eastAsia="Times New Roman" w:hAnsi="Tahoma" w:cs="Tahoma"/>
                <w:b/>
                <w:lang w:eastAsia="sl-SI"/>
              </w:rPr>
              <w:t xml:space="preserve"> - predlog</w:t>
            </w:r>
          </w:p>
        </w:tc>
      </w:tr>
      <w:tr w:rsidR="00C255E7" w:rsidRPr="006B2527" w:rsidTr="00352B17">
        <w:trPr>
          <w:trHeight w:val="5453"/>
        </w:trPr>
        <w:tc>
          <w:tcPr>
            <w:tcW w:w="1128" w:type="pct"/>
            <w:vAlign w:val="center"/>
          </w:tcPr>
          <w:p w:rsidR="00C255E7" w:rsidRPr="00C00959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00959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PRAVNA PODLAGA:</w:t>
            </w:r>
          </w:p>
        </w:tc>
        <w:tc>
          <w:tcPr>
            <w:tcW w:w="3872" w:type="pct"/>
          </w:tcPr>
          <w:p w:rsidR="00BE112B" w:rsidRPr="00E931EB" w:rsidRDefault="001D56E9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>149. člen Zakon</w:t>
            </w:r>
            <w:r w:rsidR="005E0F2D" w:rsidRPr="00E931EB">
              <w:rPr>
                <w:rFonts w:ascii="Tahoma" w:hAnsi="Tahoma" w:cs="Tahoma"/>
              </w:rPr>
              <w:t>a</w:t>
            </w:r>
            <w:r w:rsidRPr="00E931EB">
              <w:rPr>
                <w:rFonts w:ascii="Tahoma" w:hAnsi="Tahoma" w:cs="Tahoma"/>
              </w:rPr>
              <w:t xml:space="preserve"> o varstvu okolja (Uradni list RS, št. 39/06 – uradno prečiščeno besedilo, 49/06 – ZMetD, 66/06 – </w:t>
            </w:r>
            <w:proofErr w:type="spellStart"/>
            <w:r w:rsidRPr="00E931EB">
              <w:rPr>
                <w:rFonts w:ascii="Tahoma" w:hAnsi="Tahoma" w:cs="Tahoma"/>
              </w:rPr>
              <w:t>odl</w:t>
            </w:r>
            <w:proofErr w:type="spellEnd"/>
            <w:r w:rsidRPr="00E931EB">
              <w:rPr>
                <w:rFonts w:ascii="Tahoma" w:hAnsi="Tahoma" w:cs="Tahoma"/>
              </w:rPr>
              <w:t>. US, 33/07 – ZPNačrt, 57/08 – ZFO-1A, 70/08, 108/09, 108/09 – ZPNačrt-A, 48/12, 57/12, 92/13, 56/15, 102/15 in 30/16);</w:t>
            </w:r>
          </w:p>
          <w:p w:rsidR="00C255E7" w:rsidRPr="00E931EB" w:rsidRDefault="001D56E9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 xml:space="preserve">3. in 7. člen </w:t>
            </w:r>
            <w:r w:rsidR="00816FDD" w:rsidRPr="00E931EB">
              <w:rPr>
                <w:rFonts w:ascii="Tahoma" w:hAnsi="Tahoma" w:cs="Tahoma"/>
              </w:rPr>
              <w:t>Zakon</w:t>
            </w:r>
            <w:r w:rsidRPr="00E931EB">
              <w:rPr>
                <w:rFonts w:ascii="Tahoma" w:hAnsi="Tahoma" w:cs="Tahoma"/>
              </w:rPr>
              <w:t>a</w:t>
            </w:r>
            <w:r w:rsidR="00816FDD" w:rsidRPr="00E931EB">
              <w:rPr>
                <w:rFonts w:ascii="Tahoma" w:hAnsi="Tahoma" w:cs="Tahoma"/>
              </w:rPr>
              <w:t xml:space="preserve"> o gospodarskih javnih službah (Uradni list RS, št. 32/93, 30/98 – ZZLPPO, 127/06 – ZJZP, 38/10 – ZUKN in 57/11 – ORZGJS40)</w:t>
            </w:r>
            <w:r w:rsidRPr="00E931EB">
              <w:rPr>
                <w:rFonts w:ascii="Tahoma" w:hAnsi="Tahoma" w:cs="Tahoma"/>
              </w:rPr>
              <w:t>;</w:t>
            </w:r>
          </w:p>
          <w:p w:rsidR="001D56E9" w:rsidRPr="00E931EB" w:rsidRDefault="001D56E9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 xml:space="preserve">Zakon o prekrških (Uradni list RS, št. 29/11 – uradno prečiščeno besedilo, 21/13, 111/13, 74/14 – </w:t>
            </w:r>
            <w:proofErr w:type="spellStart"/>
            <w:r w:rsidRPr="00E931EB">
              <w:rPr>
                <w:rFonts w:ascii="Tahoma" w:hAnsi="Tahoma" w:cs="Tahoma"/>
              </w:rPr>
              <w:t>odl</w:t>
            </w:r>
            <w:proofErr w:type="spellEnd"/>
            <w:r w:rsidRPr="00E931EB">
              <w:rPr>
                <w:rFonts w:ascii="Tahoma" w:hAnsi="Tahoma" w:cs="Tahoma"/>
              </w:rPr>
              <w:t xml:space="preserve">. US, 92/14 – </w:t>
            </w:r>
            <w:proofErr w:type="spellStart"/>
            <w:r w:rsidRPr="00E931EB">
              <w:rPr>
                <w:rFonts w:ascii="Tahoma" w:hAnsi="Tahoma" w:cs="Tahoma"/>
              </w:rPr>
              <w:t>odl</w:t>
            </w:r>
            <w:proofErr w:type="spellEnd"/>
            <w:r w:rsidRPr="00E931EB">
              <w:rPr>
                <w:rFonts w:ascii="Tahoma" w:hAnsi="Tahoma" w:cs="Tahoma"/>
              </w:rPr>
              <w:t>. US in 32/16);</w:t>
            </w:r>
          </w:p>
          <w:p w:rsidR="001F548B" w:rsidRPr="00E931EB" w:rsidRDefault="001F548B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 xml:space="preserve">Zakon o prekrških (Uradni list RS, št. 29/11 – uradno prečiščeno besedilo, 21/13, 111/13, 74/14 – </w:t>
            </w:r>
            <w:proofErr w:type="spellStart"/>
            <w:r w:rsidRPr="00E931EB">
              <w:rPr>
                <w:rFonts w:ascii="Tahoma" w:hAnsi="Tahoma" w:cs="Tahoma"/>
              </w:rPr>
              <w:t>odl</w:t>
            </w:r>
            <w:proofErr w:type="spellEnd"/>
            <w:r w:rsidRPr="00E931EB">
              <w:rPr>
                <w:rFonts w:ascii="Tahoma" w:hAnsi="Tahoma" w:cs="Tahoma"/>
              </w:rPr>
              <w:t xml:space="preserve">. US, 92/14 – </w:t>
            </w:r>
            <w:proofErr w:type="spellStart"/>
            <w:r w:rsidRPr="00E931EB">
              <w:rPr>
                <w:rFonts w:ascii="Tahoma" w:hAnsi="Tahoma" w:cs="Tahoma"/>
              </w:rPr>
              <w:t>odl</w:t>
            </w:r>
            <w:proofErr w:type="spellEnd"/>
            <w:r w:rsidRPr="00E931EB">
              <w:rPr>
                <w:rFonts w:ascii="Tahoma" w:hAnsi="Tahoma" w:cs="Tahoma"/>
              </w:rPr>
              <w:t>. US in 32/16);</w:t>
            </w:r>
          </w:p>
          <w:p w:rsidR="001F548B" w:rsidRPr="00E931EB" w:rsidRDefault="001F548B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>Uredba o odvajanju in čiščenju komunalne odpadne vode (Uradni list RS, št. 98/15);</w:t>
            </w:r>
          </w:p>
          <w:p w:rsidR="001F548B" w:rsidRPr="00E931EB" w:rsidRDefault="001F548B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 xml:space="preserve">Uredba o metodologiji za oblikovanje cen storitev obveznih občinskih gospodarskih javnih služb varstva okolja (Uradni list RS, št. 87/12 in 109/12); </w:t>
            </w:r>
          </w:p>
          <w:p w:rsidR="001F548B" w:rsidRPr="00E931EB" w:rsidRDefault="001F548B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>Odlok o gospodarskih javnih službah Občine Cerklje na Gorenjskem (Uradni vestnik Občine Cerklje na Gorenjskem, št. 1/08);</w:t>
            </w:r>
          </w:p>
          <w:p w:rsidR="001F548B" w:rsidRPr="00E931EB" w:rsidRDefault="001F548B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>Odlok o varstvu virov pitne vode na območju občine Cerklje na Gorenjskem (Uradni vestnik Občine Cerklje na Gorenjskem, št. 2/02);</w:t>
            </w:r>
          </w:p>
          <w:p w:rsidR="001F548B" w:rsidRPr="00E931EB" w:rsidRDefault="001F548B" w:rsidP="00BE112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>Uredbe o emisiji snovi in toplote pri odvajanju odpadnih voda v vode in javno kanalizacijo (Uradni list RS, št. 64/12, 64/14 in 98/15);</w:t>
            </w:r>
          </w:p>
          <w:p w:rsidR="00BE112B" w:rsidRPr="00E931EB" w:rsidRDefault="00F660DD" w:rsidP="00352B1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931EB">
              <w:rPr>
                <w:rFonts w:ascii="Tahoma" w:hAnsi="Tahoma" w:cs="Tahoma"/>
              </w:rPr>
              <w:t>16. člen Statuta občine Cerklje na Gorenjskem (Uradni vestnik občine Cerklje na Gorenjskem št. 7/16)</w:t>
            </w:r>
            <w:r w:rsidR="00352B17" w:rsidRPr="00E931EB">
              <w:rPr>
                <w:rFonts w:ascii="Tahoma" w:hAnsi="Tahoma" w:cs="Tahoma"/>
              </w:rPr>
              <w:t xml:space="preserve"> </w:t>
            </w:r>
          </w:p>
        </w:tc>
      </w:tr>
      <w:tr w:rsidR="00C255E7" w:rsidRPr="006B2527" w:rsidTr="00410A0B">
        <w:trPr>
          <w:trHeight w:val="502"/>
        </w:trPr>
        <w:tc>
          <w:tcPr>
            <w:tcW w:w="1128" w:type="pct"/>
          </w:tcPr>
          <w:p w:rsidR="00C255E7" w:rsidRPr="006B2527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B252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PREDLAGATELJ:</w:t>
            </w:r>
          </w:p>
        </w:tc>
        <w:tc>
          <w:tcPr>
            <w:tcW w:w="3872" w:type="pct"/>
          </w:tcPr>
          <w:p w:rsidR="00C255E7" w:rsidRPr="00E931EB" w:rsidRDefault="00C255E7" w:rsidP="009E312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E931EB">
              <w:rPr>
                <w:rFonts w:ascii="Tahoma" w:eastAsia="Times New Roman" w:hAnsi="Tahoma" w:cs="Tahoma"/>
                <w:lang w:eastAsia="sl-SI"/>
              </w:rPr>
              <w:t>Župan, g. Franc Čebulj</w:t>
            </w:r>
          </w:p>
          <w:p w:rsidR="00BE112B" w:rsidRPr="00E931EB" w:rsidRDefault="00BE112B" w:rsidP="009E312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C255E7" w:rsidRPr="006B2527" w:rsidTr="00410A0B">
        <w:trPr>
          <w:trHeight w:val="502"/>
        </w:trPr>
        <w:tc>
          <w:tcPr>
            <w:tcW w:w="1128" w:type="pct"/>
          </w:tcPr>
          <w:p w:rsidR="00C255E7" w:rsidRPr="006B2527" w:rsidRDefault="008D6BE3" w:rsidP="00C21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PRIPRAVLJAVEC: </w:t>
            </w:r>
          </w:p>
        </w:tc>
        <w:tc>
          <w:tcPr>
            <w:tcW w:w="3872" w:type="pct"/>
          </w:tcPr>
          <w:p w:rsidR="000468CB" w:rsidRPr="00E931EB" w:rsidRDefault="009116EE" w:rsidP="009C1AA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E931EB">
              <w:rPr>
                <w:rFonts w:ascii="Tahoma" w:eastAsia="Times New Roman" w:hAnsi="Tahoma" w:cs="Tahoma"/>
                <w:lang w:eastAsia="sl-SI"/>
              </w:rPr>
              <w:t xml:space="preserve">Marta Jarc, </w:t>
            </w:r>
            <w:r w:rsidR="00B37C51" w:rsidRPr="00E931EB">
              <w:rPr>
                <w:rFonts w:ascii="Tahoma" w:eastAsia="Times New Roman" w:hAnsi="Tahoma" w:cs="Tahoma"/>
                <w:lang w:eastAsia="sl-SI"/>
              </w:rPr>
              <w:t>direktorica občinske</w:t>
            </w:r>
            <w:r w:rsidRPr="00E931EB">
              <w:rPr>
                <w:rFonts w:ascii="Tahoma" w:eastAsia="Times New Roman" w:hAnsi="Tahoma" w:cs="Tahoma"/>
                <w:lang w:eastAsia="sl-SI"/>
              </w:rPr>
              <w:t xml:space="preserve"> u</w:t>
            </w:r>
            <w:r w:rsidR="00B37C51" w:rsidRPr="00E931EB">
              <w:rPr>
                <w:rFonts w:ascii="Tahoma" w:eastAsia="Times New Roman" w:hAnsi="Tahoma" w:cs="Tahoma"/>
                <w:lang w:eastAsia="sl-SI"/>
              </w:rPr>
              <w:t>prave</w:t>
            </w:r>
          </w:p>
          <w:p w:rsidR="00BE112B" w:rsidRPr="00E931EB" w:rsidRDefault="00BE112B" w:rsidP="009C1AA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C255E7" w:rsidRPr="00CE6536" w:rsidTr="00410A0B">
        <w:trPr>
          <w:trHeight w:val="1022"/>
        </w:trPr>
        <w:tc>
          <w:tcPr>
            <w:tcW w:w="1128" w:type="pct"/>
          </w:tcPr>
          <w:p w:rsidR="00C255E7" w:rsidRPr="006B2527" w:rsidRDefault="00C255E7" w:rsidP="00C255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B2527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>NAMEN:</w:t>
            </w:r>
          </w:p>
        </w:tc>
        <w:tc>
          <w:tcPr>
            <w:tcW w:w="3872" w:type="pct"/>
          </w:tcPr>
          <w:p w:rsidR="002C1FE3" w:rsidRPr="00E931EB" w:rsidRDefault="00CE6536" w:rsidP="00CE653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E931EB">
              <w:rPr>
                <w:rFonts w:ascii="Tahoma" w:eastAsia="Times New Roman" w:hAnsi="Tahoma" w:cs="Tahoma"/>
                <w:lang w:eastAsia="sl-SI"/>
              </w:rPr>
              <w:t xml:space="preserve">Namen predlagane razveljavitve sprememb odloka je, </w:t>
            </w:r>
            <w:r w:rsidR="008F3D46" w:rsidRPr="00E931EB">
              <w:rPr>
                <w:rFonts w:ascii="Tahoma" w:eastAsia="Times New Roman" w:hAnsi="Tahoma" w:cs="Tahoma"/>
                <w:lang w:eastAsia="sl-SI"/>
              </w:rPr>
              <w:t xml:space="preserve">da se </w:t>
            </w:r>
            <w:r w:rsidR="00352B17" w:rsidRPr="00E931EB">
              <w:rPr>
                <w:rFonts w:ascii="Tahoma" w:eastAsia="Times New Roman" w:hAnsi="Tahoma" w:cs="Tahoma"/>
                <w:lang w:eastAsia="sl-SI"/>
              </w:rPr>
              <w:t>prevzem in odvoz blata iz</w:t>
            </w:r>
            <w:r w:rsidR="008F3D46" w:rsidRPr="00E931EB">
              <w:rPr>
                <w:rFonts w:ascii="Tahoma" w:eastAsia="Times New Roman" w:hAnsi="Tahoma" w:cs="Tahoma"/>
                <w:lang w:eastAsia="sl-SI"/>
              </w:rPr>
              <w:t xml:space="preserve"> obstoječih greznic in malih komunalnih čistilnih naprav</w:t>
            </w:r>
            <w:r w:rsidR="00062B8E" w:rsidRPr="00E931EB">
              <w:rPr>
                <w:rFonts w:ascii="Tahoma" w:eastAsia="Times New Roman" w:hAnsi="Tahoma" w:cs="Tahoma"/>
                <w:lang w:eastAsia="sl-SI"/>
              </w:rPr>
              <w:t xml:space="preserve"> ter obdelava blata na centralni čistilni napravi </w:t>
            </w:r>
            <w:r w:rsidR="008F3D46" w:rsidRPr="00E931EB">
              <w:rPr>
                <w:rFonts w:ascii="Tahoma" w:eastAsia="Times New Roman" w:hAnsi="Tahoma" w:cs="Tahoma"/>
                <w:lang w:eastAsia="sl-SI"/>
              </w:rPr>
              <w:t xml:space="preserve">izvaja </w:t>
            </w:r>
            <w:r w:rsidRPr="00E931EB">
              <w:rPr>
                <w:rFonts w:ascii="Tahoma" w:eastAsia="Times New Roman" w:hAnsi="Tahoma" w:cs="Tahoma"/>
                <w:lang w:eastAsia="sl-SI"/>
              </w:rPr>
              <w:t xml:space="preserve">tako kot je zakonsko določeno - </w:t>
            </w:r>
            <w:r w:rsidR="008F3D46" w:rsidRPr="00E931EB">
              <w:rPr>
                <w:rFonts w:ascii="Tahoma" w:eastAsia="Times New Roman" w:hAnsi="Tahoma" w:cs="Tahoma"/>
                <w:lang w:eastAsia="sl-SI"/>
              </w:rPr>
              <w:t xml:space="preserve">najmanj </w:t>
            </w:r>
            <w:r w:rsidRPr="00E931EB">
              <w:rPr>
                <w:rFonts w:ascii="Tahoma" w:eastAsia="Times New Roman" w:hAnsi="Tahoma" w:cs="Tahoma"/>
                <w:lang w:eastAsia="sl-SI"/>
              </w:rPr>
              <w:t>enkrat (in ne dvakrat kot je bilo uvedeno s to spremembo odloka)</w:t>
            </w:r>
            <w:r w:rsidR="008F3D46" w:rsidRPr="00E931EB">
              <w:rPr>
                <w:rFonts w:ascii="Tahoma" w:eastAsia="Times New Roman" w:hAnsi="Tahoma" w:cs="Tahoma"/>
                <w:lang w:eastAsia="sl-SI"/>
              </w:rPr>
              <w:t xml:space="preserve"> na tri leta</w:t>
            </w:r>
            <w:r w:rsidR="00062B8E" w:rsidRPr="00E931EB">
              <w:rPr>
                <w:rFonts w:ascii="Tahoma" w:eastAsia="Times New Roman" w:hAnsi="Tahoma" w:cs="Tahoma"/>
                <w:lang w:eastAsia="sl-SI"/>
              </w:rPr>
              <w:t xml:space="preserve"> za objekte, ki se </w:t>
            </w:r>
            <w:r w:rsidR="00062B8E" w:rsidRPr="00E931EB">
              <w:rPr>
                <w:rFonts w:ascii="Tahoma" w:eastAsia="Times New Roman" w:hAnsi="Tahoma" w:cs="Tahoma"/>
                <w:b/>
                <w:lang w:eastAsia="sl-SI"/>
              </w:rPr>
              <w:t>ne</w:t>
            </w:r>
            <w:r w:rsidR="00062B8E" w:rsidRPr="00E931EB">
              <w:rPr>
                <w:rFonts w:ascii="Tahoma" w:eastAsia="Times New Roman" w:hAnsi="Tahoma" w:cs="Tahoma"/>
                <w:lang w:eastAsia="sl-SI"/>
              </w:rPr>
              <w:t xml:space="preserve"> nahajajo na vodovarstvenih območjih vodnih virov.</w:t>
            </w:r>
            <w:r w:rsidRPr="00E931EB">
              <w:rPr>
                <w:rFonts w:ascii="Tahoma" w:eastAsia="Times New Roman" w:hAnsi="Tahoma" w:cs="Tahoma"/>
                <w:lang w:eastAsia="sl-SI"/>
              </w:rPr>
              <w:t xml:space="preserve"> </w:t>
            </w:r>
          </w:p>
        </w:tc>
      </w:tr>
    </w:tbl>
    <w:p w:rsidR="00410A0B" w:rsidRDefault="00410A0B" w:rsidP="002C1F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352B17" w:rsidRDefault="00352B17" w:rsidP="00410A0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9E0829" w:rsidRDefault="009E0829" w:rsidP="00410A0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7C0676" w:rsidRPr="00E931EB" w:rsidRDefault="00C255E7" w:rsidP="00B37C51">
      <w:pPr>
        <w:spacing w:after="0" w:line="240" w:lineRule="auto"/>
        <w:jc w:val="center"/>
        <w:rPr>
          <w:rFonts w:ascii="Tahoma" w:eastAsia="Times New Roman" w:hAnsi="Tahoma" w:cs="Tahoma"/>
          <w:b/>
          <w:lang w:eastAsia="sl-SI"/>
        </w:rPr>
      </w:pPr>
      <w:r w:rsidRPr="00E931EB">
        <w:rPr>
          <w:rFonts w:ascii="Tahoma" w:eastAsia="Times New Roman" w:hAnsi="Tahoma" w:cs="Tahoma"/>
          <w:b/>
          <w:lang w:eastAsia="sl-SI"/>
        </w:rPr>
        <w:t>OBRAZLOŽITEV</w:t>
      </w:r>
      <w:r w:rsidR="00410A0B" w:rsidRPr="00E931EB">
        <w:rPr>
          <w:rFonts w:ascii="Tahoma" w:eastAsia="Times New Roman" w:hAnsi="Tahoma" w:cs="Tahoma"/>
          <w:b/>
          <w:lang w:eastAsia="sl-SI"/>
        </w:rPr>
        <w:t xml:space="preserve"> </w:t>
      </w:r>
    </w:p>
    <w:p w:rsidR="007C0676" w:rsidRPr="00E931EB" w:rsidRDefault="007C0676" w:rsidP="00C255E7">
      <w:pPr>
        <w:spacing w:after="0" w:line="240" w:lineRule="auto"/>
        <w:jc w:val="both"/>
        <w:rPr>
          <w:rFonts w:ascii="Tahoma" w:eastAsia="Times New Roman" w:hAnsi="Tahoma" w:cs="Tahoma"/>
          <w:b/>
          <w:color w:val="00B050"/>
          <w:lang w:eastAsia="sl-SI"/>
        </w:rPr>
      </w:pPr>
    </w:p>
    <w:p w:rsidR="0037208C" w:rsidRPr="00E931EB" w:rsidRDefault="000E5FD0" w:rsidP="0037208C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Občinski svet Občine Cerklje na Gorenjskem je na svoji 18. redni seji, dne 11.10.2017, sprejel Odlok</w:t>
      </w:r>
      <w:r w:rsidRPr="000E5FD0">
        <w:rPr>
          <w:rFonts w:ascii="Tahoma" w:hAnsi="Tahoma" w:cs="Tahoma"/>
        </w:rPr>
        <w:t xml:space="preserve"> o spremembah in dopolnitvah Odloka o odvajanju in čiščenju komunalne in padavinske odpadne vode na območju občine Cerklje na Gorenjskem (Uradno glasilo slovens</w:t>
      </w:r>
      <w:r>
        <w:rPr>
          <w:rFonts w:ascii="Tahoma" w:hAnsi="Tahoma" w:cs="Tahoma"/>
        </w:rPr>
        <w:t>kih občin, št. 48/20</w:t>
      </w:r>
      <w:r w:rsidRPr="000E5FD0">
        <w:rPr>
          <w:rFonts w:ascii="Tahoma" w:hAnsi="Tahoma" w:cs="Tahoma"/>
        </w:rPr>
        <w:t>17 – v nadaljevanju: sprememba odloka)</w:t>
      </w:r>
      <w:r>
        <w:rPr>
          <w:rFonts w:ascii="Tahoma" w:hAnsi="Tahoma" w:cs="Tahoma"/>
        </w:rPr>
        <w:t>. S to spremembo odloka</w:t>
      </w:r>
      <w:r w:rsidR="00410A0B" w:rsidRPr="00E931EB">
        <w:rPr>
          <w:rFonts w:ascii="Tahoma" w:hAnsi="Tahoma" w:cs="Tahoma"/>
        </w:rPr>
        <w:t xml:space="preserve"> </w:t>
      </w:r>
      <w:r w:rsidR="0037208C" w:rsidRPr="00E931EB">
        <w:rPr>
          <w:rFonts w:ascii="Tahoma" w:hAnsi="Tahoma" w:cs="Tahoma"/>
        </w:rPr>
        <w:t>je bilo sprejeto</w:t>
      </w:r>
      <w:r w:rsidR="00410A0B" w:rsidRPr="00E931EB">
        <w:rPr>
          <w:rFonts w:ascii="Tahoma" w:hAnsi="Tahoma" w:cs="Tahoma"/>
        </w:rPr>
        <w:t>, da se pogostost prevzema in odvoza blata iz obstoječih greznic in malih komunalnih čist</w:t>
      </w:r>
      <w:r w:rsidR="00352B17" w:rsidRPr="00E931EB">
        <w:rPr>
          <w:rFonts w:ascii="Tahoma" w:hAnsi="Tahoma" w:cs="Tahoma"/>
        </w:rPr>
        <w:t xml:space="preserve">ilnih naprav ter </w:t>
      </w:r>
      <w:r w:rsidR="0037208C" w:rsidRPr="00E931EB">
        <w:rPr>
          <w:rFonts w:ascii="Tahoma" w:hAnsi="Tahoma" w:cs="Tahoma"/>
        </w:rPr>
        <w:t>obdelava</w:t>
      </w:r>
      <w:r w:rsidR="00062B8E" w:rsidRPr="00E931EB">
        <w:rPr>
          <w:rFonts w:ascii="Tahoma" w:hAnsi="Tahoma" w:cs="Tahoma"/>
        </w:rPr>
        <w:t xml:space="preserve"> blata</w:t>
      </w:r>
      <w:r w:rsidR="00352B17" w:rsidRPr="00E931EB">
        <w:rPr>
          <w:rFonts w:ascii="Tahoma" w:hAnsi="Tahoma" w:cs="Tahoma"/>
        </w:rPr>
        <w:t xml:space="preserve"> na centralni čistilni napravi</w:t>
      </w:r>
      <w:r w:rsidR="00062B8E" w:rsidRPr="00E931EB">
        <w:rPr>
          <w:rFonts w:ascii="Tahoma" w:hAnsi="Tahoma" w:cs="Tahoma"/>
        </w:rPr>
        <w:t xml:space="preserve"> za objekte, ki se </w:t>
      </w:r>
      <w:r w:rsidR="00062B8E" w:rsidRPr="00E931EB">
        <w:rPr>
          <w:rFonts w:ascii="Tahoma" w:hAnsi="Tahoma" w:cs="Tahoma"/>
          <w:b/>
        </w:rPr>
        <w:t>ne</w:t>
      </w:r>
      <w:r w:rsidR="00062B8E" w:rsidRPr="00E931EB">
        <w:rPr>
          <w:rFonts w:ascii="Tahoma" w:hAnsi="Tahoma" w:cs="Tahoma"/>
        </w:rPr>
        <w:t xml:space="preserve"> nahajajo na območjih varstvenih pasov virov pitne vode</w:t>
      </w:r>
      <w:r w:rsidR="0037208C" w:rsidRPr="00E931EB">
        <w:rPr>
          <w:rFonts w:ascii="Tahoma" w:hAnsi="Tahoma" w:cs="Tahoma"/>
        </w:rPr>
        <w:t xml:space="preserve"> namesto </w:t>
      </w:r>
      <w:r w:rsidR="0037208C" w:rsidRPr="000E5FD0">
        <w:rPr>
          <w:rFonts w:ascii="Tahoma" w:hAnsi="Tahoma" w:cs="Tahoma"/>
        </w:rPr>
        <w:t xml:space="preserve">zakonsko določenega </w:t>
      </w:r>
      <w:r w:rsidR="0037208C" w:rsidRPr="000E5FD0">
        <w:rPr>
          <w:rFonts w:ascii="Tahoma" w:hAnsi="Tahoma" w:cs="Tahoma"/>
          <w:i/>
        </w:rPr>
        <w:t>najmanj enkrat na tri leta,</w:t>
      </w:r>
      <w:r w:rsidR="0037208C" w:rsidRPr="00E931EB">
        <w:rPr>
          <w:rFonts w:ascii="Tahoma" w:hAnsi="Tahoma" w:cs="Tahoma"/>
          <w:i/>
          <w:u w:val="single"/>
        </w:rPr>
        <w:t xml:space="preserve"> </w:t>
      </w:r>
      <w:r w:rsidR="00352B17" w:rsidRPr="00E931EB">
        <w:rPr>
          <w:rFonts w:ascii="Tahoma" w:hAnsi="Tahoma" w:cs="Tahoma"/>
        </w:rPr>
        <w:t xml:space="preserve"> </w:t>
      </w:r>
      <w:r w:rsidR="0037208C" w:rsidRPr="00E931EB">
        <w:rPr>
          <w:rFonts w:ascii="Tahoma" w:hAnsi="Tahoma" w:cs="Tahoma"/>
        </w:rPr>
        <w:t>izvaja</w:t>
      </w:r>
      <w:r w:rsidR="00E73F8D" w:rsidRPr="00E931EB">
        <w:rPr>
          <w:rFonts w:ascii="Tahoma" w:hAnsi="Tahoma" w:cs="Tahoma"/>
        </w:rPr>
        <w:t xml:space="preserve"> </w:t>
      </w:r>
      <w:r w:rsidR="00352B17" w:rsidRPr="00E931EB">
        <w:rPr>
          <w:rFonts w:ascii="Tahoma" w:hAnsi="Tahoma" w:cs="Tahoma"/>
          <w:i/>
        </w:rPr>
        <w:t>najmanj dvakrat na tri leta.</w:t>
      </w:r>
      <w:r w:rsidR="0037208C" w:rsidRPr="00E931EB">
        <w:rPr>
          <w:rFonts w:ascii="Tahoma" w:hAnsi="Tahoma" w:cs="Tahoma"/>
          <w:i/>
        </w:rPr>
        <w:t xml:space="preserve"> </w:t>
      </w:r>
    </w:p>
    <w:p w:rsidR="0037208C" w:rsidRPr="00E931EB" w:rsidRDefault="0037208C" w:rsidP="00E931EB">
      <w:pPr>
        <w:jc w:val="both"/>
        <w:rPr>
          <w:rFonts w:ascii="Tahoma" w:hAnsi="Tahoma" w:cs="Tahoma"/>
        </w:rPr>
      </w:pPr>
      <w:r w:rsidRPr="00E931EB">
        <w:rPr>
          <w:rFonts w:ascii="Tahoma" w:hAnsi="Tahoma" w:cs="Tahoma"/>
        </w:rPr>
        <w:t xml:space="preserve">Po sprejetju te spremembe odloka  </w:t>
      </w:r>
      <w:r w:rsidR="009F27E7" w:rsidRPr="00E931EB">
        <w:rPr>
          <w:rFonts w:ascii="Tahoma" w:hAnsi="Tahoma" w:cs="Tahoma"/>
        </w:rPr>
        <w:t xml:space="preserve">nam je izvajalec gospodarske javne službe Komunala Kranj, javno podjetje, d.o.o., poslala nov elaborat za oblikovanje cen, ki upošteva </w:t>
      </w:r>
      <w:r w:rsidR="000E5FD0">
        <w:rPr>
          <w:rFonts w:ascii="Tahoma" w:hAnsi="Tahoma" w:cs="Tahoma"/>
        </w:rPr>
        <w:t xml:space="preserve">navedeno </w:t>
      </w:r>
      <w:r w:rsidR="009F27E7" w:rsidRPr="00E931EB">
        <w:rPr>
          <w:rFonts w:ascii="Tahoma" w:hAnsi="Tahoma" w:cs="Tahoma"/>
        </w:rPr>
        <w:t>višjo frekvenco</w:t>
      </w:r>
      <w:r w:rsidR="000E5FD0">
        <w:rPr>
          <w:rFonts w:ascii="Tahoma" w:hAnsi="Tahoma" w:cs="Tahoma"/>
        </w:rPr>
        <w:t xml:space="preserve"> izvajanja storitve</w:t>
      </w:r>
      <w:r w:rsidR="009F27E7" w:rsidRPr="00E931EB">
        <w:rPr>
          <w:rFonts w:ascii="Tahoma" w:hAnsi="Tahoma" w:cs="Tahoma"/>
        </w:rPr>
        <w:t>. Iz elaborata je razvidno, da bi se cena storitve »prevzem in ravnanje z blatom«</w:t>
      </w:r>
      <w:r w:rsidR="000E5FD0">
        <w:rPr>
          <w:rFonts w:ascii="Tahoma" w:hAnsi="Tahoma" w:cs="Tahoma"/>
        </w:rPr>
        <w:t xml:space="preserve"> iz</w:t>
      </w:r>
      <w:r w:rsidR="009F27E7" w:rsidRPr="00E931EB">
        <w:rPr>
          <w:rFonts w:ascii="Tahoma" w:hAnsi="Tahoma" w:cs="Tahoma"/>
        </w:rPr>
        <w:t xml:space="preserve"> neto 0,61 €/m3 zvišala na 0,98 €/m3.</w:t>
      </w:r>
      <w:r w:rsidR="00E931EB" w:rsidRPr="00E931EB">
        <w:rPr>
          <w:rFonts w:ascii="Tahoma" w:hAnsi="Tahoma" w:cs="Tahoma"/>
        </w:rPr>
        <w:t xml:space="preserve"> Ker s spremembo odloka določena pogostost</w:t>
      </w:r>
      <w:r w:rsidR="009F27E7" w:rsidRPr="00E931EB">
        <w:rPr>
          <w:rFonts w:ascii="Tahoma" w:hAnsi="Tahoma" w:cs="Tahoma"/>
        </w:rPr>
        <w:t xml:space="preserve"> </w:t>
      </w:r>
      <w:r w:rsidR="00E931EB" w:rsidRPr="00E931EB">
        <w:rPr>
          <w:rFonts w:ascii="Tahoma" w:hAnsi="Tahoma" w:cs="Tahoma"/>
        </w:rPr>
        <w:t xml:space="preserve">prevzema in odvoza blata iz obstoječih greznic in malih komunalnih čistilnih presega zakonsko določeno, predlagamo da se </w:t>
      </w:r>
      <w:r w:rsidR="000E5FD0">
        <w:rPr>
          <w:rFonts w:ascii="Tahoma" w:hAnsi="Tahoma" w:cs="Tahoma"/>
        </w:rPr>
        <w:t>elaborat ne</w:t>
      </w:r>
      <w:r w:rsidR="00E931EB" w:rsidRPr="00E931EB">
        <w:rPr>
          <w:rFonts w:ascii="Tahoma" w:hAnsi="Tahoma" w:cs="Tahoma"/>
        </w:rPr>
        <w:t xml:space="preserve"> potrdi, </w:t>
      </w:r>
      <w:r w:rsidR="000E5FD0">
        <w:rPr>
          <w:rFonts w:ascii="Tahoma" w:hAnsi="Tahoma" w:cs="Tahoma"/>
        </w:rPr>
        <w:t>višja cena</w:t>
      </w:r>
      <w:r w:rsidR="00E931EB" w:rsidRPr="00E931EB">
        <w:rPr>
          <w:rFonts w:ascii="Tahoma" w:hAnsi="Tahoma" w:cs="Tahoma"/>
        </w:rPr>
        <w:t xml:space="preserve"> n</w:t>
      </w:r>
      <w:r w:rsidR="000E5FD0">
        <w:rPr>
          <w:rFonts w:ascii="Tahoma" w:hAnsi="Tahoma" w:cs="Tahoma"/>
        </w:rPr>
        <w:t>e uveljavi</w:t>
      </w:r>
      <w:r w:rsidR="00E931EB" w:rsidRPr="00E931EB">
        <w:rPr>
          <w:rFonts w:ascii="Tahoma" w:hAnsi="Tahoma" w:cs="Tahoma"/>
        </w:rPr>
        <w:t>, ampak se sprememba  odloka razveljavi.</w:t>
      </w:r>
    </w:p>
    <w:p w:rsidR="00E931EB" w:rsidRPr="00E931EB" w:rsidRDefault="00E931EB" w:rsidP="00C255E7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</w:p>
    <w:p w:rsidR="00F734AE" w:rsidRPr="00E931EB" w:rsidRDefault="00F734AE" w:rsidP="00C255E7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E931EB">
        <w:rPr>
          <w:rFonts w:ascii="Tahoma" w:eastAsia="Times New Roman" w:hAnsi="Tahoma" w:cs="Tahoma"/>
          <w:b/>
          <w:lang w:eastAsia="sl-SI"/>
        </w:rPr>
        <w:t>Občinskemu sve</w:t>
      </w:r>
      <w:r w:rsidR="00C214D7" w:rsidRPr="00E931EB">
        <w:rPr>
          <w:rFonts w:ascii="Tahoma" w:eastAsia="Times New Roman" w:hAnsi="Tahoma" w:cs="Tahoma"/>
          <w:b/>
          <w:lang w:eastAsia="sl-SI"/>
        </w:rPr>
        <w:t>tu Občine Cerklje na Gorenjskem</w:t>
      </w:r>
      <w:r w:rsidRPr="00E931EB">
        <w:rPr>
          <w:rFonts w:ascii="Tahoma" w:eastAsia="Times New Roman" w:hAnsi="Tahoma" w:cs="Tahoma"/>
          <w:b/>
          <w:lang w:eastAsia="sl-SI"/>
        </w:rPr>
        <w:t xml:space="preserve"> predlagam</w:t>
      </w:r>
      <w:r w:rsidR="00E931EB" w:rsidRPr="00E931EB">
        <w:rPr>
          <w:rFonts w:ascii="Tahoma" w:eastAsia="Times New Roman" w:hAnsi="Tahoma" w:cs="Tahoma"/>
          <w:b/>
          <w:lang w:eastAsia="sl-SI"/>
        </w:rPr>
        <w:t>o</w:t>
      </w:r>
      <w:r w:rsidR="00A24FBC" w:rsidRPr="00E931EB">
        <w:rPr>
          <w:rFonts w:ascii="Tahoma" w:eastAsia="Times New Roman" w:hAnsi="Tahoma" w:cs="Tahoma"/>
          <w:b/>
          <w:lang w:eastAsia="sl-SI"/>
        </w:rPr>
        <w:t>, da sprejme</w:t>
      </w:r>
      <w:r w:rsidRPr="00E931EB">
        <w:rPr>
          <w:rFonts w:ascii="Tahoma" w:eastAsia="Times New Roman" w:hAnsi="Tahoma" w:cs="Tahoma"/>
          <w:b/>
          <w:lang w:eastAsia="sl-SI"/>
        </w:rPr>
        <w:t xml:space="preserve"> naslednji</w:t>
      </w:r>
    </w:p>
    <w:p w:rsidR="00F734AE" w:rsidRPr="00E931EB" w:rsidRDefault="00F734AE" w:rsidP="00C255E7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</w:p>
    <w:p w:rsidR="00C255E7" w:rsidRPr="00E931EB" w:rsidRDefault="006367DB" w:rsidP="00C255E7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E931EB">
        <w:rPr>
          <w:rFonts w:ascii="Tahoma" w:eastAsia="Times New Roman" w:hAnsi="Tahoma" w:cs="Tahoma"/>
          <w:b/>
          <w:lang w:eastAsia="sl-SI"/>
        </w:rPr>
        <w:t>SKLEP:</w:t>
      </w:r>
    </w:p>
    <w:p w:rsidR="00DA4D89" w:rsidRPr="00E931EB" w:rsidRDefault="00DA4D89" w:rsidP="00DA4D89">
      <w:pPr>
        <w:pStyle w:val="Odstavekseznama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AB6EFE" w:rsidRPr="00E931EB" w:rsidRDefault="00DA4D89" w:rsidP="00DA4D89">
      <w:pPr>
        <w:pStyle w:val="Odstavekseznama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931EB">
        <w:rPr>
          <w:rFonts w:ascii="Tahoma" w:hAnsi="Tahoma" w:cs="Tahoma"/>
          <w:b/>
          <w:sz w:val="22"/>
          <w:szCs w:val="22"/>
        </w:rPr>
        <w:t>Občinski svet O</w:t>
      </w:r>
      <w:r w:rsidR="00F0326F" w:rsidRPr="00E931EB">
        <w:rPr>
          <w:rFonts w:ascii="Tahoma" w:hAnsi="Tahoma" w:cs="Tahoma"/>
          <w:b/>
          <w:sz w:val="22"/>
          <w:szCs w:val="22"/>
        </w:rPr>
        <w:t xml:space="preserve">bčine Cerklje na Gorenjskem sprejme </w:t>
      </w:r>
      <w:r w:rsidR="00E931EB" w:rsidRPr="00E931EB">
        <w:rPr>
          <w:rFonts w:ascii="Tahoma" w:hAnsi="Tahoma" w:cs="Tahoma"/>
          <w:b/>
          <w:sz w:val="22"/>
          <w:szCs w:val="22"/>
        </w:rPr>
        <w:t>Odlok o razveljavitvi Odloka</w:t>
      </w:r>
      <w:r w:rsidR="00F0326F" w:rsidRPr="00E931EB">
        <w:rPr>
          <w:rFonts w:ascii="Tahoma" w:hAnsi="Tahoma" w:cs="Tahoma"/>
          <w:b/>
          <w:sz w:val="22"/>
          <w:szCs w:val="22"/>
        </w:rPr>
        <w:t xml:space="preserve"> </w:t>
      </w:r>
      <w:r w:rsidR="00410A0B" w:rsidRPr="00E931EB">
        <w:rPr>
          <w:rFonts w:ascii="Tahoma" w:hAnsi="Tahoma" w:cs="Tahoma"/>
          <w:b/>
          <w:sz w:val="22"/>
          <w:szCs w:val="22"/>
        </w:rPr>
        <w:t xml:space="preserve">o spremembah in dopolnitvah Odloka </w:t>
      </w:r>
      <w:r w:rsidR="00186100" w:rsidRPr="00E931EB">
        <w:rPr>
          <w:rFonts w:ascii="Tahoma" w:hAnsi="Tahoma" w:cs="Tahoma"/>
          <w:b/>
          <w:sz w:val="22"/>
          <w:szCs w:val="22"/>
        </w:rPr>
        <w:t>o odvajanju in čiščenju komunalne in padavinske odpadne vode</w:t>
      </w:r>
      <w:r w:rsidR="00816FDD" w:rsidRPr="00E931EB">
        <w:rPr>
          <w:rFonts w:ascii="Tahoma" w:hAnsi="Tahoma" w:cs="Tahoma"/>
          <w:b/>
          <w:sz w:val="22"/>
          <w:szCs w:val="22"/>
        </w:rPr>
        <w:t xml:space="preserve"> na območju občine Cerklje na Gorenjskem</w:t>
      </w:r>
      <w:r w:rsidR="000645B3" w:rsidRPr="00E931EB">
        <w:rPr>
          <w:rFonts w:ascii="Tahoma" w:hAnsi="Tahoma" w:cs="Tahoma"/>
          <w:b/>
          <w:sz w:val="22"/>
          <w:szCs w:val="22"/>
        </w:rPr>
        <w:t>, v predlaganem besedilu</w:t>
      </w:r>
      <w:r w:rsidR="00816FDD" w:rsidRPr="00E931EB">
        <w:rPr>
          <w:rFonts w:ascii="Tahoma" w:hAnsi="Tahoma" w:cs="Tahoma"/>
          <w:b/>
          <w:sz w:val="22"/>
          <w:szCs w:val="22"/>
        </w:rPr>
        <w:t>.</w:t>
      </w:r>
    </w:p>
    <w:p w:rsidR="00AF1C76" w:rsidRPr="00E931EB" w:rsidRDefault="00AF1C76" w:rsidP="00AB6EFE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sl-SI"/>
        </w:rPr>
      </w:pPr>
    </w:p>
    <w:p w:rsidR="00F734AE" w:rsidRPr="00E931EB" w:rsidRDefault="00F734AE" w:rsidP="00AB6EFE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sl-SI"/>
        </w:rPr>
      </w:pPr>
    </w:p>
    <w:p w:rsidR="00F734AE" w:rsidRPr="00E931EB" w:rsidRDefault="00F734AE" w:rsidP="00AB6EFE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sl-SI"/>
        </w:rPr>
      </w:pPr>
    </w:p>
    <w:p w:rsidR="00C255E7" w:rsidRPr="00E931EB" w:rsidRDefault="00C255E7" w:rsidP="00AB6EFE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sl-SI"/>
        </w:rPr>
      </w:pPr>
      <w:r w:rsidRPr="00E931EB">
        <w:rPr>
          <w:rFonts w:ascii="Tahoma" w:eastAsia="Times New Roman" w:hAnsi="Tahoma" w:cs="Tahoma"/>
          <w:lang w:eastAsia="sl-SI"/>
        </w:rPr>
        <w:t xml:space="preserve">  Občina Cerklje na Gorenjskem</w:t>
      </w:r>
    </w:p>
    <w:p w:rsidR="00C255E7" w:rsidRPr="00E931EB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  <w:t xml:space="preserve">  </w:t>
      </w:r>
      <w:r w:rsidR="00290F6C" w:rsidRPr="00E931EB">
        <w:rPr>
          <w:rFonts w:ascii="Tahoma" w:eastAsia="Times New Roman" w:hAnsi="Tahoma" w:cs="Tahoma"/>
          <w:lang w:eastAsia="sl-SI"/>
        </w:rPr>
        <w:t xml:space="preserve">     </w:t>
      </w:r>
      <w:r w:rsidRPr="00E931EB">
        <w:rPr>
          <w:rFonts w:ascii="Tahoma" w:eastAsia="Times New Roman" w:hAnsi="Tahoma" w:cs="Tahoma"/>
          <w:lang w:eastAsia="sl-SI"/>
        </w:rPr>
        <w:t>ŽUPAN</w:t>
      </w:r>
    </w:p>
    <w:p w:rsidR="00C255E7" w:rsidRPr="00E931EB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</w:r>
      <w:r w:rsidRPr="00E931EB">
        <w:rPr>
          <w:rFonts w:ascii="Tahoma" w:eastAsia="Times New Roman" w:hAnsi="Tahoma" w:cs="Tahoma"/>
          <w:lang w:eastAsia="sl-SI"/>
        </w:rPr>
        <w:tab/>
        <w:t xml:space="preserve">     </w:t>
      </w:r>
      <w:r w:rsidR="00290F6C" w:rsidRPr="00E931EB">
        <w:rPr>
          <w:rFonts w:ascii="Tahoma" w:eastAsia="Times New Roman" w:hAnsi="Tahoma" w:cs="Tahoma"/>
          <w:lang w:eastAsia="sl-SI"/>
        </w:rPr>
        <w:t xml:space="preserve">  </w:t>
      </w:r>
      <w:r w:rsidRPr="00E931EB">
        <w:rPr>
          <w:rFonts w:ascii="Tahoma" w:eastAsia="Times New Roman" w:hAnsi="Tahoma" w:cs="Tahoma"/>
          <w:lang w:eastAsia="sl-SI"/>
        </w:rPr>
        <w:t xml:space="preserve"> </w:t>
      </w:r>
      <w:r w:rsidR="00290F6C" w:rsidRPr="00E931EB">
        <w:rPr>
          <w:rFonts w:ascii="Tahoma" w:eastAsia="Times New Roman" w:hAnsi="Tahoma" w:cs="Tahoma"/>
          <w:lang w:eastAsia="sl-SI"/>
        </w:rPr>
        <w:t xml:space="preserve">  </w:t>
      </w:r>
      <w:r w:rsidRPr="00E931EB">
        <w:rPr>
          <w:rFonts w:ascii="Tahoma" w:eastAsia="Times New Roman" w:hAnsi="Tahoma" w:cs="Tahoma"/>
          <w:lang w:eastAsia="sl-SI"/>
        </w:rPr>
        <w:t xml:space="preserve"> FRANC ČEBULJ</w:t>
      </w:r>
      <w:r w:rsidRPr="00E931EB">
        <w:rPr>
          <w:rFonts w:ascii="Tahoma" w:eastAsia="Times New Roman" w:hAnsi="Tahoma" w:cs="Tahoma"/>
          <w:lang w:eastAsia="sl-SI"/>
        </w:rPr>
        <w:tab/>
      </w:r>
    </w:p>
    <w:p w:rsidR="00C255E7" w:rsidRPr="00E931EB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2559B" w:rsidRPr="00E931EB" w:rsidRDefault="00A2559B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E931EB" w:rsidRPr="00E931EB" w:rsidRDefault="00E931EB" w:rsidP="00C255E7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DA4D89" w:rsidRPr="006B2527" w:rsidRDefault="00DA4D89" w:rsidP="00C255E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p w:rsidR="00C255E7" w:rsidRPr="006B2527" w:rsidRDefault="00C255E7" w:rsidP="00C255E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6B2527">
        <w:rPr>
          <w:rFonts w:ascii="Tahoma" w:eastAsia="Times New Roman" w:hAnsi="Tahoma" w:cs="Tahoma"/>
          <w:i/>
          <w:sz w:val="20"/>
          <w:szCs w:val="20"/>
          <w:lang w:eastAsia="sl-SI"/>
        </w:rPr>
        <w:t>Prilog</w:t>
      </w:r>
      <w:r w:rsidR="00816FDD" w:rsidRPr="006B2527">
        <w:rPr>
          <w:rFonts w:ascii="Tahoma" w:eastAsia="Times New Roman" w:hAnsi="Tahoma" w:cs="Tahoma"/>
          <w:i/>
          <w:sz w:val="20"/>
          <w:szCs w:val="20"/>
          <w:lang w:eastAsia="sl-SI"/>
        </w:rPr>
        <w:t>a</w:t>
      </w:r>
      <w:r w:rsidRPr="006B2527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: </w:t>
      </w:r>
    </w:p>
    <w:p w:rsidR="00DA4D89" w:rsidRPr="006B2527" w:rsidRDefault="00E931EB" w:rsidP="001861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>
        <w:rPr>
          <w:rFonts w:ascii="Tahoma" w:eastAsia="Times New Roman" w:hAnsi="Tahoma" w:cs="Tahoma"/>
          <w:i/>
          <w:sz w:val="20"/>
          <w:szCs w:val="20"/>
          <w:lang w:eastAsia="sl-SI"/>
        </w:rPr>
        <w:t>Odlok o razveljavitvi Odloka</w:t>
      </w:r>
      <w:r w:rsidR="00410A0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o spremembah in dopolnitvah Odloka</w:t>
      </w:r>
      <w:r w:rsidR="00186100" w:rsidRPr="00186100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o odvajanju in čiščenju komunalne in padavinske odpadne vode na območju občine Cerklje na Gorenjskem</w:t>
      </w:r>
      <w:r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- predlog</w:t>
      </w:r>
    </w:p>
    <w:sectPr w:rsidR="00DA4D89" w:rsidRPr="006B2527" w:rsidSect="0077784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86" w:rsidRDefault="00100186">
      <w:pPr>
        <w:spacing w:after="0" w:line="240" w:lineRule="auto"/>
      </w:pPr>
      <w:r>
        <w:separator/>
      </w:r>
    </w:p>
  </w:endnote>
  <w:endnote w:type="continuationSeparator" w:id="0">
    <w:p w:rsidR="00100186" w:rsidRDefault="0010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41" w:rsidRDefault="00693B50" w:rsidP="0077784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7784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7841" w:rsidRDefault="00777841" w:rsidP="0077784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41" w:rsidRDefault="00693B50" w:rsidP="0077784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77841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A0A3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77841" w:rsidRDefault="00777841" w:rsidP="0077784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86" w:rsidRDefault="00100186">
      <w:pPr>
        <w:spacing w:after="0" w:line="240" w:lineRule="auto"/>
      </w:pPr>
      <w:r>
        <w:separator/>
      </w:r>
    </w:p>
  </w:footnote>
  <w:footnote w:type="continuationSeparator" w:id="0">
    <w:p w:rsidR="00100186" w:rsidRDefault="0010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A1"/>
    <w:multiLevelType w:val="hybridMultilevel"/>
    <w:tmpl w:val="E49CC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916B27A">
      <w:numFmt w:val="bullet"/>
      <w:lvlText w:val="-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14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50D00"/>
    <w:multiLevelType w:val="hybridMultilevel"/>
    <w:tmpl w:val="1CE870DE"/>
    <w:lvl w:ilvl="0" w:tplc="710E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877BF"/>
    <w:multiLevelType w:val="hybridMultilevel"/>
    <w:tmpl w:val="5420B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106BC"/>
    <w:multiLevelType w:val="hybridMultilevel"/>
    <w:tmpl w:val="2458A220"/>
    <w:lvl w:ilvl="0" w:tplc="291442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0E97"/>
    <w:multiLevelType w:val="hybridMultilevel"/>
    <w:tmpl w:val="E8326B08"/>
    <w:lvl w:ilvl="0" w:tplc="04240013">
      <w:start w:val="1"/>
      <w:numFmt w:val="upperRoman"/>
      <w:lvlText w:val="%1."/>
      <w:lvlJc w:val="righ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D6978EC"/>
    <w:multiLevelType w:val="hybridMultilevel"/>
    <w:tmpl w:val="E6469EAC"/>
    <w:lvl w:ilvl="0" w:tplc="C7BADF0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12EC"/>
    <w:multiLevelType w:val="hybridMultilevel"/>
    <w:tmpl w:val="1ED8A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0907"/>
    <w:multiLevelType w:val="hybridMultilevel"/>
    <w:tmpl w:val="2A92AE5E"/>
    <w:lvl w:ilvl="0" w:tplc="5BA2DD24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65F4"/>
    <w:multiLevelType w:val="hybridMultilevel"/>
    <w:tmpl w:val="580299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E7"/>
    <w:rsid w:val="00002E9F"/>
    <w:rsid w:val="000172BC"/>
    <w:rsid w:val="00036AB9"/>
    <w:rsid w:val="000468CB"/>
    <w:rsid w:val="00057917"/>
    <w:rsid w:val="00062B8E"/>
    <w:rsid w:val="000645B3"/>
    <w:rsid w:val="000710BF"/>
    <w:rsid w:val="000720A3"/>
    <w:rsid w:val="000B1025"/>
    <w:rsid w:val="000B7BEC"/>
    <w:rsid w:val="000E5FD0"/>
    <w:rsid w:val="00100186"/>
    <w:rsid w:val="0010692D"/>
    <w:rsid w:val="00120216"/>
    <w:rsid w:val="00121EA6"/>
    <w:rsid w:val="00131BE3"/>
    <w:rsid w:val="00136D8C"/>
    <w:rsid w:val="0014699C"/>
    <w:rsid w:val="00161F03"/>
    <w:rsid w:val="00170AD0"/>
    <w:rsid w:val="0018201C"/>
    <w:rsid w:val="00186100"/>
    <w:rsid w:val="001919AA"/>
    <w:rsid w:val="001A0003"/>
    <w:rsid w:val="001A44DA"/>
    <w:rsid w:val="001B2308"/>
    <w:rsid w:val="001D0103"/>
    <w:rsid w:val="001D3CED"/>
    <w:rsid w:val="001D56E9"/>
    <w:rsid w:val="001F548B"/>
    <w:rsid w:val="001F6049"/>
    <w:rsid w:val="00255D01"/>
    <w:rsid w:val="0026713C"/>
    <w:rsid w:val="00270CBF"/>
    <w:rsid w:val="00287861"/>
    <w:rsid w:val="00290F6C"/>
    <w:rsid w:val="002910DB"/>
    <w:rsid w:val="002C19C0"/>
    <w:rsid w:val="002C1FE3"/>
    <w:rsid w:val="002C64D0"/>
    <w:rsid w:val="002D3FC8"/>
    <w:rsid w:val="002E4223"/>
    <w:rsid w:val="00305F49"/>
    <w:rsid w:val="00335331"/>
    <w:rsid w:val="00352B17"/>
    <w:rsid w:val="003530B0"/>
    <w:rsid w:val="003542EB"/>
    <w:rsid w:val="00360224"/>
    <w:rsid w:val="00363956"/>
    <w:rsid w:val="00365068"/>
    <w:rsid w:val="0037029C"/>
    <w:rsid w:val="0037208C"/>
    <w:rsid w:val="0037484E"/>
    <w:rsid w:val="003A0A38"/>
    <w:rsid w:val="003B23D7"/>
    <w:rsid w:val="003D1108"/>
    <w:rsid w:val="003E1C18"/>
    <w:rsid w:val="003F59BC"/>
    <w:rsid w:val="00402E0B"/>
    <w:rsid w:val="004103BC"/>
    <w:rsid w:val="00410A0B"/>
    <w:rsid w:val="00432A03"/>
    <w:rsid w:val="00456F15"/>
    <w:rsid w:val="004958A0"/>
    <w:rsid w:val="004A52E7"/>
    <w:rsid w:val="004D350D"/>
    <w:rsid w:val="004E060F"/>
    <w:rsid w:val="004E06BD"/>
    <w:rsid w:val="004F1019"/>
    <w:rsid w:val="005003EB"/>
    <w:rsid w:val="005116A1"/>
    <w:rsid w:val="00574A10"/>
    <w:rsid w:val="00583279"/>
    <w:rsid w:val="005A5152"/>
    <w:rsid w:val="005A789D"/>
    <w:rsid w:val="005B38AF"/>
    <w:rsid w:val="005B57E6"/>
    <w:rsid w:val="005B7051"/>
    <w:rsid w:val="005B781F"/>
    <w:rsid w:val="005E0F2D"/>
    <w:rsid w:val="005E63BE"/>
    <w:rsid w:val="005F7ADE"/>
    <w:rsid w:val="0061661C"/>
    <w:rsid w:val="00624084"/>
    <w:rsid w:val="00625253"/>
    <w:rsid w:val="006354C2"/>
    <w:rsid w:val="006367DB"/>
    <w:rsid w:val="00654A8F"/>
    <w:rsid w:val="00673B8F"/>
    <w:rsid w:val="00690B29"/>
    <w:rsid w:val="00690D6B"/>
    <w:rsid w:val="00693B50"/>
    <w:rsid w:val="006A0096"/>
    <w:rsid w:val="006B2527"/>
    <w:rsid w:val="006C54C2"/>
    <w:rsid w:val="006E0464"/>
    <w:rsid w:val="006F70D9"/>
    <w:rsid w:val="00705C6E"/>
    <w:rsid w:val="00731E9D"/>
    <w:rsid w:val="00734071"/>
    <w:rsid w:val="00745838"/>
    <w:rsid w:val="00772A3D"/>
    <w:rsid w:val="00777841"/>
    <w:rsid w:val="007924F8"/>
    <w:rsid w:val="00793692"/>
    <w:rsid w:val="007A50A3"/>
    <w:rsid w:val="007A7984"/>
    <w:rsid w:val="007B0778"/>
    <w:rsid w:val="007C0676"/>
    <w:rsid w:val="007E7830"/>
    <w:rsid w:val="007F519A"/>
    <w:rsid w:val="008056E0"/>
    <w:rsid w:val="00816FDD"/>
    <w:rsid w:val="00857476"/>
    <w:rsid w:val="00887C81"/>
    <w:rsid w:val="008A2F50"/>
    <w:rsid w:val="008D64F0"/>
    <w:rsid w:val="008D6BE3"/>
    <w:rsid w:val="008F2B1C"/>
    <w:rsid w:val="008F3D46"/>
    <w:rsid w:val="009116EE"/>
    <w:rsid w:val="009301F0"/>
    <w:rsid w:val="00965DE7"/>
    <w:rsid w:val="00970DE2"/>
    <w:rsid w:val="009A2253"/>
    <w:rsid w:val="009A64A9"/>
    <w:rsid w:val="009C1AAF"/>
    <w:rsid w:val="009E0829"/>
    <w:rsid w:val="009E312C"/>
    <w:rsid w:val="009F27E7"/>
    <w:rsid w:val="009F4B74"/>
    <w:rsid w:val="009F5A4E"/>
    <w:rsid w:val="009F7D2B"/>
    <w:rsid w:val="00A1736C"/>
    <w:rsid w:val="00A24FBC"/>
    <w:rsid w:val="00A2559B"/>
    <w:rsid w:val="00A57C71"/>
    <w:rsid w:val="00A64B69"/>
    <w:rsid w:val="00A84CFA"/>
    <w:rsid w:val="00AB6EFE"/>
    <w:rsid w:val="00AB7260"/>
    <w:rsid w:val="00AC5DEF"/>
    <w:rsid w:val="00AC7AC6"/>
    <w:rsid w:val="00AD0750"/>
    <w:rsid w:val="00AF1C76"/>
    <w:rsid w:val="00B0189B"/>
    <w:rsid w:val="00B04B5B"/>
    <w:rsid w:val="00B364D2"/>
    <w:rsid w:val="00B37C51"/>
    <w:rsid w:val="00B5175E"/>
    <w:rsid w:val="00B62DF3"/>
    <w:rsid w:val="00B7672C"/>
    <w:rsid w:val="00B931F0"/>
    <w:rsid w:val="00BA7780"/>
    <w:rsid w:val="00BC30AB"/>
    <w:rsid w:val="00BD0621"/>
    <w:rsid w:val="00BE112B"/>
    <w:rsid w:val="00BF3AD0"/>
    <w:rsid w:val="00C00959"/>
    <w:rsid w:val="00C0429F"/>
    <w:rsid w:val="00C141A7"/>
    <w:rsid w:val="00C214D7"/>
    <w:rsid w:val="00C255E7"/>
    <w:rsid w:val="00C36151"/>
    <w:rsid w:val="00C37018"/>
    <w:rsid w:val="00C40671"/>
    <w:rsid w:val="00C41360"/>
    <w:rsid w:val="00C563AD"/>
    <w:rsid w:val="00C64EA7"/>
    <w:rsid w:val="00C720CD"/>
    <w:rsid w:val="00C86E44"/>
    <w:rsid w:val="00CA54BC"/>
    <w:rsid w:val="00CE06CB"/>
    <w:rsid w:val="00CE2AAE"/>
    <w:rsid w:val="00CE6536"/>
    <w:rsid w:val="00CE745D"/>
    <w:rsid w:val="00D247FD"/>
    <w:rsid w:val="00D254A8"/>
    <w:rsid w:val="00D25EB7"/>
    <w:rsid w:val="00D468B3"/>
    <w:rsid w:val="00D53929"/>
    <w:rsid w:val="00D72846"/>
    <w:rsid w:val="00D72DA1"/>
    <w:rsid w:val="00D8696F"/>
    <w:rsid w:val="00D9780B"/>
    <w:rsid w:val="00DA1AB9"/>
    <w:rsid w:val="00DA4D89"/>
    <w:rsid w:val="00DA6721"/>
    <w:rsid w:val="00DA7082"/>
    <w:rsid w:val="00DC6D70"/>
    <w:rsid w:val="00DD6201"/>
    <w:rsid w:val="00E507D7"/>
    <w:rsid w:val="00E55B14"/>
    <w:rsid w:val="00E61E20"/>
    <w:rsid w:val="00E732AE"/>
    <w:rsid w:val="00E73F8D"/>
    <w:rsid w:val="00E931EB"/>
    <w:rsid w:val="00EB15E6"/>
    <w:rsid w:val="00ED4DD4"/>
    <w:rsid w:val="00ED4E02"/>
    <w:rsid w:val="00EF602A"/>
    <w:rsid w:val="00EF708B"/>
    <w:rsid w:val="00F0326F"/>
    <w:rsid w:val="00F222FC"/>
    <w:rsid w:val="00F30247"/>
    <w:rsid w:val="00F46099"/>
    <w:rsid w:val="00F65EB9"/>
    <w:rsid w:val="00F660DD"/>
    <w:rsid w:val="00F734AE"/>
    <w:rsid w:val="00F90B5A"/>
    <w:rsid w:val="00F94339"/>
    <w:rsid w:val="00F96D04"/>
    <w:rsid w:val="00FA5A2D"/>
    <w:rsid w:val="00FB2502"/>
    <w:rsid w:val="00FC21BF"/>
    <w:rsid w:val="00FE0E69"/>
    <w:rsid w:val="00FE265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112F-81BD-4C7C-8141-835DC6F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19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C255E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255E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C255E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5E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3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0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2E0B"/>
  </w:style>
  <w:style w:type="character" w:styleId="Hiperpovezava">
    <w:name w:val="Hyperlink"/>
    <w:basedOn w:val="Privzetapisavaodstavka"/>
    <w:uiPriority w:val="99"/>
    <w:unhideWhenUsed/>
    <w:rsid w:val="003B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6FF4-0A2B-4CCF-8917-7C238CF7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Marta Jarc</cp:lastModifiedBy>
  <cp:revision>2</cp:revision>
  <cp:lastPrinted>2018-06-11T08:35:00Z</cp:lastPrinted>
  <dcterms:created xsi:type="dcterms:W3CDTF">2018-06-11T11:24:00Z</dcterms:created>
  <dcterms:modified xsi:type="dcterms:W3CDTF">2018-06-11T11:24:00Z</dcterms:modified>
</cp:coreProperties>
</file>