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2F5E7" w14:textId="6986204E" w:rsidR="00E775E4" w:rsidRDefault="00EE78F6" w:rsidP="00EE78F6">
      <w:pPr>
        <w:jc w:val="right"/>
      </w:pPr>
      <w:r>
        <w:t xml:space="preserve">Ravne na Koroškem,  </w:t>
      </w:r>
      <w:r w:rsidR="00AD5E94">
        <w:t>november</w:t>
      </w:r>
      <w:r w:rsidR="00A52E79">
        <w:t xml:space="preserve"> 2019</w:t>
      </w:r>
    </w:p>
    <w:p w14:paraId="2DC09455" w14:textId="77777777" w:rsidR="00E775E4" w:rsidRDefault="00E775E4" w:rsidP="00E775E4"/>
    <w:p w14:paraId="50074C8E" w14:textId="77777777" w:rsidR="00E775E4" w:rsidRDefault="00E775E4" w:rsidP="00E775E4">
      <w:r>
        <w:t>Za:</w:t>
      </w:r>
    </w:p>
    <w:tbl>
      <w:tblPr>
        <w:tblStyle w:val="Tabelasvetlamrea1poudarek1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E775E4" w:rsidRPr="00530F72" w14:paraId="2FC61581" w14:textId="77777777" w:rsidTr="00647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none" w:sz="0" w:space="0" w:color="auto"/>
            </w:tcBorders>
          </w:tcPr>
          <w:p w14:paraId="4310CEF5" w14:textId="77777777" w:rsidR="00E775E4" w:rsidRPr="00530F72" w:rsidRDefault="00E775E4" w:rsidP="00647199">
            <w:pPr>
              <w:rPr>
                <w:b w:val="0"/>
              </w:rPr>
            </w:pPr>
          </w:p>
          <w:p w14:paraId="76E07201" w14:textId="77777777" w:rsidR="00E775E4" w:rsidRDefault="00A52E79" w:rsidP="00647199">
            <w:pPr>
              <w:rPr>
                <w:bCs w:val="0"/>
              </w:rPr>
            </w:pPr>
            <w:r>
              <w:rPr>
                <w:b w:val="0"/>
              </w:rPr>
              <w:t>Občina Ravne na Koroškem</w:t>
            </w:r>
          </w:p>
          <w:p w14:paraId="1B828AE0" w14:textId="77777777" w:rsidR="00A52E79" w:rsidRDefault="00A52E79" w:rsidP="00647199">
            <w:pPr>
              <w:rPr>
                <w:bCs w:val="0"/>
              </w:rPr>
            </w:pPr>
            <w:r>
              <w:rPr>
                <w:b w:val="0"/>
              </w:rPr>
              <w:t>Gačnikova pot 5</w:t>
            </w:r>
          </w:p>
          <w:p w14:paraId="7A166640" w14:textId="77777777" w:rsidR="00A52E79" w:rsidRDefault="00A52E79" w:rsidP="00647199">
            <w:pPr>
              <w:rPr>
                <w:bCs w:val="0"/>
              </w:rPr>
            </w:pPr>
            <w:r>
              <w:rPr>
                <w:b w:val="0"/>
              </w:rPr>
              <w:t>2390 Ravne na Koroškem</w:t>
            </w:r>
          </w:p>
          <w:p w14:paraId="1C48CBFB" w14:textId="77777777" w:rsidR="00E775E4" w:rsidRPr="00530F72" w:rsidRDefault="00E775E4" w:rsidP="00647199">
            <w:pPr>
              <w:rPr>
                <w:b w:val="0"/>
              </w:rPr>
            </w:pPr>
          </w:p>
        </w:tc>
      </w:tr>
    </w:tbl>
    <w:p w14:paraId="5D33CDFA" w14:textId="77777777" w:rsidR="009E651F" w:rsidRDefault="009E651F" w:rsidP="00E775E4"/>
    <w:p w14:paraId="2771E10A" w14:textId="77777777" w:rsidR="009E651F" w:rsidRDefault="009E651F" w:rsidP="00E775E4"/>
    <w:p w14:paraId="56D301B7" w14:textId="77777777" w:rsidR="00E775E4" w:rsidRDefault="00E775E4" w:rsidP="00E775E4">
      <w:r>
        <w:br w:type="textWrapping" w:clear="all"/>
      </w:r>
    </w:p>
    <w:p w14:paraId="77F5B573" w14:textId="77777777" w:rsidR="00E775E4" w:rsidRPr="00642805" w:rsidRDefault="00E775E4" w:rsidP="00E775E4">
      <w:pPr>
        <w:rPr>
          <w:b/>
        </w:rPr>
      </w:pPr>
      <w:r w:rsidRPr="00642805">
        <w:rPr>
          <w:b/>
        </w:rPr>
        <w:t>Zadeva:</w:t>
      </w:r>
      <w:r w:rsidR="00A52E79">
        <w:rPr>
          <w:b/>
        </w:rPr>
        <w:t xml:space="preserve"> ELABORAT CEN OBVEZNIH GJS VARSTVA OKOLJA ZA LETO 2020</w:t>
      </w:r>
    </w:p>
    <w:p w14:paraId="283EF32A" w14:textId="77777777" w:rsidR="00E775E4" w:rsidRPr="00634964" w:rsidRDefault="00E775E4" w:rsidP="00E775E4"/>
    <w:p w14:paraId="7168D166" w14:textId="77777777" w:rsidR="00837865" w:rsidRDefault="00837865" w:rsidP="004F038D">
      <w:pPr>
        <w:jc w:val="both"/>
      </w:pPr>
      <w:r w:rsidRPr="00E06255">
        <w:t xml:space="preserve">Skladno z Uredbo o metodologiji za oblikovanje cen storitev obveznih občinskih gospodarskih javnih služb varstva okolja (Uradni list RS, št. 87/2012) je izvajalec obvezne GJS varstva okolja letno dolžan pripraviti cene storitve posamezne javne službe za območje občine in jih predlagati z elaboratom o oblikovanju cene izvajanja storitev javne službe. </w:t>
      </w:r>
    </w:p>
    <w:p w14:paraId="5D36283E" w14:textId="77777777" w:rsidR="00837865" w:rsidRDefault="00837865" w:rsidP="004F038D">
      <w:pPr>
        <w:jc w:val="both"/>
      </w:pPr>
    </w:p>
    <w:p w14:paraId="01B2CBD6" w14:textId="77777777" w:rsidR="00837865" w:rsidRDefault="00837865" w:rsidP="004F038D">
      <w:pPr>
        <w:jc w:val="both"/>
      </w:pPr>
      <w:r>
        <w:t>V Javnem komunalnem podjetju Ravne na Koroškem, d.o.o. smo kot izvajalec obveznih GJS:</w:t>
      </w:r>
    </w:p>
    <w:p w14:paraId="43428724" w14:textId="77777777" w:rsidR="00837865" w:rsidRDefault="00837865" w:rsidP="004F038D">
      <w:pPr>
        <w:pStyle w:val="Odstavekseznama"/>
        <w:numPr>
          <w:ilvl w:val="0"/>
          <w:numId w:val="1"/>
        </w:numPr>
      </w:pPr>
      <w:r>
        <w:t xml:space="preserve">oskrbe s pitno vodo, </w:t>
      </w:r>
    </w:p>
    <w:p w14:paraId="6A4744F9" w14:textId="77777777" w:rsidR="00837865" w:rsidRDefault="00837865" w:rsidP="004F038D">
      <w:pPr>
        <w:pStyle w:val="Odstavekseznama"/>
        <w:numPr>
          <w:ilvl w:val="0"/>
          <w:numId w:val="1"/>
        </w:numPr>
      </w:pPr>
      <w:r>
        <w:t>odvajanja in čiščenja komunalne in padavinske odpadne vode,</w:t>
      </w:r>
    </w:p>
    <w:p w14:paraId="4B2DED95" w14:textId="77777777" w:rsidR="00837865" w:rsidRPr="00E06255" w:rsidRDefault="00837865" w:rsidP="004F038D">
      <w:pPr>
        <w:jc w:val="both"/>
      </w:pPr>
      <w:r>
        <w:t>izdelali elaborat cen za leto 2020. Cene so razdeljene na ceno javne infrastrukture in ceno izvajanja storitev.</w:t>
      </w:r>
    </w:p>
    <w:p w14:paraId="3C0040E6" w14:textId="77777777" w:rsidR="00837865" w:rsidRPr="00E06255" w:rsidRDefault="00837865" w:rsidP="004F038D">
      <w:pPr>
        <w:jc w:val="both"/>
      </w:pPr>
    </w:p>
    <w:p w14:paraId="70C6943D" w14:textId="77777777" w:rsidR="00837865" w:rsidRDefault="00837865" w:rsidP="004F038D">
      <w:pPr>
        <w:jc w:val="both"/>
      </w:pPr>
      <w:r w:rsidRPr="00CB7F92">
        <w:t>Izvajalec enkrat letno pripravi elaborat. Pri tem izdela obračunsko ceno storitev za preteklo obračunsko obdobje in ugotovi razliko do potrjene cene. Ugotovljeno razliko v elaboratu upošteva pri izračunu predračunske cene za naslednje obdobje.  V kolikor razlika cen presega 10 %, je izvajalec javne službe dolžan predlagati ceno in jo posredovati pristojnemu občinskemu organu, ki prične postopek potrjevanja. Občina določi potrjeno ceno posamezne javne službe in morebitno</w:t>
      </w:r>
      <w:r w:rsidRPr="00621C9D">
        <w:t xml:space="preserve"> subvencijo, izvajalec pa oblikuje in na svojih spletnih straneh ter na krajevno običajen način objavi cenik s potrjeno ceno, znižano za morebitno subvencijo. </w:t>
      </w:r>
    </w:p>
    <w:p w14:paraId="0D31DC74" w14:textId="77777777" w:rsidR="00837865" w:rsidRDefault="00837865" w:rsidP="004F038D">
      <w:pPr>
        <w:jc w:val="both"/>
      </w:pPr>
    </w:p>
    <w:p w14:paraId="4CE2FE05" w14:textId="77777777" w:rsidR="00837865" w:rsidRDefault="00837865" w:rsidP="004F038D">
      <w:pPr>
        <w:jc w:val="both"/>
      </w:pPr>
      <w:r>
        <w:t xml:space="preserve">S poročilom poslovanja JKP Ravne na Koroškem  d.o.o. za obdobje 1-7/2019 je vodstvo podjetja prišlo do ugotovitve, da je v finančnem poslovanju podjetja, kljub racionalizaciji poslovanja prišlo do stanja, ko stroški poslovanja obveznih gospodarskih javnih služb presegajo prihodke. Glede na predvidene zakonske spremembe in napovedi zaostrovanja razmer </w:t>
      </w:r>
      <w:proofErr w:type="spellStart"/>
      <w:r>
        <w:t>okoljskih</w:t>
      </w:r>
      <w:proofErr w:type="spellEnd"/>
      <w:r>
        <w:t xml:space="preserve"> zahtev na trgu, se kaže trend večanja stroškov tudi v prihodnje. Na podlagi višjih stroškov obstaja tveganje za nastanek likvidnostnih težav v podjetju. Z vidika politike rednega upravljanja likvidnosti v podjetju, vodstvo podjetja predlaga ukrep uskladitve cen za prihodnje leto. </w:t>
      </w:r>
    </w:p>
    <w:p w14:paraId="3B37E247" w14:textId="77777777" w:rsidR="00837865" w:rsidRDefault="00837865" w:rsidP="004F038D">
      <w:pPr>
        <w:jc w:val="both"/>
      </w:pPr>
    </w:p>
    <w:p w14:paraId="69F09D2D" w14:textId="77777777" w:rsidR="00837865" w:rsidRPr="00584FE2" w:rsidRDefault="00837865" w:rsidP="00837865">
      <w:pPr>
        <w:rPr>
          <w:szCs w:val="24"/>
        </w:rPr>
      </w:pPr>
      <w:r>
        <w:t>Predlagane cene za leto 2020 se tako usklajujejo zaradi:</w:t>
      </w:r>
    </w:p>
    <w:p w14:paraId="4ECAA9F4" w14:textId="77777777" w:rsidR="00837865" w:rsidRDefault="00837865" w:rsidP="00837865">
      <w:pPr>
        <w:pStyle w:val="Odstavekseznama"/>
        <w:numPr>
          <w:ilvl w:val="0"/>
          <w:numId w:val="8"/>
        </w:numPr>
        <w:rPr>
          <w:szCs w:val="24"/>
        </w:rPr>
      </w:pPr>
      <w:r w:rsidRPr="00F23101">
        <w:rPr>
          <w:b/>
          <w:szCs w:val="24"/>
        </w:rPr>
        <w:t>zakonodajnih sprememb minimalne plače</w:t>
      </w:r>
      <w:r>
        <w:rPr>
          <w:szCs w:val="24"/>
        </w:rPr>
        <w:t xml:space="preserve"> in kolektivne pogodbe komunalnih dejavnosti v letu 2020: pri tem se usklajujejo stroški dela (7% dvig),</w:t>
      </w:r>
    </w:p>
    <w:p w14:paraId="4FE6D0FA" w14:textId="77777777" w:rsidR="00837865" w:rsidRDefault="00837865" w:rsidP="00837865">
      <w:pPr>
        <w:pStyle w:val="Odstavekseznama"/>
        <w:rPr>
          <w:szCs w:val="24"/>
        </w:rPr>
      </w:pPr>
    </w:p>
    <w:p w14:paraId="64EBF0C4" w14:textId="77777777" w:rsidR="00837865" w:rsidRDefault="00837865" w:rsidP="00837865">
      <w:pPr>
        <w:pStyle w:val="Odstavekseznama"/>
        <w:numPr>
          <w:ilvl w:val="0"/>
          <w:numId w:val="8"/>
        </w:numPr>
        <w:rPr>
          <w:szCs w:val="24"/>
        </w:rPr>
      </w:pPr>
      <w:r w:rsidRPr="00F23101">
        <w:rPr>
          <w:b/>
          <w:szCs w:val="24"/>
        </w:rPr>
        <w:t>dviga cen na trgu</w:t>
      </w:r>
      <w:r>
        <w:rPr>
          <w:szCs w:val="24"/>
        </w:rPr>
        <w:t xml:space="preserve"> (električne energija in obdelava blata iz čistilnih naprav): pri tem so v porastu stroški električne energije- 27% dvig, obdelava blata iz čistilne naprave-10% dvig),</w:t>
      </w:r>
    </w:p>
    <w:p w14:paraId="4A808943" w14:textId="77777777" w:rsidR="00837865" w:rsidRPr="00604A6D" w:rsidRDefault="00837865" w:rsidP="00837865">
      <w:pPr>
        <w:pStyle w:val="Odstavekseznama"/>
        <w:rPr>
          <w:szCs w:val="24"/>
        </w:rPr>
      </w:pPr>
    </w:p>
    <w:p w14:paraId="401EA50F" w14:textId="77777777" w:rsidR="00837865" w:rsidRPr="004202FE" w:rsidRDefault="00837865" w:rsidP="00837865">
      <w:pPr>
        <w:pStyle w:val="Odstavekseznama"/>
        <w:numPr>
          <w:ilvl w:val="0"/>
          <w:numId w:val="8"/>
        </w:numPr>
      </w:pPr>
      <w:r w:rsidRPr="004202FE">
        <w:t xml:space="preserve">z </w:t>
      </w:r>
      <w:r w:rsidRPr="00F23101">
        <w:rPr>
          <w:b/>
        </w:rPr>
        <w:t>vlaganji v infrastrukturo</w:t>
      </w:r>
      <w:r w:rsidRPr="004202FE">
        <w:t xml:space="preserve"> višji stroški amortizacije </w:t>
      </w:r>
      <w:r>
        <w:t>(5% dvig).</w:t>
      </w:r>
    </w:p>
    <w:p w14:paraId="72AF027E" w14:textId="77777777" w:rsidR="00837865" w:rsidRDefault="00837865" w:rsidP="00837865">
      <w:pPr>
        <w:ind w:left="360"/>
        <w:rPr>
          <w:szCs w:val="24"/>
        </w:rPr>
      </w:pPr>
    </w:p>
    <w:p w14:paraId="129D7805" w14:textId="6F8FA3D3" w:rsidR="004E4D5E" w:rsidRPr="004E4D5E" w:rsidRDefault="004E4D5E" w:rsidP="00CD2628">
      <w:pPr>
        <w:jc w:val="both"/>
        <w:rPr>
          <w:b/>
        </w:rPr>
      </w:pPr>
      <w:r>
        <w:rPr>
          <w:b/>
        </w:rPr>
        <w:lastRenderedPageBreak/>
        <w:t xml:space="preserve">PREDLOG CEN </w:t>
      </w:r>
      <w:r w:rsidR="00F43EFF">
        <w:rPr>
          <w:b/>
        </w:rPr>
        <w:t>ZA LETO 2020</w:t>
      </w:r>
    </w:p>
    <w:p w14:paraId="57FFAE9F" w14:textId="77777777" w:rsidR="004E4D5E" w:rsidRDefault="004E4D5E" w:rsidP="00CD2628">
      <w:pPr>
        <w:jc w:val="both"/>
      </w:pPr>
    </w:p>
    <w:p w14:paraId="5E97AB59" w14:textId="3E121D6D" w:rsidR="003A5CF9" w:rsidRDefault="003A5CF9" w:rsidP="00CD2628">
      <w:pPr>
        <w:jc w:val="both"/>
      </w:pPr>
      <w:r>
        <w:t xml:space="preserve">V spodnji preglednici so predstavljene posamezne cene storitev  oskrbe s pitno vodo,  odvajanja odpadne vode, čiščenje odpadne vode in storitve greznic v občini Ravne na Koroškem za leto 2020. </w:t>
      </w:r>
    </w:p>
    <w:p w14:paraId="7B955037" w14:textId="60439303" w:rsidR="003A5CF9" w:rsidRDefault="003A5CF9" w:rsidP="003A5CF9"/>
    <w:p w14:paraId="2A335AD9" w14:textId="296ADD75" w:rsidR="003A5CF9" w:rsidRPr="003F5FFE" w:rsidRDefault="003A5CF9" w:rsidP="00E20652">
      <w:pPr>
        <w:pStyle w:val="Napis"/>
        <w:spacing w:after="0"/>
      </w:pPr>
      <w:bookmarkStart w:id="0" w:name="_Toc25220832"/>
      <w:r>
        <w:t xml:space="preserve">Tabela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 w:rsidR="003075C0">
        <w:rPr>
          <w:noProof/>
        </w:rPr>
        <w:t>1</w:t>
      </w:r>
      <w:r>
        <w:rPr>
          <w:noProof/>
        </w:rPr>
        <w:fldChar w:fldCharType="end"/>
      </w:r>
      <w:r>
        <w:t>: Predlog prodajnih cen za leto 2020 v Občini Ravne na Koroškem</w:t>
      </w:r>
      <w:bookmarkEnd w:id="0"/>
    </w:p>
    <w:tbl>
      <w:tblPr>
        <w:tblStyle w:val="Tabelasvetlamrea1poudarek1"/>
        <w:tblW w:w="4819" w:type="pct"/>
        <w:tblLook w:val="04A0" w:firstRow="1" w:lastRow="0" w:firstColumn="1" w:lastColumn="0" w:noHBand="0" w:noVBand="1"/>
      </w:tblPr>
      <w:tblGrid>
        <w:gridCol w:w="2428"/>
        <w:gridCol w:w="2184"/>
        <w:gridCol w:w="2047"/>
        <w:gridCol w:w="2620"/>
      </w:tblGrid>
      <w:tr w:rsidR="003A5CF9" w:rsidRPr="00A711A7" w14:paraId="36F70B8F" w14:textId="77777777" w:rsidTr="00121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shd w:val="clear" w:color="auto" w:fill="DEEAF6" w:themeFill="accent1" w:themeFillTint="33"/>
            <w:hideMark/>
          </w:tcPr>
          <w:p w14:paraId="0F30FCE5" w14:textId="77777777" w:rsidR="003A5CF9" w:rsidRPr="00A711A7" w:rsidRDefault="003A5CF9" w:rsidP="00112C8B">
            <w:pPr>
              <w:rPr>
                <w:rFonts w:ascii="Calibri" w:hAnsi="Calibri"/>
                <w:b w:val="0"/>
                <w:bCs w:val="0"/>
                <w:color w:val="000000"/>
                <w:sz w:val="20"/>
              </w:rPr>
            </w:pPr>
            <w:r w:rsidRPr="00A711A7">
              <w:rPr>
                <w:rFonts w:ascii="Calibri" w:hAnsi="Calibri"/>
                <w:color w:val="000000"/>
                <w:sz w:val="20"/>
              </w:rPr>
              <w:t> </w:t>
            </w:r>
          </w:p>
          <w:p w14:paraId="65628A4C" w14:textId="77777777" w:rsidR="003A5CF9" w:rsidRPr="00A711A7" w:rsidRDefault="003A5CF9" w:rsidP="00112C8B">
            <w:pPr>
              <w:rPr>
                <w:rFonts w:ascii="Calibri" w:hAnsi="Calibri"/>
                <w:color w:val="000000"/>
                <w:sz w:val="20"/>
              </w:rPr>
            </w:pPr>
            <w:r w:rsidRPr="00A711A7">
              <w:rPr>
                <w:rFonts w:ascii="Calibri" w:hAnsi="Calibri"/>
                <w:color w:val="000000"/>
                <w:sz w:val="20"/>
              </w:rPr>
              <w:t>Storitev</w:t>
            </w:r>
          </w:p>
        </w:tc>
        <w:tc>
          <w:tcPr>
            <w:tcW w:w="1177" w:type="pct"/>
            <w:shd w:val="clear" w:color="auto" w:fill="DEEAF6" w:themeFill="accent1" w:themeFillTint="33"/>
            <w:hideMark/>
          </w:tcPr>
          <w:p w14:paraId="10606CCA" w14:textId="77777777" w:rsidR="003A5CF9" w:rsidRPr="00A711A7" w:rsidRDefault="003A5CF9" w:rsidP="00112C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</w:rPr>
            </w:pPr>
            <w:r w:rsidRPr="00A711A7">
              <w:rPr>
                <w:rFonts w:ascii="Calibri" w:hAnsi="Calibri"/>
                <w:color w:val="000000"/>
                <w:sz w:val="20"/>
              </w:rPr>
              <w:t> </w:t>
            </w:r>
          </w:p>
          <w:p w14:paraId="5E3A396D" w14:textId="77777777" w:rsidR="003A5CF9" w:rsidRPr="00A711A7" w:rsidRDefault="003A5CF9" w:rsidP="00112C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</w:rPr>
            </w:pPr>
            <w:r w:rsidRPr="00A711A7">
              <w:rPr>
                <w:rFonts w:ascii="Calibri" w:hAnsi="Calibri"/>
                <w:color w:val="000000"/>
                <w:sz w:val="20"/>
              </w:rPr>
              <w:t>Vrsta cene</w:t>
            </w:r>
          </w:p>
        </w:tc>
        <w:tc>
          <w:tcPr>
            <w:tcW w:w="1103" w:type="pct"/>
            <w:shd w:val="clear" w:color="auto" w:fill="DEEAF6" w:themeFill="accent1" w:themeFillTint="33"/>
            <w:hideMark/>
          </w:tcPr>
          <w:p w14:paraId="7ABA05B4" w14:textId="77777777" w:rsidR="003A5CF9" w:rsidRPr="00A711A7" w:rsidRDefault="003A5CF9" w:rsidP="00112C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</w:rPr>
            </w:pPr>
            <w:r w:rsidRPr="00A711A7">
              <w:rPr>
                <w:rFonts w:ascii="Calibri" w:hAnsi="Calibri"/>
                <w:color w:val="000000"/>
                <w:sz w:val="20"/>
              </w:rPr>
              <w:t> </w:t>
            </w:r>
          </w:p>
          <w:p w14:paraId="4D79B4F0" w14:textId="77777777" w:rsidR="003A5CF9" w:rsidRPr="00A711A7" w:rsidRDefault="003A5CF9" w:rsidP="00112C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</w:rPr>
            </w:pPr>
            <w:r w:rsidRPr="00A711A7">
              <w:rPr>
                <w:rFonts w:ascii="Calibri" w:hAnsi="Calibri"/>
                <w:color w:val="000000"/>
                <w:sz w:val="20"/>
              </w:rPr>
              <w:t>EM</w:t>
            </w:r>
          </w:p>
        </w:tc>
        <w:tc>
          <w:tcPr>
            <w:tcW w:w="1412" w:type="pct"/>
            <w:shd w:val="clear" w:color="auto" w:fill="DEEAF6" w:themeFill="accent1" w:themeFillTint="33"/>
            <w:vAlign w:val="center"/>
            <w:hideMark/>
          </w:tcPr>
          <w:p w14:paraId="511F406A" w14:textId="77777777" w:rsidR="003A5CF9" w:rsidRPr="00A711A7" w:rsidRDefault="003A5CF9" w:rsidP="00112C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</w:rPr>
            </w:pPr>
            <w:r w:rsidRPr="00503164">
              <w:rPr>
                <w:rFonts w:ascii="Calibri" w:hAnsi="Calibri"/>
                <w:color w:val="000000"/>
                <w:sz w:val="22"/>
              </w:rPr>
              <w:t>PREDRAČUNSKA CENA ZA LETO 2020 v  € brez DD</w:t>
            </w:r>
            <w:r w:rsidRPr="00503164">
              <w:rPr>
                <w:rFonts w:ascii="Calibri" w:hAnsi="Calibri"/>
                <w:b w:val="0"/>
                <w:bCs w:val="0"/>
                <w:color w:val="000000"/>
                <w:sz w:val="22"/>
              </w:rPr>
              <w:t>V</w:t>
            </w:r>
          </w:p>
        </w:tc>
      </w:tr>
      <w:tr w:rsidR="003A5CF9" w:rsidRPr="000E712A" w14:paraId="27E9FD69" w14:textId="77777777" w:rsidTr="0012181C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vMerge w:val="restart"/>
            <w:vAlign w:val="center"/>
            <w:hideMark/>
          </w:tcPr>
          <w:p w14:paraId="3E8339C0" w14:textId="77777777" w:rsidR="003A5CF9" w:rsidRPr="0037457F" w:rsidRDefault="003A5CF9" w:rsidP="00112C8B">
            <w:pPr>
              <w:rPr>
                <w:rFonts w:ascii="Calibri" w:hAnsi="Calibri"/>
                <w:color w:val="000000"/>
                <w:sz w:val="22"/>
              </w:rPr>
            </w:pPr>
            <w:r w:rsidRPr="0037457F">
              <w:rPr>
                <w:rFonts w:ascii="Calibri" w:hAnsi="Calibri"/>
                <w:color w:val="000000"/>
                <w:sz w:val="22"/>
              </w:rPr>
              <w:t>Oskrba s pitno vodo</w:t>
            </w:r>
          </w:p>
        </w:tc>
        <w:tc>
          <w:tcPr>
            <w:tcW w:w="1177" w:type="pct"/>
            <w:shd w:val="clear" w:color="auto" w:fill="DEEAF6" w:themeFill="accent1" w:themeFillTint="33"/>
            <w:vAlign w:val="center"/>
            <w:hideMark/>
          </w:tcPr>
          <w:p w14:paraId="4B4B5B8F" w14:textId="77777777" w:rsidR="003A5CF9" w:rsidRPr="0037457F" w:rsidRDefault="003A5CF9" w:rsidP="0011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37457F">
              <w:rPr>
                <w:rFonts w:ascii="Calibri" w:hAnsi="Calibri"/>
                <w:color w:val="000000"/>
                <w:sz w:val="22"/>
              </w:rPr>
              <w:t>Omrežnina (DN20)</w:t>
            </w:r>
          </w:p>
        </w:tc>
        <w:tc>
          <w:tcPr>
            <w:tcW w:w="1103" w:type="pct"/>
            <w:shd w:val="clear" w:color="auto" w:fill="DEEAF6" w:themeFill="accent1" w:themeFillTint="33"/>
            <w:vAlign w:val="center"/>
            <w:hideMark/>
          </w:tcPr>
          <w:p w14:paraId="25044A81" w14:textId="77777777" w:rsidR="003A5CF9" w:rsidRPr="0037457F" w:rsidRDefault="003A5CF9" w:rsidP="0011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37457F">
              <w:rPr>
                <w:rFonts w:ascii="Calibri" w:hAnsi="Calibri"/>
                <w:color w:val="000000"/>
                <w:sz w:val="22"/>
              </w:rPr>
              <w:t>€/</w:t>
            </w:r>
            <w:proofErr w:type="spellStart"/>
            <w:r w:rsidRPr="0037457F">
              <w:rPr>
                <w:rFonts w:ascii="Calibri" w:hAnsi="Calibri"/>
                <w:color w:val="000000"/>
                <w:sz w:val="22"/>
              </w:rPr>
              <w:t>priklj</w:t>
            </w:r>
            <w:proofErr w:type="spellEnd"/>
            <w:r w:rsidRPr="0037457F">
              <w:rPr>
                <w:rFonts w:ascii="Calibri" w:hAnsi="Calibri"/>
                <w:color w:val="000000"/>
                <w:sz w:val="22"/>
              </w:rPr>
              <w:t>.</w:t>
            </w:r>
          </w:p>
        </w:tc>
        <w:tc>
          <w:tcPr>
            <w:tcW w:w="1412" w:type="pct"/>
            <w:shd w:val="clear" w:color="auto" w:fill="DEEAF6" w:themeFill="accent1" w:themeFillTint="33"/>
            <w:vAlign w:val="center"/>
          </w:tcPr>
          <w:p w14:paraId="30AAEA44" w14:textId="77777777" w:rsidR="003A5CF9" w:rsidRPr="0037457F" w:rsidRDefault="003A5CF9" w:rsidP="0011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2,3395</w:t>
            </w:r>
          </w:p>
        </w:tc>
      </w:tr>
      <w:tr w:rsidR="003A5CF9" w:rsidRPr="000E712A" w14:paraId="6308DA96" w14:textId="77777777" w:rsidTr="0012181C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vMerge/>
            <w:vAlign w:val="center"/>
            <w:hideMark/>
          </w:tcPr>
          <w:p w14:paraId="56AB5C4A" w14:textId="77777777" w:rsidR="003A5CF9" w:rsidRPr="0037457F" w:rsidRDefault="003A5CF9" w:rsidP="00112C8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77" w:type="pct"/>
            <w:vAlign w:val="center"/>
            <w:hideMark/>
          </w:tcPr>
          <w:p w14:paraId="0700771A" w14:textId="77777777" w:rsidR="003A5CF9" w:rsidRPr="0037457F" w:rsidRDefault="003A5CF9" w:rsidP="0011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37457F">
              <w:rPr>
                <w:rFonts w:ascii="Calibri" w:hAnsi="Calibri"/>
                <w:color w:val="000000"/>
                <w:sz w:val="22"/>
              </w:rPr>
              <w:t>Vodarina</w:t>
            </w:r>
          </w:p>
        </w:tc>
        <w:tc>
          <w:tcPr>
            <w:tcW w:w="1103" w:type="pct"/>
            <w:vAlign w:val="center"/>
            <w:hideMark/>
          </w:tcPr>
          <w:p w14:paraId="37E5C95B" w14:textId="77777777" w:rsidR="003A5CF9" w:rsidRPr="0037457F" w:rsidRDefault="003A5CF9" w:rsidP="0011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37457F">
              <w:rPr>
                <w:rFonts w:ascii="Calibri" w:hAnsi="Calibri"/>
                <w:color w:val="000000"/>
                <w:sz w:val="22"/>
              </w:rPr>
              <w:t>€/m</w:t>
            </w:r>
            <w:r w:rsidRPr="0037457F">
              <w:rPr>
                <w:rFonts w:ascii="Calibri" w:hAnsi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412" w:type="pct"/>
            <w:vAlign w:val="center"/>
          </w:tcPr>
          <w:p w14:paraId="056A88A5" w14:textId="799D5678" w:rsidR="003A5CF9" w:rsidRPr="0037457F" w:rsidRDefault="003A5CF9" w:rsidP="0011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0,42</w:t>
            </w:r>
            <w:r w:rsidR="007B49C3">
              <w:rPr>
                <w:sz w:val="22"/>
              </w:rPr>
              <w:t>46</w:t>
            </w:r>
          </w:p>
        </w:tc>
      </w:tr>
      <w:tr w:rsidR="003A5CF9" w:rsidRPr="000E712A" w14:paraId="468E259C" w14:textId="77777777" w:rsidTr="0012181C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vMerge w:val="restart"/>
            <w:vAlign w:val="center"/>
            <w:hideMark/>
          </w:tcPr>
          <w:p w14:paraId="65B6929E" w14:textId="77777777" w:rsidR="003A5CF9" w:rsidRPr="0037457F" w:rsidRDefault="003A5CF9" w:rsidP="00112C8B">
            <w:pPr>
              <w:rPr>
                <w:rFonts w:ascii="Calibri" w:hAnsi="Calibri"/>
                <w:color w:val="000000"/>
                <w:sz w:val="22"/>
              </w:rPr>
            </w:pPr>
            <w:r w:rsidRPr="0037457F">
              <w:rPr>
                <w:rFonts w:ascii="Calibri" w:hAnsi="Calibri"/>
                <w:color w:val="000000"/>
                <w:sz w:val="22"/>
              </w:rPr>
              <w:t>Odvajanje odpadne vode</w:t>
            </w:r>
          </w:p>
        </w:tc>
        <w:tc>
          <w:tcPr>
            <w:tcW w:w="1177" w:type="pct"/>
            <w:shd w:val="clear" w:color="auto" w:fill="DEEAF6" w:themeFill="accent1" w:themeFillTint="33"/>
            <w:vAlign w:val="center"/>
            <w:hideMark/>
          </w:tcPr>
          <w:p w14:paraId="2823A758" w14:textId="77777777" w:rsidR="003A5CF9" w:rsidRPr="0037457F" w:rsidRDefault="003A5CF9" w:rsidP="0011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37457F">
              <w:rPr>
                <w:rFonts w:ascii="Calibri" w:hAnsi="Calibri"/>
                <w:color w:val="000000"/>
                <w:sz w:val="22"/>
              </w:rPr>
              <w:t>Omrežnina (DN20)</w:t>
            </w:r>
          </w:p>
        </w:tc>
        <w:tc>
          <w:tcPr>
            <w:tcW w:w="1103" w:type="pct"/>
            <w:shd w:val="clear" w:color="auto" w:fill="DEEAF6" w:themeFill="accent1" w:themeFillTint="33"/>
            <w:vAlign w:val="center"/>
            <w:hideMark/>
          </w:tcPr>
          <w:p w14:paraId="7AD79CAD" w14:textId="77777777" w:rsidR="003A5CF9" w:rsidRPr="0037457F" w:rsidRDefault="003A5CF9" w:rsidP="0011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37457F">
              <w:rPr>
                <w:rFonts w:ascii="Calibri" w:hAnsi="Calibri"/>
                <w:color w:val="000000"/>
                <w:sz w:val="22"/>
              </w:rPr>
              <w:t>€/</w:t>
            </w:r>
            <w:proofErr w:type="spellStart"/>
            <w:r w:rsidRPr="0037457F">
              <w:rPr>
                <w:rFonts w:ascii="Calibri" w:hAnsi="Calibri"/>
                <w:color w:val="000000"/>
                <w:sz w:val="22"/>
              </w:rPr>
              <w:t>priklj</w:t>
            </w:r>
            <w:proofErr w:type="spellEnd"/>
            <w:r w:rsidRPr="0037457F">
              <w:rPr>
                <w:rFonts w:ascii="Calibri" w:hAnsi="Calibri"/>
                <w:color w:val="000000"/>
                <w:sz w:val="22"/>
              </w:rPr>
              <w:t>.</w:t>
            </w:r>
          </w:p>
        </w:tc>
        <w:tc>
          <w:tcPr>
            <w:tcW w:w="1412" w:type="pct"/>
            <w:shd w:val="clear" w:color="auto" w:fill="DEEAF6" w:themeFill="accent1" w:themeFillTint="33"/>
            <w:vAlign w:val="center"/>
          </w:tcPr>
          <w:p w14:paraId="3CA2A484" w14:textId="77777777" w:rsidR="003A5CF9" w:rsidRPr="0037457F" w:rsidRDefault="003A5CF9" w:rsidP="0011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6,6014</w:t>
            </w:r>
          </w:p>
        </w:tc>
      </w:tr>
      <w:tr w:rsidR="003A5CF9" w:rsidRPr="000E712A" w14:paraId="23366226" w14:textId="77777777" w:rsidTr="0012181C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vMerge/>
            <w:vAlign w:val="center"/>
            <w:hideMark/>
          </w:tcPr>
          <w:p w14:paraId="56459A5A" w14:textId="77777777" w:rsidR="003A5CF9" w:rsidRPr="0037457F" w:rsidRDefault="003A5CF9" w:rsidP="00112C8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77" w:type="pct"/>
            <w:vAlign w:val="center"/>
            <w:hideMark/>
          </w:tcPr>
          <w:p w14:paraId="473F4FE1" w14:textId="77777777" w:rsidR="003A5CF9" w:rsidRPr="0037457F" w:rsidRDefault="003A5CF9" w:rsidP="0011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37457F">
              <w:rPr>
                <w:rFonts w:ascii="Calibri" w:hAnsi="Calibri"/>
                <w:color w:val="000000"/>
                <w:sz w:val="22"/>
              </w:rPr>
              <w:t>Cena storitve</w:t>
            </w:r>
          </w:p>
        </w:tc>
        <w:tc>
          <w:tcPr>
            <w:tcW w:w="1103" w:type="pct"/>
            <w:vAlign w:val="center"/>
            <w:hideMark/>
          </w:tcPr>
          <w:p w14:paraId="62E834C4" w14:textId="77777777" w:rsidR="003A5CF9" w:rsidRPr="0037457F" w:rsidRDefault="003A5CF9" w:rsidP="0011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37457F">
              <w:rPr>
                <w:rFonts w:ascii="Calibri" w:hAnsi="Calibri"/>
                <w:color w:val="000000"/>
                <w:sz w:val="22"/>
              </w:rPr>
              <w:t>€/m</w:t>
            </w:r>
            <w:r w:rsidRPr="0037457F">
              <w:rPr>
                <w:rFonts w:ascii="Calibri" w:hAnsi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412" w:type="pct"/>
            <w:vAlign w:val="center"/>
          </w:tcPr>
          <w:p w14:paraId="013D2EBB" w14:textId="77777777" w:rsidR="003A5CF9" w:rsidRPr="0037457F" w:rsidRDefault="003A5CF9" w:rsidP="0011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0,2580</w:t>
            </w:r>
          </w:p>
        </w:tc>
      </w:tr>
      <w:tr w:rsidR="003A5CF9" w:rsidRPr="000E712A" w14:paraId="35A13ED8" w14:textId="77777777" w:rsidTr="0012181C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vMerge w:val="restart"/>
            <w:vAlign w:val="center"/>
          </w:tcPr>
          <w:p w14:paraId="786017B5" w14:textId="77777777" w:rsidR="003A5CF9" w:rsidRPr="0037457F" w:rsidRDefault="003A5CF9" w:rsidP="00112C8B">
            <w:pPr>
              <w:rPr>
                <w:rFonts w:ascii="Calibri" w:hAnsi="Calibri"/>
                <w:color w:val="000000"/>
                <w:sz w:val="22"/>
              </w:rPr>
            </w:pPr>
            <w:r w:rsidRPr="0037457F">
              <w:rPr>
                <w:rFonts w:ascii="Calibri" w:hAnsi="Calibri"/>
                <w:color w:val="000000"/>
                <w:sz w:val="22"/>
              </w:rPr>
              <w:t>Storitve greznic in MKČN</w:t>
            </w:r>
          </w:p>
        </w:tc>
        <w:tc>
          <w:tcPr>
            <w:tcW w:w="1177" w:type="pct"/>
            <w:shd w:val="clear" w:color="auto" w:fill="DEEAF6" w:themeFill="accent1" w:themeFillTint="33"/>
            <w:vAlign w:val="center"/>
          </w:tcPr>
          <w:p w14:paraId="197A602C" w14:textId="77777777" w:rsidR="003A5CF9" w:rsidRPr="0037457F" w:rsidRDefault="003A5CF9" w:rsidP="0011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37457F">
              <w:rPr>
                <w:rFonts w:ascii="Calibri" w:hAnsi="Calibri"/>
                <w:color w:val="000000"/>
                <w:sz w:val="22"/>
              </w:rPr>
              <w:t>Omrežnina (DN20)</w:t>
            </w:r>
          </w:p>
        </w:tc>
        <w:tc>
          <w:tcPr>
            <w:tcW w:w="1103" w:type="pct"/>
            <w:shd w:val="clear" w:color="auto" w:fill="DEEAF6" w:themeFill="accent1" w:themeFillTint="33"/>
            <w:vAlign w:val="center"/>
          </w:tcPr>
          <w:p w14:paraId="06C838F3" w14:textId="77777777" w:rsidR="003A5CF9" w:rsidRPr="0037457F" w:rsidRDefault="003A5CF9" w:rsidP="0011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37457F">
              <w:rPr>
                <w:rFonts w:ascii="Calibri" w:hAnsi="Calibri"/>
                <w:color w:val="000000"/>
                <w:sz w:val="22"/>
              </w:rPr>
              <w:t>€/</w:t>
            </w:r>
            <w:proofErr w:type="spellStart"/>
            <w:r w:rsidRPr="0037457F">
              <w:rPr>
                <w:rFonts w:ascii="Calibri" w:hAnsi="Calibri"/>
                <w:color w:val="000000"/>
                <w:sz w:val="22"/>
              </w:rPr>
              <w:t>priklj</w:t>
            </w:r>
            <w:proofErr w:type="spellEnd"/>
            <w:r w:rsidRPr="0037457F">
              <w:rPr>
                <w:rFonts w:ascii="Calibri" w:hAnsi="Calibri"/>
                <w:color w:val="000000"/>
                <w:sz w:val="22"/>
              </w:rPr>
              <w:t>.</w:t>
            </w:r>
          </w:p>
        </w:tc>
        <w:tc>
          <w:tcPr>
            <w:tcW w:w="1412" w:type="pct"/>
            <w:shd w:val="clear" w:color="auto" w:fill="DEEAF6" w:themeFill="accent1" w:themeFillTint="33"/>
            <w:vAlign w:val="center"/>
          </w:tcPr>
          <w:p w14:paraId="4A3D8843" w14:textId="77777777" w:rsidR="003A5CF9" w:rsidRPr="0037457F" w:rsidRDefault="003A5CF9" w:rsidP="0011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1,3485</w:t>
            </w:r>
          </w:p>
        </w:tc>
      </w:tr>
      <w:tr w:rsidR="003A5CF9" w:rsidRPr="000E712A" w14:paraId="15CABE3F" w14:textId="77777777" w:rsidTr="0012181C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vMerge/>
            <w:vAlign w:val="center"/>
          </w:tcPr>
          <w:p w14:paraId="05F4A968" w14:textId="77777777" w:rsidR="003A5CF9" w:rsidRPr="0037457F" w:rsidRDefault="003A5CF9" w:rsidP="00112C8B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77" w:type="pct"/>
            <w:vAlign w:val="center"/>
          </w:tcPr>
          <w:p w14:paraId="1613B275" w14:textId="77777777" w:rsidR="003A5CF9" w:rsidRPr="0037457F" w:rsidRDefault="003A5CF9" w:rsidP="0011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37457F">
              <w:rPr>
                <w:rFonts w:ascii="Calibri" w:hAnsi="Calibri"/>
                <w:color w:val="000000"/>
                <w:sz w:val="22"/>
              </w:rPr>
              <w:t>Cena storitve</w:t>
            </w:r>
          </w:p>
        </w:tc>
        <w:tc>
          <w:tcPr>
            <w:tcW w:w="1103" w:type="pct"/>
            <w:vAlign w:val="center"/>
          </w:tcPr>
          <w:p w14:paraId="0CB1E469" w14:textId="77777777" w:rsidR="003A5CF9" w:rsidRPr="0037457F" w:rsidRDefault="003A5CF9" w:rsidP="0011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37457F">
              <w:rPr>
                <w:rFonts w:ascii="Calibri" w:hAnsi="Calibri"/>
                <w:color w:val="000000"/>
                <w:sz w:val="22"/>
              </w:rPr>
              <w:t>€/m</w:t>
            </w:r>
            <w:r w:rsidRPr="0037457F">
              <w:rPr>
                <w:rFonts w:ascii="Calibri" w:hAnsi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412" w:type="pct"/>
            <w:vAlign w:val="center"/>
          </w:tcPr>
          <w:p w14:paraId="1F944293" w14:textId="77777777" w:rsidR="003A5CF9" w:rsidRPr="0037457F" w:rsidRDefault="003A5CF9" w:rsidP="0011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0,3224</w:t>
            </w:r>
          </w:p>
        </w:tc>
      </w:tr>
      <w:tr w:rsidR="0012181C" w:rsidRPr="000E712A" w14:paraId="52B7509C" w14:textId="77777777" w:rsidTr="0012181C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vMerge w:val="restart"/>
            <w:vAlign w:val="center"/>
            <w:hideMark/>
          </w:tcPr>
          <w:p w14:paraId="1DF13D3F" w14:textId="77777777" w:rsidR="0012181C" w:rsidRPr="0037457F" w:rsidRDefault="0012181C" w:rsidP="00112C8B">
            <w:pPr>
              <w:rPr>
                <w:rFonts w:ascii="Calibri" w:hAnsi="Calibri"/>
                <w:color w:val="000000"/>
                <w:sz w:val="22"/>
              </w:rPr>
            </w:pPr>
            <w:r w:rsidRPr="0037457F">
              <w:rPr>
                <w:rFonts w:ascii="Calibri" w:hAnsi="Calibri"/>
                <w:color w:val="000000"/>
                <w:sz w:val="22"/>
              </w:rPr>
              <w:t>Čiščenje odpadne vode</w:t>
            </w:r>
          </w:p>
        </w:tc>
        <w:tc>
          <w:tcPr>
            <w:tcW w:w="1177" w:type="pct"/>
            <w:shd w:val="clear" w:color="auto" w:fill="DEEAF6" w:themeFill="accent1" w:themeFillTint="33"/>
            <w:vAlign w:val="center"/>
            <w:hideMark/>
          </w:tcPr>
          <w:p w14:paraId="4AC762DE" w14:textId="77777777" w:rsidR="0012181C" w:rsidRPr="0037457F" w:rsidRDefault="0012181C" w:rsidP="0011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37457F">
              <w:rPr>
                <w:rFonts w:ascii="Calibri" w:hAnsi="Calibri"/>
                <w:color w:val="000000"/>
                <w:sz w:val="22"/>
              </w:rPr>
              <w:t>Omrežnina (DN20)</w:t>
            </w:r>
          </w:p>
        </w:tc>
        <w:tc>
          <w:tcPr>
            <w:tcW w:w="1103" w:type="pct"/>
            <w:shd w:val="clear" w:color="auto" w:fill="DEEAF6" w:themeFill="accent1" w:themeFillTint="33"/>
            <w:vAlign w:val="center"/>
            <w:hideMark/>
          </w:tcPr>
          <w:p w14:paraId="5E28B557" w14:textId="77777777" w:rsidR="0012181C" w:rsidRPr="0037457F" w:rsidRDefault="0012181C" w:rsidP="0011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37457F">
              <w:rPr>
                <w:rFonts w:ascii="Calibri" w:hAnsi="Calibri"/>
                <w:color w:val="000000"/>
                <w:sz w:val="22"/>
              </w:rPr>
              <w:t>€/</w:t>
            </w:r>
            <w:proofErr w:type="spellStart"/>
            <w:r w:rsidRPr="0037457F">
              <w:rPr>
                <w:rFonts w:ascii="Calibri" w:hAnsi="Calibri"/>
                <w:color w:val="000000"/>
                <w:sz w:val="22"/>
              </w:rPr>
              <w:t>priklj</w:t>
            </w:r>
            <w:proofErr w:type="spellEnd"/>
            <w:r w:rsidRPr="0037457F">
              <w:rPr>
                <w:rFonts w:ascii="Calibri" w:hAnsi="Calibri"/>
                <w:color w:val="000000"/>
                <w:sz w:val="22"/>
              </w:rPr>
              <w:t>.</w:t>
            </w:r>
          </w:p>
        </w:tc>
        <w:tc>
          <w:tcPr>
            <w:tcW w:w="1412" w:type="pct"/>
            <w:shd w:val="clear" w:color="auto" w:fill="DEEAF6" w:themeFill="accent1" w:themeFillTint="33"/>
            <w:vAlign w:val="center"/>
          </w:tcPr>
          <w:p w14:paraId="5AC1AA83" w14:textId="77777777" w:rsidR="0012181C" w:rsidRPr="0037457F" w:rsidRDefault="0012181C" w:rsidP="0011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4,0961</w:t>
            </w:r>
          </w:p>
        </w:tc>
      </w:tr>
      <w:tr w:rsidR="0012181C" w:rsidRPr="000E712A" w14:paraId="64BD403A" w14:textId="77777777" w:rsidTr="0012181C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vMerge/>
            <w:vAlign w:val="center"/>
          </w:tcPr>
          <w:p w14:paraId="12E0A993" w14:textId="77777777" w:rsidR="0012181C" w:rsidRPr="0037457F" w:rsidRDefault="0012181C" w:rsidP="0012181C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177" w:type="pct"/>
            <w:shd w:val="clear" w:color="auto" w:fill="auto"/>
            <w:vAlign w:val="center"/>
          </w:tcPr>
          <w:p w14:paraId="4FD63681" w14:textId="092FFBDC" w:rsidR="0012181C" w:rsidRPr="0037457F" w:rsidRDefault="0012181C" w:rsidP="00121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37457F">
              <w:rPr>
                <w:rFonts w:ascii="Calibri" w:hAnsi="Calibri"/>
                <w:color w:val="000000"/>
                <w:sz w:val="22"/>
              </w:rPr>
              <w:t>Cena storitve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67F5E55A" w14:textId="10DDD59B" w:rsidR="0012181C" w:rsidRPr="0037457F" w:rsidRDefault="0012181C" w:rsidP="00121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</w:rPr>
            </w:pPr>
            <w:r w:rsidRPr="0037457F">
              <w:rPr>
                <w:rFonts w:ascii="Calibri" w:hAnsi="Calibri"/>
                <w:color w:val="000000"/>
                <w:sz w:val="22"/>
              </w:rPr>
              <w:t>€/m</w:t>
            </w:r>
            <w:r w:rsidRPr="0037457F">
              <w:rPr>
                <w:rFonts w:ascii="Calibri" w:hAnsi="Calibri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412" w:type="pct"/>
            <w:shd w:val="clear" w:color="auto" w:fill="auto"/>
            <w:vAlign w:val="center"/>
          </w:tcPr>
          <w:p w14:paraId="5F6C9C83" w14:textId="653A9427" w:rsidR="0012181C" w:rsidRDefault="00147D08" w:rsidP="00121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0,7685</w:t>
            </w:r>
          </w:p>
        </w:tc>
      </w:tr>
    </w:tbl>
    <w:p w14:paraId="37F8DF64" w14:textId="77777777" w:rsidR="007F104A" w:rsidRDefault="007F104A" w:rsidP="00675EBE">
      <w:pPr>
        <w:jc w:val="both"/>
        <w:rPr>
          <w:b/>
        </w:rPr>
      </w:pPr>
    </w:p>
    <w:p w14:paraId="7E9EA13A" w14:textId="0EA5981C" w:rsidR="000146C9" w:rsidRPr="001A331F" w:rsidRDefault="000146C9" w:rsidP="000146C9">
      <w:pPr>
        <w:jc w:val="both"/>
        <w:rPr>
          <w:szCs w:val="24"/>
        </w:rPr>
      </w:pPr>
      <w:r w:rsidRPr="001A331F">
        <w:rPr>
          <w:b/>
          <w:szCs w:val="24"/>
        </w:rPr>
        <w:t>Primerjava cen storitev</w:t>
      </w:r>
      <w:r w:rsidR="000A67DE">
        <w:rPr>
          <w:b/>
          <w:szCs w:val="24"/>
        </w:rPr>
        <w:t xml:space="preserve"> (variabilni del)</w:t>
      </w:r>
      <w:r w:rsidRPr="001A331F">
        <w:rPr>
          <w:szCs w:val="24"/>
        </w:rPr>
        <w:t xml:space="preserve"> obveznih GJS varstva okolja z ostalimi komunalnimi podjetji v Koroški regiji in v Slovenskem povprečju v letu 2019 kaže na to, da so v primerjalnem območju za isto »košarico« storitev cene (oskrba s pitno vodo, odvajanje odpadne vode in čiščenje odpadne vode) v JKP Ravne na Koroškem d.o.o. </w:t>
      </w:r>
      <w:r w:rsidRPr="001A331F">
        <w:rPr>
          <w:b/>
          <w:szCs w:val="24"/>
        </w:rPr>
        <w:t>nižje v povprečju za -15%.</w:t>
      </w:r>
      <w:r w:rsidRPr="001A331F">
        <w:rPr>
          <w:szCs w:val="24"/>
        </w:rPr>
        <w:t xml:space="preserve"> V skupnem cena  JKP Ravne na Koroškem znaša </w:t>
      </w:r>
      <w:r w:rsidRPr="001A331F">
        <w:rPr>
          <w:b/>
          <w:szCs w:val="24"/>
        </w:rPr>
        <w:t>1,3466 € na m</w:t>
      </w:r>
      <w:r w:rsidRPr="001A331F">
        <w:rPr>
          <w:b/>
          <w:szCs w:val="24"/>
          <w:vertAlign w:val="superscript"/>
        </w:rPr>
        <w:t>3</w:t>
      </w:r>
      <w:r w:rsidRPr="001A331F">
        <w:rPr>
          <w:szCs w:val="24"/>
        </w:rPr>
        <w:t xml:space="preserve"> porabljeno količino vode. Medtem ko so cene v Slovenskem povprečju (primerljiva analiza iz leta 2017) </w:t>
      </w:r>
      <w:r w:rsidRPr="001A331F">
        <w:rPr>
          <w:b/>
          <w:szCs w:val="24"/>
        </w:rPr>
        <w:t>1,72 € na m</w:t>
      </w:r>
      <w:r w:rsidRPr="001A331F">
        <w:rPr>
          <w:b/>
          <w:szCs w:val="24"/>
          <w:vertAlign w:val="superscript"/>
        </w:rPr>
        <w:t>3</w:t>
      </w:r>
      <w:r w:rsidRPr="001A331F">
        <w:rPr>
          <w:szCs w:val="24"/>
        </w:rPr>
        <w:t>. V ostalih primerljivih komunalnih podjetjih, ki imajo tudi čistilno napravo</w:t>
      </w:r>
      <w:r w:rsidR="00354F9F">
        <w:rPr>
          <w:szCs w:val="24"/>
        </w:rPr>
        <w:t xml:space="preserve"> v Koroški regiji</w:t>
      </w:r>
      <w:r w:rsidRPr="001A331F">
        <w:rPr>
          <w:szCs w:val="24"/>
        </w:rPr>
        <w:t xml:space="preserve"> pa znaša med 1,52 in 1,78 € na m</w:t>
      </w:r>
      <w:r w:rsidRPr="001A331F">
        <w:rPr>
          <w:szCs w:val="24"/>
          <w:vertAlign w:val="superscript"/>
        </w:rPr>
        <w:t>3</w:t>
      </w:r>
      <w:r w:rsidRPr="001A331F">
        <w:rPr>
          <w:szCs w:val="24"/>
        </w:rPr>
        <w:t>.</w:t>
      </w:r>
      <w:r w:rsidR="003446D9">
        <w:rPr>
          <w:szCs w:val="24"/>
        </w:rPr>
        <w:t xml:space="preserve">  S predlagano ceno za leto 2020 znaša cena storitve</w:t>
      </w:r>
      <w:r w:rsidR="002846A3">
        <w:rPr>
          <w:szCs w:val="24"/>
        </w:rPr>
        <w:t xml:space="preserve"> v</w:t>
      </w:r>
      <w:r w:rsidR="00090CB1">
        <w:rPr>
          <w:szCs w:val="24"/>
        </w:rPr>
        <w:t xml:space="preserve"> občini</w:t>
      </w:r>
      <w:r w:rsidR="002846A3">
        <w:rPr>
          <w:szCs w:val="24"/>
        </w:rPr>
        <w:t xml:space="preserve"> Ravne</w:t>
      </w:r>
      <w:r w:rsidR="003446D9">
        <w:rPr>
          <w:szCs w:val="24"/>
        </w:rPr>
        <w:t xml:space="preserve"> </w:t>
      </w:r>
      <w:r w:rsidR="002846A3">
        <w:rPr>
          <w:szCs w:val="24"/>
        </w:rPr>
        <w:t>1,4511 €/m</w:t>
      </w:r>
      <w:r w:rsidR="002846A3" w:rsidRPr="002846A3">
        <w:rPr>
          <w:szCs w:val="24"/>
          <w:vertAlign w:val="superscript"/>
        </w:rPr>
        <w:t>3</w:t>
      </w:r>
      <w:r w:rsidR="007A570B">
        <w:rPr>
          <w:szCs w:val="24"/>
        </w:rPr>
        <w:t xml:space="preserve">, kar </w:t>
      </w:r>
      <w:r w:rsidR="00896F93">
        <w:rPr>
          <w:szCs w:val="24"/>
        </w:rPr>
        <w:t xml:space="preserve">še vedno uvršča občino Ravne med </w:t>
      </w:r>
      <w:r w:rsidR="00C47F8A">
        <w:rPr>
          <w:szCs w:val="24"/>
        </w:rPr>
        <w:t xml:space="preserve">občine z </w:t>
      </w:r>
      <w:r w:rsidR="00EA24B2">
        <w:rPr>
          <w:szCs w:val="24"/>
        </w:rPr>
        <w:t>nižjimi</w:t>
      </w:r>
      <w:r w:rsidR="00C47F8A">
        <w:rPr>
          <w:szCs w:val="24"/>
        </w:rPr>
        <w:t xml:space="preserve"> cenami komunalnih storitev</w:t>
      </w:r>
      <w:r w:rsidR="003B3031">
        <w:rPr>
          <w:szCs w:val="24"/>
        </w:rPr>
        <w:t xml:space="preserve"> in nižje od slovenskega povprečja.</w:t>
      </w:r>
    </w:p>
    <w:p w14:paraId="387D734C" w14:textId="77777777" w:rsidR="002B69EE" w:rsidRDefault="002B69EE" w:rsidP="00675EBE">
      <w:pPr>
        <w:jc w:val="both"/>
        <w:rPr>
          <w:b/>
        </w:rPr>
      </w:pPr>
    </w:p>
    <w:p w14:paraId="2751CB6B" w14:textId="77777777" w:rsidR="000C2633" w:rsidRDefault="000C2633" w:rsidP="00675EBE">
      <w:pPr>
        <w:jc w:val="both"/>
        <w:rPr>
          <w:b/>
        </w:rPr>
      </w:pPr>
    </w:p>
    <w:p w14:paraId="727DD4FD" w14:textId="77777777" w:rsidR="000C2633" w:rsidRDefault="000C2633" w:rsidP="00675EBE">
      <w:pPr>
        <w:jc w:val="both"/>
        <w:rPr>
          <w:b/>
        </w:rPr>
      </w:pPr>
    </w:p>
    <w:p w14:paraId="001791AC" w14:textId="77777777" w:rsidR="000C2633" w:rsidRDefault="000C2633" w:rsidP="00675EBE">
      <w:pPr>
        <w:jc w:val="both"/>
        <w:rPr>
          <w:b/>
        </w:rPr>
      </w:pPr>
    </w:p>
    <w:p w14:paraId="52C13ECB" w14:textId="77777777" w:rsidR="000C2633" w:rsidRDefault="000C2633" w:rsidP="00675EBE">
      <w:pPr>
        <w:jc w:val="both"/>
        <w:rPr>
          <w:b/>
        </w:rPr>
      </w:pPr>
    </w:p>
    <w:p w14:paraId="2994D929" w14:textId="77777777" w:rsidR="00E40049" w:rsidRDefault="00E40049" w:rsidP="00675EBE">
      <w:pPr>
        <w:jc w:val="both"/>
        <w:rPr>
          <w:b/>
        </w:rPr>
      </w:pPr>
    </w:p>
    <w:p w14:paraId="446A2D9B" w14:textId="38622AC5" w:rsidR="00675EBE" w:rsidRPr="00AE0473" w:rsidRDefault="00C105CE" w:rsidP="00675EBE">
      <w:pPr>
        <w:jc w:val="both"/>
        <w:rPr>
          <w:b/>
        </w:rPr>
      </w:pPr>
      <w:bookmarkStart w:id="1" w:name="_GoBack"/>
      <w:bookmarkEnd w:id="1"/>
      <w:r>
        <w:rPr>
          <w:b/>
        </w:rPr>
        <w:t>SPREMEMB</w:t>
      </w:r>
      <w:r w:rsidR="007935CB">
        <w:rPr>
          <w:b/>
        </w:rPr>
        <w:t xml:space="preserve">A </w:t>
      </w:r>
      <w:r w:rsidR="00B47ECD">
        <w:rPr>
          <w:b/>
        </w:rPr>
        <w:t>MESEČNEGA ZNESKA POLOŽNIC</w:t>
      </w:r>
      <w:r w:rsidR="003E743E">
        <w:rPr>
          <w:b/>
        </w:rPr>
        <w:t xml:space="preserve"> </w:t>
      </w:r>
    </w:p>
    <w:p w14:paraId="38647278" w14:textId="77777777" w:rsidR="00675EBE" w:rsidRDefault="00675EBE" w:rsidP="00675EBE">
      <w:pPr>
        <w:jc w:val="both"/>
      </w:pPr>
    </w:p>
    <w:p w14:paraId="0088334C" w14:textId="2B3C478E" w:rsidR="00675EBE" w:rsidRDefault="0086632F" w:rsidP="00675EBE">
      <w:pPr>
        <w:jc w:val="both"/>
      </w:pPr>
      <w:r>
        <w:t>Sprememb</w:t>
      </w:r>
      <w:r w:rsidR="00680E5D">
        <w:t>e</w:t>
      </w:r>
      <w:r>
        <w:t xml:space="preserve"> mesečnega zneska položnice</w:t>
      </w:r>
      <w:r w:rsidR="00543D0A">
        <w:t xml:space="preserve"> za gospodinjstv</w:t>
      </w:r>
      <w:r w:rsidR="005B06BC">
        <w:t>a v občini Ravne na Koroškem</w:t>
      </w:r>
      <w:r w:rsidR="001A6510">
        <w:t xml:space="preserve"> </w:t>
      </w:r>
      <w:r w:rsidR="0071432E">
        <w:t>so</w:t>
      </w:r>
      <w:r w:rsidR="001A6510">
        <w:t xml:space="preserve"> predstavljen</w:t>
      </w:r>
      <w:r w:rsidR="0071432E">
        <w:t>e</w:t>
      </w:r>
      <w:r w:rsidR="001A6510">
        <w:t xml:space="preserve"> v spodnji</w:t>
      </w:r>
      <w:r w:rsidR="0071432E">
        <w:t>h</w:t>
      </w:r>
      <w:r w:rsidR="001A6510">
        <w:t xml:space="preserve"> preglednic</w:t>
      </w:r>
      <w:r w:rsidR="0071432E">
        <w:t>ah</w:t>
      </w:r>
      <w:r w:rsidR="001A6510">
        <w:t xml:space="preserve">. </w:t>
      </w:r>
    </w:p>
    <w:p w14:paraId="7008E52F" w14:textId="204D25F3" w:rsidR="00DB2754" w:rsidRDefault="00DB2754" w:rsidP="00675EBE">
      <w:pPr>
        <w:jc w:val="both"/>
      </w:pPr>
    </w:p>
    <w:p w14:paraId="5A43E01F" w14:textId="268D35A1" w:rsidR="00365529" w:rsidRDefault="00DB2754" w:rsidP="00675EBE">
      <w:pPr>
        <w:jc w:val="both"/>
      </w:pPr>
      <w:r>
        <w:t>V izračunu</w:t>
      </w:r>
      <w:r w:rsidR="00DC0718">
        <w:t xml:space="preserve"> Tabele 2</w:t>
      </w:r>
      <w:r>
        <w:t xml:space="preserve"> so </w:t>
      </w:r>
      <w:r w:rsidR="00365529">
        <w:t>upoštevane naslednje postavke</w:t>
      </w:r>
      <w:r w:rsidR="00C0714A">
        <w:t xml:space="preserve"> za storitve VO-KA</w:t>
      </w:r>
      <w:r w:rsidR="00365529">
        <w:t>:</w:t>
      </w:r>
    </w:p>
    <w:p w14:paraId="4AB5A814" w14:textId="6BB25EBB" w:rsidR="00DB2754" w:rsidRDefault="00365529" w:rsidP="00365529">
      <w:pPr>
        <w:pStyle w:val="Odstavekseznama"/>
        <w:numPr>
          <w:ilvl w:val="0"/>
          <w:numId w:val="9"/>
        </w:numPr>
      </w:pPr>
      <w:r>
        <w:t>povprečna poraba vode</w:t>
      </w:r>
      <w:r w:rsidR="00D85E2E">
        <w:t xml:space="preserve"> v občini Ravne na Koroškem</w:t>
      </w:r>
      <w:r>
        <w:t xml:space="preserve"> </w:t>
      </w:r>
      <w:r w:rsidR="00D85E2E">
        <w:t>na osebo na mesec: 3,8 m</w:t>
      </w:r>
      <w:r w:rsidR="00D85E2E" w:rsidRPr="00D85E2E">
        <w:rPr>
          <w:vertAlign w:val="superscript"/>
        </w:rPr>
        <w:t>3</w:t>
      </w:r>
    </w:p>
    <w:p w14:paraId="34E929BD" w14:textId="2A9B1743" w:rsidR="00D85E2E" w:rsidRDefault="0055612F" w:rsidP="00365529">
      <w:pPr>
        <w:pStyle w:val="Odstavekseznama"/>
        <w:numPr>
          <w:ilvl w:val="0"/>
          <w:numId w:val="9"/>
        </w:numPr>
      </w:pPr>
      <w:r>
        <w:t>oskrba s pitno vodo (omrežnina in vodarina)</w:t>
      </w:r>
    </w:p>
    <w:p w14:paraId="1AD82D6C" w14:textId="5C7A2EE5" w:rsidR="0055612F" w:rsidRDefault="0055612F" w:rsidP="00365529">
      <w:pPr>
        <w:pStyle w:val="Odstavekseznama"/>
        <w:numPr>
          <w:ilvl w:val="0"/>
          <w:numId w:val="9"/>
        </w:numPr>
      </w:pPr>
      <w:r>
        <w:t>odpadne vode:</w:t>
      </w:r>
    </w:p>
    <w:p w14:paraId="5665F436" w14:textId="472F16F4" w:rsidR="00F054FB" w:rsidRDefault="00F054FB" w:rsidP="00F054FB">
      <w:pPr>
        <w:pStyle w:val="Odstavekseznama"/>
        <w:numPr>
          <w:ilvl w:val="1"/>
          <w:numId w:val="9"/>
        </w:numPr>
      </w:pPr>
      <w:r>
        <w:t>odvajanje odpadne vode (omrežnina, subvencija in cena storitve)</w:t>
      </w:r>
    </w:p>
    <w:p w14:paraId="7490761D" w14:textId="2A31F0D7" w:rsidR="00F054FB" w:rsidRDefault="00A427C1" w:rsidP="00F054FB">
      <w:pPr>
        <w:pStyle w:val="Odstavekseznama"/>
        <w:numPr>
          <w:ilvl w:val="1"/>
          <w:numId w:val="9"/>
        </w:numPr>
      </w:pPr>
      <w:r>
        <w:t>čiščenje odpadne vode (omrežnina, subvencija in cena storitve)</w:t>
      </w:r>
    </w:p>
    <w:p w14:paraId="58F133EF" w14:textId="47B8F8BC" w:rsidR="00A427C1" w:rsidRDefault="00EE3586" w:rsidP="00F054FB">
      <w:pPr>
        <w:pStyle w:val="Odstavekseznama"/>
        <w:numPr>
          <w:ilvl w:val="1"/>
          <w:numId w:val="9"/>
        </w:numPr>
      </w:pPr>
      <w:proofErr w:type="spellStart"/>
      <w:r>
        <w:t>okoljska</w:t>
      </w:r>
      <w:proofErr w:type="spellEnd"/>
      <w:r>
        <w:t xml:space="preserve"> dajatev za odvajanje odpadne vode</w:t>
      </w:r>
    </w:p>
    <w:p w14:paraId="0424ABF3" w14:textId="77777777" w:rsidR="00675EBE" w:rsidRDefault="00675EBE" w:rsidP="00675EBE">
      <w:pPr>
        <w:jc w:val="both"/>
      </w:pPr>
    </w:p>
    <w:p w14:paraId="0DE54BBE" w14:textId="6F011300" w:rsidR="00675EBE" w:rsidRDefault="00675EBE" w:rsidP="00675EBE">
      <w:pPr>
        <w:pStyle w:val="Napis"/>
        <w:spacing w:after="0"/>
      </w:pPr>
      <w:r>
        <w:lastRenderedPageBreak/>
        <w:t xml:space="preserve">Tabela </w:t>
      </w:r>
      <w:r w:rsidR="000A0A99">
        <w:fldChar w:fldCharType="begin"/>
      </w:r>
      <w:r w:rsidR="000A0A99">
        <w:instrText xml:space="preserve"> SEQ Tabela \* ARABIC </w:instrText>
      </w:r>
      <w:r w:rsidR="000A0A99">
        <w:fldChar w:fldCharType="separate"/>
      </w:r>
      <w:r w:rsidR="003075C0">
        <w:rPr>
          <w:noProof/>
        </w:rPr>
        <w:t>2</w:t>
      </w:r>
      <w:r w:rsidR="000A0A99">
        <w:rPr>
          <w:noProof/>
        </w:rPr>
        <w:fldChar w:fldCharType="end"/>
      </w:r>
      <w:r>
        <w:t xml:space="preserve">: Izračun mesečne </w:t>
      </w:r>
      <w:r w:rsidR="00685A03">
        <w:t>spremembe</w:t>
      </w:r>
      <w:r>
        <w:t xml:space="preserve"> </w:t>
      </w:r>
      <w:r w:rsidR="004A2BD5">
        <w:t>na položnici</w:t>
      </w:r>
      <w:r w:rsidR="00DB2754">
        <w:t xml:space="preserve"> za storitve VO-KA</w:t>
      </w:r>
    </w:p>
    <w:tbl>
      <w:tblPr>
        <w:tblW w:w="9269" w:type="dxa"/>
        <w:tblInd w:w="75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dotted" w:sz="4" w:space="0" w:color="BDD6EE" w:themeColor="accent1" w:themeTint="66"/>
          <w:insideV w:val="dotted" w:sz="4" w:space="0" w:color="BDD6EE" w:themeColor="accent1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"/>
        <w:gridCol w:w="2026"/>
        <w:gridCol w:w="1347"/>
        <w:gridCol w:w="1344"/>
        <w:gridCol w:w="1460"/>
        <w:gridCol w:w="1658"/>
        <w:gridCol w:w="1216"/>
      </w:tblGrid>
      <w:tr w:rsidR="000C2633" w:rsidRPr="002353A0" w14:paraId="22BE0B67" w14:textId="77777777" w:rsidTr="000C2633">
        <w:trPr>
          <w:trHeight w:val="279"/>
        </w:trPr>
        <w:tc>
          <w:tcPr>
            <w:tcW w:w="2244" w:type="dxa"/>
            <w:gridSpan w:val="2"/>
            <w:tcBorders>
              <w:top w:val="single" w:sz="4" w:space="0" w:color="BDD6EE" w:themeColor="accent1" w:themeTint="66"/>
              <w:left w:val="dotted" w:sz="4" w:space="0" w:color="BDD6EE" w:themeColor="accent1" w:themeTint="66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30977B6B" w14:textId="77777777" w:rsidR="000C2633" w:rsidRPr="002353A0" w:rsidRDefault="000C2633" w:rsidP="000C263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</w:pPr>
            <w:r w:rsidRPr="002353A0"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 xml:space="preserve">Povprečni znesek </w:t>
            </w:r>
            <w:r w:rsidRPr="00137829"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 xml:space="preserve">mesečne </w:t>
            </w:r>
            <w:r w:rsidRPr="002353A0"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>položnice</w:t>
            </w:r>
            <w:r w:rsidRPr="00137829"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 xml:space="preserve"> za:</w:t>
            </w:r>
          </w:p>
        </w:tc>
        <w:tc>
          <w:tcPr>
            <w:tcW w:w="1347" w:type="dxa"/>
            <w:tcBorders>
              <w:top w:val="single" w:sz="4" w:space="0" w:color="BDD6EE" w:themeColor="accent1" w:themeTint="66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3E6685B4" w14:textId="6E8BFBC2" w:rsidR="000C2633" w:rsidRPr="002353A0" w:rsidRDefault="000C2633" w:rsidP="000C263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>Mesečni strošek pred spremembo-</w:t>
            </w:r>
            <w:r w:rsidR="00925C71"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>z DDV</w:t>
            </w:r>
            <w:r w:rsidRPr="00137829"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 xml:space="preserve"> (2019)</w:t>
            </w:r>
          </w:p>
        </w:tc>
        <w:tc>
          <w:tcPr>
            <w:tcW w:w="1344" w:type="dxa"/>
            <w:tcBorders>
              <w:top w:val="single" w:sz="4" w:space="0" w:color="BDD6EE" w:themeColor="accent1" w:themeTint="66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7E242187" w14:textId="4E9D926A" w:rsidR="000C2633" w:rsidRPr="002353A0" w:rsidRDefault="000C2633" w:rsidP="000C263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 xml:space="preserve">Mesečni strošek po spremembi- </w:t>
            </w:r>
            <w:r w:rsidR="00925C71"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>z DDV</w:t>
            </w:r>
            <w:r w:rsidRPr="00137829"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 xml:space="preserve"> (2020)</w:t>
            </w:r>
          </w:p>
        </w:tc>
        <w:tc>
          <w:tcPr>
            <w:tcW w:w="1460" w:type="dxa"/>
            <w:tcBorders>
              <w:top w:val="single" w:sz="4" w:space="0" w:color="BDD6EE" w:themeColor="accent1" w:themeTint="66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55C92A9" w14:textId="4EB8F950" w:rsidR="000C2633" w:rsidRDefault="000C2633" w:rsidP="000C263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</w:pPr>
            <w:r w:rsidRPr="002353A0"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>Indeks</w:t>
            </w:r>
            <w:r w:rsidRPr="001D34FB"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 xml:space="preserve"> (2020/2019)</w:t>
            </w:r>
          </w:p>
        </w:tc>
        <w:tc>
          <w:tcPr>
            <w:tcW w:w="1658" w:type="dxa"/>
            <w:tcBorders>
              <w:top w:val="single" w:sz="4" w:space="0" w:color="BDD6EE" w:themeColor="accent1" w:themeTint="66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C12AA49" w14:textId="09802D75" w:rsidR="000C2633" w:rsidRDefault="000C2633" w:rsidP="000C263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>Mesečna razlika na položnico</w:t>
            </w:r>
          </w:p>
          <w:p w14:paraId="331B8132" w14:textId="77777777" w:rsidR="000C2633" w:rsidRPr="002353A0" w:rsidRDefault="000C2633" w:rsidP="000C263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>(z DDV)</w:t>
            </w:r>
          </w:p>
        </w:tc>
        <w:tc>
          <w:tcPr>
            <w:tcW w:w="1216" w:type="dxa"/>
            <w:tcBorders>
              <w:top w:val="single" w:sz="4" w:space="0" w:color="BDD6EE" w:themeColor="accent1" w:themeTint="66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252FE1F8" w14:textId="77777777" w:rsidR="000C2633" w:rsidRDefault="000C2633" w:rsidP="000C263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</w:pPr>
            <w:r w:rsidRPr="00EE1340"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 xml:space="preserve">Mesečna razlika na osebo </w:t>
            </w:r>
          </w:p>
          <w:p w14:paraId="41382A5D" w14:textId="7E913F21" w:rsidR="000C2633" w:rsidRPr="00EE1340" w:rsidRDefault="000C2633" w:rsidP="000C2633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</w:pPr>
            <w:r w:rsidRPr="00EE1340"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>(z DDV)</w:t>
            </w:r>
          </w:p>
        </w:tc>
      </w:tr>
      <w:tr w:rsidR="00925C71" w:rsidRPr="002353A0" w14:paraId="5A55BFD6" w14:textId="77777777" w:rsidTr="000C2633">
        <w:trPr>
          <w:trHeight w:val="279"/>
        </w:trPr>
        <w:tc>
          <w:tcPr>
            <w:tcW w:w="218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82B2F" w14:textId="77777777" w:rsidR="00925C71" w:rsidRPr="002353A0" w:rsidRDefault="00925C71" w:rsidP="00925C71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2353A0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dotted" w:sz="4" w:space="0" w:color="BDD6EE" w:themeColor="accent1" w:themeTint="66"/>
            </w:tcBorders>
            <w:shd w:val="clear" w:color="auto" w:fill="auto"/>
            <w:noWrap/>
            <w:vAlign w:val="center"/>
            <w:hideMark/>
          </w:tcPr>
          <w:p w14:paraId="6D2D8FD3" w14:textId="63699123" w:rsidR="00925C71" w:rsidRPr="00BA47BA" w:rsidRDefault="00925C71" w:rsidP="00925C71">
            <w:pPr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BA47BA">
              <w:rPr>
                <w:rFonts w:ascii="Calibri" w:eastAsia="Times New Roman" w:hAnsi="Calibri" w:cs="Times New Roman"/>
                <w:sz w:val="20"/>
                <w:lang w:eastAsia="sl-SI"/>
              </w:rPr>
              <w:t>4-člansko gospodinjstvo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F38545" w14:textId="513703AF" w:rsidR="00925C71" w:rsidRPr="00B5723F" w:rsidRDefault="00925C71" w:rsidP="00925C71">
            <w:pPr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hAnsi="Calibri"/>
                <w:sz w:val="20"/>
                <w:szCs w:val="20"/>
              </w:rPr>
              <w:t>33,19 €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4C6609" w14:textId="4695386D" w:rsidR="00925C71" w:rsidRPr="00B5723F" w:rsidRDefault="00925C71" w:rsidP="00925C71">
            <w:pPr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hAnsi="Calibri"/>
                <w:sz w:val="20"/>
                <w:szCs w:val="20"/>
              </w:rPr>
              <w:t>35,72 €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AB21B46" w14:textId="65A27DFE" w:rsidR="00925C71" w:rsidRDefault="00925C71" w:rsidP="00925C7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1,07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14:paraId="0794F4B5" w14:textId="25C875A8" w:rsidR="00925C71" w:rsidRPr="00B5723F" w:rsidRDefault="00925C71" w:rsidP="00925C71">
            <w:pPr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hAnsi="Calibri"/>
                <w:sz w:val="20"/>
                <w:szCs w:val="20"/>
              </w:rPr>
              <w:t>2,52 €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87C79B3" w14:textId="16567597" w:rsidR="00925C71" w:rsidRPr="00EE1340" w:rsidRDefault="00925C71" w:rsidP="00925C71">
            <w:pPr>
              <w:jc w:val="center"/>
              <w:rPr>
                <w:rFonts w:ascii="Calibri" w:eastAsia="Times New Roman" w:hAnsi="Calibri" w:cs="Times New Roman"/>
                <w:b/>
                <w:sz w:val="22"/>
                <w:lang w:eastAsia="sl-SI"/>
              </w:rPr>
            </w:pPr>
            <w:r>
              <w:rPr>
                <w:rFonts w:ascii="Calibri" w:hAnsi="Calibri"/>
                <w:sz w:val="20"/>
                <w:szCs w:val="20"/>
              </w:rPr>
              <w:t>0,63 €</w:t>
            </w:r>
          </w:p>
        </w:tc>
      </w:tr>
      <w:tr w:rsidR="00925C71" w:rsidRPr="002353A0" w14:paraId="02E35CD7" w14:textId="77777777" w:rsidTr="000C2633">
        <w:trPr>
          <w:trHeight w:val="279"/>
        </w:trPr>
        <w:tc>
          <w:tcPr>
            <w:tcW w:w="2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AD5FAB" w14:textId="77777777" w:rsidR="00925C71" w:rsidRPr="002353A0" w:rsidRDefault="00925C71" w:rsidP="00925C71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2353A0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2026" w:type="dxa"/>
            <w:tcBorders>
              <w:top w:val="dotted" w:sz="4" w:space="0" w:color="BDD6EE" w:themeColor="accent1" w:themeTint="66"/>
              <w:left w:val="nil"/>
              <w:bottom w:val="dotted" w:sz="4" w:space="0" w:color="BDD6EE" w:themeColor="accent1" w:themeTint="66"/>
            </w:tcBorders>
            <w:shd w:val="clear" w:color="auto" w:fill="auto"/>
            <w:noWrap/>
            <w:vAlign w:val="center"/>
            <w:hideMark/>
          </w:tcPr>
          <w:p w14:paraId="643BDE50" w14:textId="62AEE6EA" w:rsidR="00925C71" w:rsidRPr="00BA47BA" w:rsidRDefault="00925C71" w:rsidP="00925C71">
            <w:pPr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BA47BA">
              <w:rPr>
                <w:rFonts w:ascii="Calibri" w:eastAsia="Times New Roman" w:hAnsi="Calibri" w:cs="Times New Roman"/>
                <w:sz w:val="20"/>
                <w:lang w:eastAsia="sl-SI"/>
              </w:rPr>
              <w:t>3-člansko gospodinjstvo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14:paraId="67CC8FEE" w14:textId="0DE9E73E" w:rsidR="00925C71" w:rsidRPr="00B5723F" w:rsidRDefault="00925C71" w:rsidP="00925C71">
            <w:pPr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hAnsi="Calibri"/>
                <w:sz w:val="20"/>
                <w:szCs w:val="20"/>
              </w:rPr>
              <w:t>27,39 €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2DBA9ABE" w14:textId="6158F0A4" w:rsidR="00925C71" w:rsidRPr="00B5723F" w:rsidRDefault="00925C71" w:rsidP="00925C71">
            <w:pPr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hAnsi="Calibri"/>
                <w:sz w:val="20"/>
                <w:szCs w:val="20"/>
              </w:rPr>
              <w:t>29,48 €</w:t>
            </w:r>
          </w:p>
        </w:tc>
        <w:tc>
          <w:tcPr>
            <w:tcW w:w="1460" w:type="dxa"/>
            <w:shd w:val="clear" w:color="auto" w:fill="DEEAF6" w:themeFill="accent1" w:themeFillTint="33"/>
            <w:vAlign w:val="center"/>
          </w:tcPr>
          <w:p w14:paraId="121D497D" w14:textId="2C14A97B" w:rsidR="00925C71" w:rsidRDefault="00925C71" w:rsidP="00925C7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1,07</w:t>
            </w:r>
          </w:p>
        </w:tc>
        <w:tc>
          <w:tcPr>
            <w:tcW w:w="1658" w:type="dxa"/>
            <w:vAlign w:val="center"/>
          </w:tcPr>
          <w:p w14:paraId="2ADCB79E" w14:textId="2FB6AEB9" w:rsidR="00925C71" w:rsidRPr="00B5723F" w:rsidRDefault="00925C71" w:rsidP="00925C71">
            <w:pPr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hAnsi="Calibri"/>
                <w:sz w:val="20"/>
                <w:szCs w:val="20"/>
              </w:rPr>
              <w:t>2,09 €</w:t>
            </w:r>
          </w:p>
        </w:tc>
        <w:tc>
          <w:tcPr>
            <w:tcW w:w="1216" w:type="dxa"/>
            <w:shd w:val="clear" w:color="auto" w:fill="DEEAF6" w:themeFill="accent1" w:themeFillTint="33"/>
            <w:vAlign w:val="center"/>
          </w:tcPr>
          <w:p w14:paraId="707CE829" w14:textId="0E59BD49" w:rsidR="00925C71" w:rsidRPr="00EE1340" w:rsidRDefault="00925C71" w:rsidP="00925C71">
            <w:pPr>
              <w:jc w:val="center"/>
              <w:rPr>
                <w:rFonts w:ascii="Calibri" w:eastAsia="Times New Roman" w:hAnsi="Calibri" w:cs="Times New Roman"/>
                <w:b/>
                <w:sz w:val="22"/>
                <w:lang w:eastAsia="sl-SI"/>
              </w:rPr>
            </w:pPr>
            <w:r>
              <w:rPr>
                <w:rFonts w:ascii="Calibri" w:hAnsi="Calibri"/>
                <w:sz w:val="20"/>
                <w:szCs w:val="20"/>
              </w:rPr>
              <w:t>0,70 €</w:t>
            </w:r>
          </w:p>
        </w:tc>
      </w:tr>
      <w:tr w:rsidR="00925C71" w:rsidRPr="002353A0" w14:paraId="3662F8CB" w14:textId="77777777" w:rsidTr="000C2633">
        <w:trPr>
          <w:trHeight w:val="279"/>
        </w:trPr>
        <w:tc>
          <w:tcPr>
            <w:tcW w:w="2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6D65F7" w14:textId="77777777" w:rsidR="00925C71" w:rsidRPr="002353A0" w:rsidRDefault="00925C71" w:rsidP="00925C71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2353A0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2026" w:type="dxa"/>
            <w:tcBorders>
              <w:top w:val="dotted" w:sz="4" w:space="0" w:color="BDD6EE" w:themeColor="accent1" w:themeTint="66"/>
              <w:left w:val="nil"/>
              <w:bottom w:val="dotted" w:sz="4" w:space="0" w:color="BDD6EE" w:themeColor="accent1" w:themeTint="66"/>
            </w:tcBorders>
            <w:shd w:val="clear" w:color="auto" w:fill="auto"/>
            <w:noWrap/>
            <w:vAlign w:val="center"/>
            <w:hideMark/>
          </w:tcPr>
          <w:p w14:paraId="6AEDA7F8" w14:textId="4F045C66" w:rsidR="00925C71" w:rsidRPr="00BA47BA" w:rsidRDefault="00925C71" w:rsidP="00925C71">
            <w:pPr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BA47BA">
              <w:rPr>
                <w:rFonts w:ascii="Calibri" w:eastAsia="Times New Roman" w:hAnsi="Calibri" w:cs="Times New Roman"/>
                <w:sz w:val="20"/>
                <w:lang w:eastAsia="sl-SI"/>
              </w:rPr>
              <w:t>2-člansko gospodinjstvo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14:paraId="3A51D3E0" w14:textId="23BF5756" w:rsidR="00925C71" w:rsidRPr="00B5723F" w:rsidRDefault="00925C71" w:rsidP="00925C71">
            <w:pPr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hAnsi="Calibri"/>
                <w:sz w:val="20"/>
                <w:szCs w:val="20"/>
              </w:rPr>
              <w:t>21,58 €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7039F8BC" w14:textId="7E865275" w:rsidR="00925C71" w:rsidRPr="00B5723F" w:rsidRDefault="00925C71" w:rsidP="00925C71">
            <w:pPr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hAnsi="Calibri"/>
                <w:sz w:val="20"/>
                <w:szCs w:val="20"/>
              </w:rPr>
              <w:t>23,24 €</w:t>
            </w:r>
          </w:p>
        </w:tc>
        <w:tc>
          <w:tcPr>
            <w:tcW w:w="1460" w:type="dxa"/>
            <w:shd w:val="clear" w:color="auto" w:fill="DEEAF6" w:themeFill="accent1" w:themeFillTint="33"/>
            <w:vAlign w:val="center"/>
          </w:tcPr>
          <w:p w14:paraId="7648A05A" w14:textId="02165901" w:rsidR="00925C71" w:rsidRDefault="00925C71" w:rsidP="00925C7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1,07</w:t>
            </w:r>
          </w:p>
        </w:tc>
        <w:tc>
          <w:tcPr>
            <w:tcW w:w="1658" w:type="dxa"/>
            <w:vAlign w:val="center"/>
          </w:tcPr>
          <w:p w14:paraId="0763D263" w14:textId="2E6130A4" w:rsidR="00925C71" w:rsidRPr="00B5723F" w:rsidRDefault="00925C71" w:rsidP="00925C71">
            <w:pPr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hAnsi="Calibri"/>
                <w:sz w:val="20"/>
                <w:szCs w:val="20"/>
              </w:rPr>
              <w:t>1,65 €</w:t>
            </w:r>
          </w:p>
        </w:tc>
        <w:tc>
          <w:tcPr>
            <w:tcW w:w="1216" w:type="dxa"/>
            <w:shd w:val="clear" w:color="auto" w:fill="DEEAF6" w:themeFill="accent1" w:themeFillTint="33"/>
            <w:vAlign w:val="center"/>
          </w:tcPr>
          <w:p w14:paraId="1B8AC98D" w14:textId="6193BCAD" w:rsidR="00925C71" w:rsidRPr="00EE1340" w:rsidRDefault="00925C71" w:rsidP="00925C71">
            <w:pPr>
              <w:jc w:val="center"/>
              <w:rPr>
                <w:rFonts w:ascii="Calibri" w:eastAsia="Times New Roman" w:hAnsi="Calibri" w:cs="Times New Roman"/>
                <w:b/>
                <w:sz w:val="22"/>
                <w:lang w:eastAsia="sl-SI"/>
              </w:rPr>
            </w:pPr>
            <w:r>
              <w:rPr>
                <w:rFonts w:ascii="Calibri" w:hAnsi="Calibri"/>
                <w:sz w:val="20"/>
                <w:szCs w:val="20"/>
              </w:rPr>
              <w:t>0,83 €</w:t>
            </w:r>
          </w:p>
        </w:tc>
      </w:tr>
      <w:tr w:rsidR="00925C71" w:rsidRPr="002353A0" w14:paraId="33A7FE53" w14:textId="77777777" w:rsidTr="000C2633">
        <w:trPr>
          <w:trHeight w:val="279"/>
        </w:trPr>
        <w:tc>
          <w:tcPr>
            <w:tcW w:w="218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20ED2A8" w14:textId="77777777" w:rsidR="00925C71" w:rsidRPr="002353A0" w:rsidRDefault="00925C71" w:rsidP="00925C71">
            <w:pPr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2026" w:type="dxa"/>
            <w:tcBorders>
              <w:top w:val="dotted" w:sz="4" w:space="0" w:color="BDD6EE" w:themeColor="accent1" w:themeTint="66"/>
              <w:left w:val="nil"/>
              <w:bottom w:val="single" w:sz="4" w:space="0" w:color="BDD6EE" w:themeColor="accent1" w:themeTint="66"/>
            </w:tcBorders>
            <w:shd w:val="clear" w:color="auto" w:fill="auto"/>
            <w:noWrap/>
            <w:vAlign w:val="center"/>
          </w:tcPr>
          <w:p w14:paraId="3DB45DAF" w14:textId="735145BD" w:rsidR="00925C71" w:rsidRPr="00BA47BA" w:rsidRDefault="00925C71" w:rsidP="00925C71">
            <w:pPr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BA47BA">
              <w:rPr>
                <w:rFonts w:ascii="Calibri" w:eastAsia="Times New Roman" w:hAnsi="Calibri" w:cs="Times New Roman"/>
                <w:sz w:val="20"/>
                <w:lang w:eastAsia="sl-SI"/>
              </w:rPr>
              <w:t>1-člansko gospodinjstvo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14:paraId="4B7AD6B8" w14:textId="7BBA130F" w:rsidR="00925C71" w:rsidRPr="00B5723F" w:rsidRDefault="00925C71" w:rsidP="00925C71">
            <w:pPr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hAnsi="Calibri"/>
                <w:sz w:val="20"/>
                <w:szCs w:val="20"/>
              </w:rPr>
              <w:t>15,78 €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14:paraId="428C2A02" w14:textId="2C7A1AF7" w:rsidR="00925C71" w:rsidRPr="00B5723F" w:rsidRDefault="00925C71" w:rsidP="00925C71">
            <w:pPr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hAnsi="Calibri"/>
                <w:sz w:val="20"/>
                <w:szCs w:val="20"/>
              </w:rPr>
              <w:t>17,00 €</w:t>
            </w:r>
          </w:p>
        </w:tc>
        <w:tc>
          <w:tcPr>
            <w:tcW w:w="1460" w:type="dxa"/>
            <w:shd w:val="clear" w:color="auto" w:fill="DEEAF6" w:themeFill="accent1" w:themeFillTint="33"/>
            <w:vAlign w:val="center"/>
          </w:tcPr>
          <w:p w14:paraId="4FC3EBBE" w14:textId="63693A96" w:rsidR="00925C71" w:rsidRDefault="00925C71" w:rsidP="00925C7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1,07</w:t>
            </w:r>
          </w:p>
        </w:tc>
        <w:tc>
          <w:tcPr>
            <w:tcW w:w="1658" w:type="dxa"/>
            <w:vAlign w:val="center"/>
          </w:tcPr>
          <w:p w14:paraId="747C8A42" w14:textId="56F989EC" w:rsidR="00925C71" w:rsidRPr="00B5723F" w:rsidRDefault="00925C71" w:rsidP="00925C71">
            <w:pPr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hAnsi="Calibri"/>
                <w:sz w:val="20"/>
                <w:szCs w:val="20"/>
              </w:rPr>
              <w:t>1,22 €</w:t>
            </w:r>
          </w:p>
        </w:tc>
        <w:tc>
          <w:tcPr>
            <w:tcW w:w="1216" w:type="dxa"/>
            <w:shd w:val="clear" w:color="auto" w:fill="DEEAF6" w:themeFill="accent1" w:themeFillTint="33"/>
            <w:vAlign w:val="center"/>
          </w:tcPr>
          <w:p w14:paraId="68D0F731" w14:textId="3E2CFF1F" w:rsidR="00925C71" w:rsidRPr="00EE1340" w:rsidRDefault="00925C71" w:rsidP="00925C71">
            <w:pPr>
              <w:jc w:val="center"/>
              <w:rPr>
                <w:rFonts w:ascii="Calibri" w:eastAsia="Times New Roman" w:hAnsi="Calibri" w:cs="Times New Roman"/>
                <w:b/>
                <w:sz w:val="22"/>
                <w:lang w:eastAsia="sl-SI"/>
              </w:rPr>
            </w:pPr>
            <w:r>
              <w:rPr>
                <w:rFonts w:ascii="Calibri" w:hAnsi="Calibri"/>
                <w:sz w:val="20"/>
                <w:szCs w:val="20"/>
              </w:rPr>
              <w:t>1,22 €</w:t>
            </w:r>
          </w:p>
        </w:tc>
      </w:tr>
    </w:tbl>
    <w:p w14:paraId="5EA6E612" w14:textId="091D8B5D" w:rsidR="00B27E50" w:rsidRDefault="00B27E50" w:rsidP="00F43454"/>
    <w:p w14:paraId="3034FEAB" w14:textId="77777777" w:rsidR="00160E1A" w:rsidRDefault="00160E1A" w:rsidP="00F43454"/>
    <w:p w14:paraId="4D782ED9" w14:textId="4E8D2CF7" w:rsidR="000C2633" w:rsidRDefault="00B60D89" w:rsidP="001F7506">
      <w:pPr>
        <w:jc w:val="both"/>
      </w:pPr>
      <w:r>
        <w:t xml:space="preserve">V izračunu Tabele 3 so </w:t>
      </w:r>
      <w:r w:rsidRPr="00160E1A">
        <w:rPr>
          <w:b/>
        </w:rPr>
        <w:t>informativno</w:t>
      </w:r>
      <w:r>
        <w:t xml:space="preserve"> predstavljene spremembe na celotno položnico, vključno s storitvami ravnanja z odpadki</w:t>
      </w:r>
      <w:r w:rsidR="00CE4997">
        <w:t xml:space="preserve">, ki so obračunane na </w:t>
      </w:r>
      <w:r w:rsidR="00BE187D">
        <w:t xml:space="preserve">skupni </w:t>
      </w:r>
      <w:r w:rsidR="00CE4997">
        <w:t>položnici</w:t>
      </w:r>
      <w:r w:rsidR="000F4B87">
        <w:t xml:space="preserve">, ki jih izdajamo v JKP Ravne. </w:t>
      </w:r>
      <w:r w:rsidR="003075C0">
        <w:t xml:space="preserve">Storitve ravnanja z odpadki zajemajo </w:t>
      </w:r>
      <w:r w:rsidR="00660928">
        <w:t>zbiranje komunalnih odpadkov, zbiranje bioloških odpadkov, obdelava komunalnih odpadkov in odlaganje komunalnih odpadkov.</w:t>
      </w:r>
    </w:p>
    <w:p w14:paraId="3B5B6FA0" w14:textId="77777777" w:rsidR="000C2633" w:rsidRDefault="000C2633" w:rsidP="000C2633">
      <w:pPr>
        <w:jc w:val="both"/>
      </w:pPr>
    </w:p>
    <w:p w14:paraId="3DD629E3" w14:textId="236278E4" w:rsidR="000C2633" w:rsidRDefault="000C2633" w:rsidP="000C2633">
      <w:pPr>
        <w:pStyle w:val="Napis"/>
        <w:spacing w:after="0"/>
      </w:pPr>
      <w:r>
        <w:t xml:space="preserve">Tabela </w:t>
      </w:r>
      <w:fldSimple w:instr=" SEQ Tabela \* ARABIC ">
        <w:r w:rsidR="003075C0">
          <w:rPr>
            <w:noProof/>
          </w:rPr>
          <w:t>3</w:t>
        </w:r>
      </w:fldSimple>
      <w:r>
        <w:t>: Informativni izračun mesečne spremembe na celotno položnico</w:t>
      </w:r>
      <w:r w:rsidR="00E75D69">
        <w:t>, vključno s storitvami ravnanja z odpadki</w:t>
      </w:r>
    </w:p>
    <w:tbl>
      <w:tblPr>
        <w:tblW w:w="9418" w:type="dxa"/>
        <w:tblInd w:w="75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dotted" w:sz="4" w:space="0" w:color="BDD6EE" w:themeColor="accent1" w:themeTint="66"/>
          <w:insideV w:val="dotted" w:sz="4" w:space="0" w:color="BDD6EE" w:themeColor="accent1" w:themeTint="6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"/>
        <w:gridCol w:w="1977"/>
        <w:gridCol w:w="1266"/>
        <w:gridCol w:w="1539"/>
        <w:gridCol w:w="1452"/>
        <w:gridCol w:w="925"/>
        <w:gridCol w:w="1045"/>
        <w:gridCol w:w="993"/>
      </w:tblGrid>
      <w:tr w:rsidR="00877CE8" w:rsidRPr="002353A0" w14:paraId="2CF60A21" w14:textId="77777777" w:rsidTr="008B5818">
        <w:trPr>
          <w:trHeight w:val="298"/>
        </w:trPr>
        <w:tc>
          <w:tcPr>
            <w:tcW w:w="2198" w:type="dxa"/>
            <w:gridSpan w:val="2"/>
            <w:tcBorders>
              <w:top w:val="single" w:sz="4" w:space="0" w:color="BDD6EE" w:themeColor="accent1" w:themeTint="66"/>
              <w:left w:val="dotted" w:sz="4" w:space="0" w:color="BDD6EE" w:themeColor="accent1" w:themeTint="66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5C11BE5B" w14:textId="77777777" w:rsidR="00877CE8" w:rsidRPr="002353A0" w:rsidRDefault="00877CE8" w:rsidP="00877CE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</w:pPr>
            <w:r w:rsidRPr="002353A0"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 xml:space="preserve">Povprečni znesek </w:t>
            </w:r>
            <w:r w:rsidRPr="00137829"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 xml:space="preserve">mesečne </w:t>
            </w:r>
            <w:r w:rsidRPr="002353A0"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>položnice</w:t>
            </w:r>
            <w:r w:rsidRPr="00137829"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 xml:space="preserve"> za:</w:t>
            </w:r>
          </w:p>
        </w:tc>
        <w:tc>
          <w:tcPr>
            <w:tcW w:w="1266" w:type="dxa"/>
            <w:tcBorders>
              <w:top w:val="single" w:sz="4" w:space="0" w:color="BDD6EE" w:themeColor="accent1" w:themeTint="66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14:paraId="2FC0A18B" w14:textId="1F713E63" w:rsidR="00877CE8" w:rsidRPr="002353A0" w:rsidRDefault="00877CE8" w:rsidP="00877CE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>Strošek ravnanja z odpadki</w:t>
            </w:r>
            <w:r w:rsidR="008C5935"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 xml:space="preserve"> z DDV (2019)</w:t>
            </w:r>
          </w:p>
        </w:tc>
        <w:tc>
          <w:tcPr>
            <w:tcW w:w="1539" w:type="dxa"/>
            <w:tcBorders>
              <w:top w:val="single" w:sz="4" w:space="0" w:color="BDD6EE" w:themeColor="accent1" w:themeTint="66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6A63474" w14:textId="300C96A1" w:rsidR="00877CE8" w:rsidRDefault="00877CE8" w:rsidP="00877CE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>Mesečni strošek</w:t>
            </w:r>
            <w:r w:rsidR="00E579B2"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 xml:space="preserve"> CELOTNE POLOŽNICE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 xml:space="preserve"> pred spremembo-z DDV</w:t>
            </w:r>
            <w:r w:rsidRPr="00137829"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 xml:space="preserve"> (2019)</w:t>
            </w:r>
          </w:p>
        </w:tc>
        <w:tc>
          <w:tcPr>
            <w:tcW w:w="1452" w:type="dxa"/>
            <w:tcBorders>
              <w:top w:val="single" w:sz="4" w:space="0" w:color="BDD6EE" w:themeColor="accent1" w:themeTint="66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0C022E56" w14:textId="16E0E33A" w:rsidR="00877CE8" w:rsidRPr="002353A0" w:rsidRDefault="00E579B2" w:rsidP="00877CE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>Mesečni strošek CELOTNE POLOŽNICE po spremembi-z DDV</w:t>
            </w:r>
            <w:r w:rsidRPr="00137829"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 xml:space="preserve"> (20</w:t>
            </w:r>
            <w:r w:rsidR="001F7506"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>20</w:t>
            </w:r>
            <w:r w:rsidRPr="00137829"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>)</w:t>
            </w:r>
          </w:p>
        </w:tc>
        <w:tc>
          <w:tcPr>
            <w:tcW w:w="925" w:type="dxa"/>
            <w:tcBorders>
              <w:top w:val="single" w:sz="4" w:space="0" w:color="BDD6EE" w:themeColor="accent1" w:themeTint="66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05CCC9" w14:textId="77777777" w:rsidR="00E579B2" w:rsidRDefault="00877CE8" w:rsidP="00877CE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</w:pPr>
            <w:r w:rsidRPr="002353A0"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>Indeks</w:t>
            </w:r>
            <w:r w:rsidRPr="001D34FB"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 xml:space="preserve"> (2020/</w:t>
            </w:r>
          </w:p>
          <w:p w14:paraId="1BB19D07" w14:textId="58F4A90A" w:rsidR="00877CE8" w:rsidRDefault="00877CE8" w:rsidP="00877CE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</w:pPr>
            <w:r w:rsidRPr="001D34FB"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>2019)</w:t>
            </w:r>
          </w:p>
        </w:tc>
        <w:tc>
          <w:tcPr>
            <w:tcW w:w="1045" w:type="dxa"/>
            <w:tcBorders>
              <w:top w:val="single" w:sz="4" w:space="0" w:color="BDD6EE" w:themeColor="accent1" w:themeTint="66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A3B7CBF" w14:textId="77777777" w:rsidR="00877CE8" w:rsidRDefault="00877CE8" w:rsidP="00877CE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>Mesečna razlika na položnico</w:t>
            </w:r>
          </w:p>
          <w:p w14:paraId="7C6AF0AA" w14:textId="172D86A7" w:rsidR="00877CE8" w:rsidRPr="002353A0" w:rsidRDefault="00877CE8" w:rsidP="00877CE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>(z DDV)</w:t>
            </w:r>
          </w:p>
        </w:tc>
        <w:tc>
          <w:tcPr>
            <w:tcW w:w="993" w:type="dxa"/>
            <w:tcBorders>
              <w:top w:val="single" w:sz="4" w:space="0" w:color="BDD6EE" w:themeColor="accent1" w:themeTint="66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5B6DD556" w14:textId="77777777" w:rsidR="00877CE8" w:rsidRDefault="00877CE8" w:rsidP="00877CE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</w:pPr>
            <w:r w:rsidRPr="00EE1340"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 xml:space="preserve">Mesečna razlika na osebo </w:t>
            </w:r>
          </w:p>
          <w:p w14:paraId="622B29F8" w14:textId="1F9E1996" w:rsidR="00877CE8" w:rsidRPr="00EE1340" w:rsidRDefault="00877CE8" w:rsidP="00877CE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</w:pPr>
            <w:r w:rsidRPr="00EE1340">
              <w:rPr>
                <w:rFonts w:ascii="Calibri" w:eastAsia="Times New Roman" w:hAnsi="Calibri" w:cs="Times New Roman"/>
                <w:b/>
                <w:bCs/>
                <w:sz w:val="20"/>
                <w:lang w:eastAsia="sl-SI"/>
              </w:rPr>
              <w:t>(z DDV)</w:t>
            </w:r>
          </w:p>
        </w:tc>
      </w:tr>
      <w:tr w:rsidR="00EB41E6" w:rsidRPr="002353A0" w14:paraId="66C512E3" w14:textId="77777777" w:rsidTr="008B5818">
        <w:trPr>
          <w:trHeight w:val="298"/>
        </w:trPr>
        <w:tc>
          <w:tcPr>
            <w:tcW w:w="221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F5134" w14:textId="77777777" w:rsidR="00EB41E6" w:rsidRPr="002353A0" w:rsidRDefault="00EB41E6" w:rsidP="00EB41E6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2353A0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dotted" w:sz="4" w:space="0" w:color="BDD6EE" w:themeColor="accent1" w:themeTint="66"/>
            </w:tcBorders>
            <w:shd w:val="clear" w:color="auto" w:fill="auto"/>
            <w:noWrap/>
            <w:vAlign w:val="center"/>
            <w:hideMark/>
          </w:tcPr>
          <w:p w14:paraId="790B2116" w14:textId="77777777" w:rsidR="00EB41E6" w:rsidRPr="00BA47BA" w:rsidRDefault="00EB41E6" w:rsidP="00EB41E6">
            <w:pPr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BA47BA">
              <w:rPr>
                <w:rFonts w:ascii="Calibri" w:eastAsia="Times New Roman" w:hAnsi="Calibri" w:cs="Times New Roman"/>
                <w:sz w:val="20"/>
                <w:lang w:eastAsia="sl-SI"/>
              </w:rPr>
              <w:t>4-člansko gospodinjstvo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014A18" w14:textId="1EFDE0C5" w:rsidR="00EB41E6" w:rsidRPr="00B5723F" w:rsidRDefault="00EB41E6" w:rsidP="00EB41E6">
            <w:pPr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hAnsi="Calibri"/>
                <w:sz w:val="20"/>
                <w:szCs w:val="20"/>
              </w:rPr>
              <w:t>26,93 €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14:paraId="15813F7C" w14:textId="7D660CEB" w:rsidR="00EB41E6" w:rsidRDefault="00EB41E6" w:rsidP="00EB41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60,12 €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84535C" w14:textId="75046EBB" w:rsidR="00EB41E6" w:rsidRPr="00B5723F" w:rsidRDefault="00EB41E6" w:rsidP="00EB41E6">
            <w:pPr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hAnsi="Calibri"/>
                <w:sz w:val="20"/>
                <w:szCs w:val="20"/>
              </w:rPr>
              <w:t>62,65 €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072E5E7" w14:textId="71A01271" w:rsidR="00EB41E6" w:rsidRDefault="00EB41E6" w:rsidP="00EB41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1,04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12EA9727" w14:textId="24F06D6B" w:rsidR="00EB41E6" w:rsidRPr="00B5723F" w:rsidRDefault="00EB41E6" w:rsidP="00EB41E6">
            <w:pPr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hAnsi="Calibri"/>
                <w:sz w:val="20"/>
                <w:szCs w:val="20"/>
              </w:rPr>
              <w:t>2,52 €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CB56A8A" w14:textId="36A258CB" w:rsidR="00EB41E6" w:rsidRPr="00EE1340" w:rsidRDefault="00EB41E6" w:rsidP="00EB41E6">
            <w:pPr>
              <w:jc w:val="center"/>
              <w:rPr>
                <w:rFonts w:ascii="Calibri" w:eastAsia="Times New Roman" w:hAnsi="Calibri" w:cs="Times New Roman"/>
                <w:b/>
                <w:sz w:val="22"/>
                <w:lang w:eastAsia="sl-SI"/>
              </w:rPr>
            </w:pPr>
            <w:r>
              <w:rPr>
                <w:rFonts w:ascii="Calibri" w:hAnsi="Calibri"/>
                <w:sz w:val="20"/>
                <w:szCs w:val="20"/>
              </w:rPr>
              <w:t>0,63 €</w:t>
            </w:r>
          </w:p>
        </w:tc>
      </w:tr>
      <w:tr w:rsidR="00EB41E6" w:rsidRPr="002353A0" w14:paraId="622B6808" w14:textId="77777777" w:rsidTr="008B5818">
        <w:trPr>
          <w:trHeight w:val="298"/>
        </w:trPr>
        <w:tc>
          <w:tcPr>
            <w:tcW w:w="22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7277BE" w14:textId="77777777" w:rsidR="00EB41E6" w:rsidRPr="002353A0" w:rsidRDefault="00EB41E6" w:rsidP="00EB41E6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2353A0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1977" w:type="dxa"/>
            <w:tcBorders>
              <w:top w:val="dotted" w:sz="4" w:space="0" w:color="BDD6EE" w:themeColor="accent1" w:themeTint="66"/>
              <w:left w:val="nil"/>
              <w:bottom w:val="dotted" w:sz="4" w:space="0" w:color="BDD6EE" w:themeColor="accent1" w:themeTint="66"/>
            </w:tcBorders>
            <w:shd w:val="clear" w:color="auto" w:fill="auto"/>
            <w:noWrap/>
            <w:vAlign w:val="center"/>
            <w:hideMark/>
          </w:tcPr>
          <w:p w14:paraId="0F686F5F" w14:textId="77777777" w:rsidR="00EB41E6" w:rsidRPr="00BA47BA" w:rsidRDefault="00EB41E6" w:rsidP="00EB41E6">
            <w:pPr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BA47BA">
              <w:rPr>
                <w:rFonts w:ascii="Calibri" w:eastAsia="Times New Roman" w:hAnsi="Calibri" w:cs="Times New Roman"/>
                <w:sz w:val="20"/>
                <w:lang w:eastAsia="sl-SI"/>
              </w:rPr>
              <w:t>3-člansko gospodinjstvo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4853D98" w14:textId="0CA4B96A" w:rsidR="00EB41E6" w:rsidRPr="00B5723F" w:rsidRDefault="00EB41E6" w:rsidP="00EB41E6">
            <w:pPr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hAnsi="Calibri"/>
                <w:sz w:val="20"/>
                <w:szCs w:val="20"/>
              </w:rPr>
              <w:t>20,20 €</w:t>
            </w:r>
          </w:p>
        </w:tc>
        <w:tc>
          <w:tcPr>
            <w:tcW w:w="1539" w:type="dxa"/>
            <w:vAlign w:val="center"/>
          </w:tcPr>
          <w:p w14:paraId="12B9C89D" w14:textId="4F0A7E98" w:rsidR="00EB41E6" w:rsidRDefault="00EB41E6" w:rsidP="00EB41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47,59 €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14:paraId="7698BEE4" w14:textId="2E4E4D9B" w:rsidR="00EB41E6" w:rsidRPr="00B5723F" w:rsidRDefault="00EB41E6" w:rsidP="00EB41E6">
            <w:pPr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hAnsi="Calibri"/>
                <w:sz w:val="20"/>
                <w:szCs w:val="20"/>
              </w:rPr>
              <w:t>49,68 €</w:t>
            </w:r>
          </w:p>
        </w:tc>
        <w:tc>
          <w:tcPr>
            <w:tcW w:w="925" w:type="dxa"/>
            <w:shd w:val="clear" w:color="auto" w:fill="DEEAF6" w:themeFill="accent1" w:themeFillTint="33"/>
            <w:vAlign w:val="center"/>
          </w:tcPr>
          <w:p w14:paraId="1E2DA405" w14:textId="5617D7AA" w:rsidR="00EB41E6" w:rsidRDefault="00EB41E6" w:rsidP="00EB41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1,04</w:t>
            </w:r>
          </w:p>
        </w:tc>
        <w:tc>
          <w:tcPr>
            <w:tcW w:w="1045" w:type="dxa"/>
            <w:vAlign w:val="center"/>
          </w:tcPr>
          <w:p w14:paraId="57FA178D" w14:textId="6BB97E54" w:rsidR="00EB41E6" w:rsidRPr="00B5723F" w:rsidRDefault="00EB41E6" w:rsidP="00EB41E6">
            <w:pPr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hAnsi="Calibri"/>
                <w:sz w:val="20"/>
                <w:szCs w:val="20"/>
              </w:rPr>
              <w:t>2,09 €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30665DDB" w14:textId="46305A18" w:rsidR="00EB41E6" w:rsidRPr="00EE1340" w:rsidRDefault="00EB41E6" w:rsidP="00EB41E6">
            <w:pPr>
              <w:jc w:val="center"/>
              <w:rPr>
                <w:rFonts w:ascii="Calibri" w:eastAsia="Times New Roman" w:hAnsi="Calibri" w:cs="Times New Roman"/>
                <w:b/>
                <w:sz w:val="22"/>
                <w:lang w:eastAsia="sl-SI"/>
              </w:rPr>
            </w:pPr>
            <w:r>
              <w:rPr>
                <w:rFonts w:ascii="Calibri" w:hAnsi="Calibri"/>
                <w:sz w:val="20"/>
                <w:szCs w:val="20"/>
              </w:rPr>
              <w:t>0,70 €</w:t>
            </w:r>
          </w:p>
        </w:tc>
      </w:tr>
      <w:tr w:rsidR="00EB41E6" w:rsidRPr="002353A0" w14:paraId="541C6869" w14:textId="77777777" w:rsidTr="008B5818">
        <w:trPr>
          <w:trHeight w:val="298"/>
        </w:trPr>
        <w:tc>
          <w:tcPr>
            <w:tcW w:w="22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42F411" w14:textId="77777777" w:rsidR="00EB41E6" w:rsidRPr="002353A0" w:rsidRDefault="00EB41E6" w:rsidP="00EB41E6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2353A0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  <w:tc>
          <w:tcPr>
            <w:tcW w:w="1977" w:type="dxa"/>
            <w:tcBorders>
              <w:top w:val="dotted" w:sz="4" w:space="0" w:color="BDD6EE" w:themeColor="accent1" w:themeTint="66"/>
              <w:left w:val="nil"/>
              <w:bottom w:val="dotted" w:sz="4" w:space="0" w:color="BDD6EE" w:themeColor="accent1" w:themeTint="66"/>
            </w:tcBorders>
            <w:shd w:val="clear" w:color="auto" w:fill="auto"/>
            <w:noWrap/>
            <w:vAlign w:val="center"/>
            <w:hideMark/>
          </w:tcPr>
          <w:p w14:paraId="4199FF00" w14:textId="77777777" w:rsidR="00EB41E6" w:rsidRPr="00BA47BA" w:rsidRDefault="00EB41E6" w:rsidP="00EB41E6">
            <w:pPr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BA47BA">
              <w:rPr>
                <w:rFonts w:ascii="Calibri" w:eastAsia="Times New Roman" w:hAnsi="Calibri" w:cs="Times New Roman"/>
                <w:sz w:val="20"/>
                <w:lang w:eastAsia="sl-SI"/>
              </w:rPr>
              <w:t>2-člansko gospodinjstvo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4BD88023" w14:textId="2669D4CD" w:rsidR="00EB41E6" w:rsidRPr="00B5723F" w:rsidRDefault="00EB41E6" w:rsidP="00EB41E6">
            <w:pPr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hAnsi="Calibri"/>
                <w:sz w:val="20"/>
                <w:szCs w:val="20"/>
              </w:rPr>
              <w:t>13,47 €</w:t>
            </w:r>
          </w:p>
        </w:tc>
        <w:tc>
          <w:tcPr>
            <w:tcW w:w="1539" w:type="dxa"/>
            <w:vAlign w:val="center"/>
          </w:tcPr>
          <w:p w14:paraId="4D4B132F" w14:textId="60A7645C" w:rsidR="00EB41E6" w:rsidRDefault="00EB41E6" w:rsidP="00EB41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35,05 €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14:paraId="4BB89016" w14:textId="44339211" w:rsidR="00EB41E6" w:rsidRPr="00B5723F" w:rsidRDefault="00EB41E6" w:rsidP="00EB41E6">
            <w:pPr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hAnsi="Calibri"/>
                <w:sz w:val="20"/>
                <w:szCs w:val="20"/>
              </w:rPr>
              <w:t>36,71 €</w:t>
            </w:r>
          </w:p>
        </w:tc>
        <w:tc>
          <w:tcPr>
            <w:tcW w:w="925" w:type="dxa"/>
            <w:shd w:val="clear" w:color="auto" w:fill="DEEAF6" w:themeFill="accent1" w:themeFillTint="33"/>
            <w:vAlign w:val="center"/>
          </w:tcPr>
          <w:p w14:paraId="7D426CB8" w14:textId="15C7D41A" w:rsidR="00EB41E6" w:rsidRDefault="00EB41E6" w:rsidP="00EB41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1,04</w:t>
            </w:r>
          </w:p>
        </w:tc>
        <w:tc>
          <w:tcPr>
            <w:tcW w:w="1045" w:type="dxa"/>
            <w:vAlign w:val="center"/>
          </w:tcPr>
          <w:p w14:paraId="7851BF76" w14:textId="2E209701" w:rsidR="00EB41E6" w:rsidRPr="00B5723F" w:rsidRDefault="00EB41E6" w:rsidP="00EB41E6">
            <w:pPr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hAnsi="Calibri"/>
                <w:sz w:val="20"/>
                <w:szCs w:val="20"/>
              </w:rPr>
              <w:t>1,65 €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732B02EE" w14:textId="334DC5A0" w:rsidR="00EB41E6" w:rsidRPr="00EE1340" w:rsidRDefault="00EB41E6" w:rsidP="00EB41E6">
            <w:pPr>
              <w:jc w:val="center"/>
              <w:rPr>
                <w:rFonts w:ascii="Calibri" w:eastAsia="Times New Roman" w:hAnsi="Calibri" w:cs="Times New Roman"/>
                <w:b/>
                <w:sz w:val="22"/>
                <w:lang w:eastAsia="sl-SI"/>
              </w:rPr>
            </w:pPr>
            <w:r>
              <w:rPr>
                <w:rFonts w:ascii="Calibri" w:hAnsi="Calibri"/>
                <w:sz w:val="20"/>
                <w:szCs w:val="20"/>
              </w:rPr>
              <w:t>0,83 €</w:t>
            </w:r>
          </w:p>
        </w:tc>
      </w:tr>
      <w:tr w:rsidR="00EB41E6" w:rsidRPr="002353A0" w14:paraId="61D94140" w14:textId="77777777" w:rsidTr="008B5818">
        <w:trPr>
          <w:trHeight w:val="298"/>
        </w:trPr>
        <w:tc>
          <w:tcPr>
            <w:tcW w:w="221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0DE5909" w14:textId="77777777" w:rsidR="00EB41E6" w:rsidRPr="002353A0" w:rsidRDefault="00EB41E6" w:rsidP="00EB41E6">
            <w:pPr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1977" w:type="dxa"/>
            <w:tcBorders>
              <w:top w:val="dotted" w:sz="4" w:space="0" w:color="BDD6EE" w:themeColor="accent1" w:themeTint="66"/>
              <w:left w:val="nil"/>
              <w:bottom w:val="single" w:sz="4" w:space="0" w:color="BDD6EE" w:themeColor="accent1" w:themeTint="66"/>
            </w:tcBorders>
            <w:shd w:val="clear" w:color="auto" w:fill="auto"/>
            <w:noWrap/>
            <w:vAlign w:val="center"/>
          </w:tcPr>
          <w:p w14:paraId="4D0AA6C1" w14:textId="77777777" w:rsidR="00EB41E6" w:rsidRPr="00BA47BA" w:rsidRDefault="00EB41E6" w:rsidP="00EB41E6">
            <w:pPr>
              <w:rPr>
                <w:rFonts w:ascii="Calibri" w:eastAsia="Times New Roman" w:hAnsi="Calibri" w:cs="Times New Roman"/>
                <w:sz w:val="20"/>
                <w:lang w:eastAsia="sl-SI"/>
              </w:rPr>
            </w:pPr>
            <w:r w:rsidRPr="00BA47BA">
              <w:rPr>
                <w:rFonts w:ascii="Calibri" w:eastAsia="Times New Roman" w:hAnsi="Calibri" w:cs="Times New Roman"/>
                <w:sz w:val="20"/>
                <w:lang w:eastAsia="sl-SI"/>
              </w:rPr>
              <w:t>1-člansko gospodinjstvo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CAC16F3" w14:textId="45158647" w:rsidR="00EB41E6" w:rsidRPr="00B5723F" w:rsidRDefault="00EB41E6" w:rsidP="00EB41E6">
            <w:pPr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hAnsi="Calibri"/>
                <w:sz w:val="20"/>
                <w:szCs w:val="20"/>
              </w:rPr>
              <w:t>6,73 €</w:t>
            </w:r>
          </w:p>
        </w:tc>
        <w:tc>
          <w:tcPr>
            <w:tcW w:w="1539" w:type="dxa"/>
            <w:vAlign w:val="center"/>
          </w:tcPr>
          <w:p w14:paraId="19F97554" w14:textId="10C200C8" w:rsidR="00EB41E6" w:rsidRDefault="00EB41E6" w:rsidP="00EB41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22,51 €</w:t>
            </w:r>
          </w:p>
        </w:tc>
        <w:tc>
          <w:tcPr>
            <w:tcW w:w="1452" w:type="dxa"/>
            <w:shd w:val="clear" w:color="auto" w:fill="auto"/>
            <w:noWrap/>
            <w:vAlign w:val="center"/>
          </w:tcPr>
          <w:p w14:paraId="60F94423" w14:textId="5E8D4249" w:rsidR="00EB41E6" w:rsidRPr="00B5723F" w:rsidRDefault="00EB41E6" w:rsidP="00EB41E6">
            <w:pPr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hAnsi="Calibri"/>
                <w:sz w:val="20"/>
                <w:szCs w:val="20"/>
              </w:rPr>
              <w:t>23,73 €</w:t>
            </w:r>
          </w:p>
        </w:tc>
        <w:tc>
          <w:tcPr>
            <w:tcW w:w="925" w:type="dxa"/>
            <w:shd w:val="clear" w:color="auto" w:fill="DEEAF6" w:themeFill="accent1" w:themeFillTint="33"/>
            <w:vAlign w:val="center"/>
          </w:tcPr>
          <w:p w14:paraId="0B28C77B" w14:textId="0FF4E939" w:rsidR="00EB41E6" w:rsidRDefault="00EB41E6" w:rsidP="00EB41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1,05</w:t>
            </w:r>
          </w:p>
        </w:tc>
        <w:tc>
          <w:tcPr>
            <w:tcW w:w="1045" w:type="dxa"/>
            <w:vAlign w:val="center"/>
          </w:tcPr>
          <w:p w14:paraId="36796BA9" w14:textId="41A3E5E1" w:rsidR="00EB41E6" w:rsidRPr="00B5723F" w:rsidRDefault="00EB41E6" w:rsidP="00EB41E6">
            <w:pPr>
              <w:jc w:val="center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>
              <w:rPr>
                <w:rFonts w:ascii="Calibri" w:hAnsi="Calibri"/>
                <w:sz w:val="20"/>
                <w:szCs w:val="20"/>
              </w:rPr>
              <w:t>1,22 €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6B241227" w14:textId="47B6CF17" w:rsidR="00EB41E6" w:rsidRPr="00EE1340" w:rsidRDefault="00EB41E6" w:rsidP="00EB41E6">
            <w:pPr>
              <w:jc w:val="center"/>
              <w:rPr>
                <w:rFonts w:ascii="Calibri" w:eastAsia="Times New Roman" w:hAnsi="Calibri" w:cs="Times New Roman"/>
                <w:b/>
                <w:sz w:val="22"/>
                <w:lang w:eastAsia="sl-SI"/>
              </w:rPr>
            </w:pPr>
            <w:r>
              <w:rPr>
                <w:rFonts w:ascii="Calibri" w:hAnsi="Calibri"/>
                <w:sz w:val="20"/>
                <w:szCs w:val="20"/>
              </w:rPr>
              <w:t>1,22 €</w:t>
            </w:r>
          </w:p>
        </w:tc>
      </w:tr>
    </w:tbl>
    <w:p w14:paraId="409E9263" w14:textId="1E62C951" w:rsidR="000C2633" w:rsidRDefault="000C2633" w:rsidP="00F43454"/>
    <w:p w14:paraId="4ED1EABD" w14:textId="662724FB" w:rsidR="000C2633" w:rsidRDefault="000C2633" w:rsidP="00F43454"/>
    <w:p w14:paraId="06C2A69A" w14:textId="747E0742" w:rsidR="000C2633" w:rsidRDefault="000C2633" w:rsidP="00F43454"/>
    <w:p w14:paraId="590D02BD" w14:textId="632EF136" w:rsidR="00BB4517" w:rsidRDefault="00BB4517" w:rsidP="00BB4517">
      <w:pPr>
        <w:jc w:val="both"/>
      </w:pPr>
      <w:r w:rsidRPr="00B9734A">
        <w:rPr>
          <w:b/>
        </w:rPr>
        <w:t>Z namenom</w:t>
      </w:r>
      <w:r>
        <w:t xml:space="preserve"> zagotavljanja potrebnih finančnih sredstev za izvajanje obveznih gospodarskih javnih služb v skladu z zakonodajo in sprotno zagotavljanje likvidnosti v podjetju, vodstvo podjetja predlaga, da se  potrdijo predlagane cene. </w:t>
      </w:r>
    </w:p>
    <w:p w14:paraId="5CB01792" w14:textId="77777777" w:rsidR="00457DEE" w:rsidRDefault="00457DEE" w:rsidP="00D865FC">
      <w:pPr>
        <w:jc w:val="both"/>
        <w:rPr>
          <w:b/>
        </w:rPr>
      </w:pPr>
    </w:p>
    <w:p w14:paraId="1CBCD48B" w14:textId="133291AB" w:rsidR="00F43EFF" w:rsidRDefault="00F43EFF" w:rsidP="00457DEE">
      <w:pPr>
        <w:tabs>
          <w:tab w:val="left" w:pos="2642"/>
        </w:tabs>
      </w:pPr>
    </w:p>
    <w:p w14:paraId="160B174E" w14:textId="4289B811" w:rsidR="00F43EFF" w:rsidRDefault="00F43EFF" w:rsidP="00457DEE">
      <w:pPr>
        <w:tabs>
          <w:tab w:val="left" w:pos="2642"/>
        </w:tabs>
      </w:pPr>
    </w:p>
    <w:p w14:paraId="38674EE0" w14:textId="6E49B406" w:rsidR="00F43EFF" w:rsidRDefault="00F43EFF" w:rsidP="00457DEE">
      <w:pPr>
        <w:tabs>
          <w:tab w:val="left" w:pos="2642"/>
        </w:tabs>
      </w:pPr>
    </w:p>
    <w:p w14:paraId="037BC4C7" w14:textId="4DC8F1C2" w:rsidR="007F104A" w:rsidRDefault="007F104A" w:rsidP="0070395C"/>
    <w:tbl>
      <w:tblPr>
        <w:tblStyle w:val="Tabelasvetlamrea1poudarek1"/>
        <w:tblW w:w="9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738"/>
      </w:tblGrid>
      <w:tr w:rsidR="00240835" w:rsidRPr="00863B71" w14:paraId="17CC6F54" w14:textId="77777777" w:rsidTr="008A1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  <w:tcBorders>
              <w:bottom w:val="none" w:sz="0" w:space="0" w:color="auto"/>
            </w:tcBorders>
          </w:tcPr>
          <w:p w14:paraId="34BA4C84" w14:textId="377297B7" w:rsidR="00240835" w:rsidRPr="00863B71" w:rsidRDefault="00992B4F" w:rsidP="00992B4F">
            <w:pPr>
              <w:tabs>
                <w:tab w:val="left" w:pos="1140"/>
              </w:tabs>
              <w:rPr>
                <w:b w:val="0"/>
              </w:rPr>
            </w:pPr>
            <w:r>
              <w:rPr>
                <w:b w:val="0"/>
              </w:rPr>
              <w:tab/>
            </w:r>
          </w:p>
        </w:tc>
        <w:tc>
          <w:tcPr>
            <w:tcW w:w="4738" w:type="dxa"/>
            <w:tcBorders>
              <w:bottom w:val="none" w:sz="0" w:space="0" w:color="auto"/>
            </w:tcBorders>
          </w:tcPr>
          <w:p w14:paraId="6F92E5D7" w14:textId="0F548A5C" w:rsidR="00240835" w:rsidRDefault="00240835" w:rsidP="006471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63B71">
              <w:rPr>
                <w:b w:val="0"/>
              </w:rPr>
              <w:t>JKP Ravne na Koroškem d.o.o.</w:t>
            </w:r>
          </w:p>
          <w:p w14:paraId="71886CD4" w14:textId="593CFF36" w:rsidR="000F5FEC" w:rsidRDefault="000F5FEC" w:rsidP="006471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Direktorica:</w:t>
            </w:r>
          </w:p>
          <w:p w14:paraId="0B92BF95" w14:textId="206C3395" w:rsidR="00240835" w:rsidRPr="00863B71" w:rsidRDefault="000F5FEC" w:rsidP="008A1E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mag. Andreja Jehart </w:t>
            </w:r>
          </w:p>
        </w:tc>
      </w:tr>
    </w:tbl>
    <w:p w14:paraId="18D7A5D6" w14:textId="52679D90" w:rsidR="009D61E0" w:rsidRDefault="009D61E0" w:rsidP="00182D88"/>
    <w:sectPr w:rsidR="009D61E0" w:rsidSect="00992B4F">
      <w:headerReference w:type="default" r:id="rId8"/>
      <w:footerReference w:type="default" r:id="rId9"/>
      <w:type w:val="continuous"/>
      <w:pgSz w:w="11906" w:h="16838"/>
      <w:pgMar w:top="586" w:right="1134" w:bottom="993" w:left="1134" w:header="535" w:footer="155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4752E" w14:textId="77777777" w:rsidR="000A0A99" w:rsidRDefault="000A0A99" w:rsidP="007E28A5">
      <w:r>
        <w:separator/>
      </w:r>
    </w:p>
  </w:endnote>
  <w:endnote w:type="continuationSeparator" w:id="0">
    <w:p w14:paraId="39B461BD" w14:textId="77777777" w:rsidR="000A0A99" w:rsidRDefault="000A0A99" w:rsidP="007E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A668A" w14:textId="77777777" w:rsidR="00723F72" w:rsidRDefault="00B27E50" w:rsidP="00B27E50">
    <w:pPr>
      <w:pBdr>
        <w:top w:val="dotted" w:sz="4" w:space="1" w:color="auto"/>
      </w:pBdr>
      <w:tabs>
        <w:tab w:val="center" w:pos="3685"/>
      </w:tabs>
      <w:jc w:val="both"/>
      <w:rPr>
        <w:sz w:val="14"/>
      </w:rPr>
    </w:pPr>
    <w:r w:rsidRPr="006901F0">
      <w:rPr>
        <w:sz w:val="14"/>
      </w:rPr>
      <w:t>Vpis v sodni register: Okrožno sodišče v Slovenj Gradcu, pod</w:t>
    </w:r>
    <w:r w:rsidR="00723F72">
      <w:rPr>
        <w:sz w:val="14"/>
      </w:rPr>
      <w:t xml:space="preserve"> vložno</w:t>
    </w:r>
    <w:r w:rsidRPr="006901F0">
      <w:rPr>
        <w:sz w:val="14"/>
      </w:rPr>
      <w:t xml:space="preserve">  </w:t>
    </w:r>
    <w:r w:rsidRPr="002B1DEC">
      <w:rPr>
        <w:sz w:val="14"/>
      </w:rPr>
      <w:t xml:space="preserve">številko </w:t>
    </w:r>
    <w:proofErr w:type="spellStart"/>
    <w:r w:rsidRPr="002B1DEC">
      <w:rPr>
        <w:sz w:val="14"/>
      </w:rPr>
      <w:t>Srg</w:t>
    </w:r>
    <w:proofErr w:type="spellEnd"/>
    <w:r w:rsidRPr="002B1DEC">
      <w:rPr>
        <w:sz w:val="14"/>
      </w:rPr>
      <w:t xml:space="preserve"> 2016/54179, </w:t>
    </w:r>
    <w:r w:rsidRPr="006901F0">
      <w:rPr>
        <w:sz w:val="14"/>
      </w:rPr>
      <w:t xml:space="preserve">matična številka: 7197187000, osnovni kapital: 100.000,00 EUR, </w:t>
    </w:r>
  </w:p>
  <w:p w14:paraId="0D7CA7CF" w14:textId="77777777" w:rsidR="00B27E50" w:rsidRPr="006901F0" w:rsidRDefault="00B27E50" w:rsidP="00B27E50">
    <w:pPr>
      <w:pBdr>
        <w:top w:val="dotted" w:sz="4" w:space="1" w:color="auto"/>
      </w:pBdr>
      <w:tabs>
        <w:tab w:val="center" w:pos="3685"/>
      </w:tabs>
      <w:jc w:val="both"/>
      <w:rPr>
        <w:rFonts w:cs="Aharoni"/>
        <w:sz w:val="14"/>
        <w:szCs w:val="16"/>
        <w:u w:val="single"/>
      </w:rPr>
    </w:pPr>
    <w:r w:rsidRPr="006901F0">
      <w:rPr>
        <w:sz w:val="14"/>
      </w:rPr>
      <w:t>ID za DDV:</w:t>
    </w:r>
    <w:r w:rsidRPr="006901F0">
      <w:rPr>
        <w:color w:val="FF0000"/>
        <w:sz w:val="14"/>
      </w:rPr>
      <w:t xml:space="preserve"> </w:t>
    </w:r>
    <w:r w:rsidRPr="002B1DEC">
      <w:rPr>
        <w:sz w:val="14"/>
      </w:rPr>
      <w:t>SI20356846</w:t>
    </w:r>
    <w:r w:rsidRPr="006901F0">
      <w:rPr>
        <w:sz w:val="14"/>
      </w:rPr>
      <w:t>, TRR: 35001-0001374402 pri BKS Bank AG</w:t>
    </w:r>
  </w:p>
  <w:p w14:paraId="023E645A" w14:textId="77777777" w:rsidR="001B0691" w:rsidRPr="00A251CD" w:rsidRDefault="001B0691" w:rsidP="00B27E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7491F" w14:textId="77777777" w:rsidR="000A0A99" w:rsidRDefault="000A0A99" w:rsidP="007E28A5">
      <w:r>
        <w:separator/>
      </w:r>
    </w:p>
  </w:footnote>
  <w:footnote w:type="continuationSeparator" w:id="0">
    <w:p w14:paraId="284B07E3" w14:textId="77777777" w:rsidR="000A0A99" w:rsidRDefault="000A0A99" w:rsidP="007E2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vetlosenenjepoudarek1"/>
      <w:tblW w:w="9803" w:type="dxa"/>
      <w:tblBorders>
        <w:top w:val="none" w:sz="0" w:space="0" w:color="auto"/>
        <w:bottom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2410"/>
      <w:gridCol w:w="3707"/>
    </w:tblGrid>
    <w:tr w:rsidR="00097F29" w:rsidRPr="0017122D" w14:paraId="7488FF76" w14:textId="77777777" w:rsidTr="005045D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1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</w:tcPr>
        <w:p w14:paraId="18889347" w14:textId="77777777" w:rsidR="00097F29" w:rsidRDefault="00097F29" w:rsidP="00E908FB">
          <w:pPr>
            <w:jc w:val="left"/>
            <w:rPr>
              <w:b w:val="0"/>
              <w:color w:val="0070C0"/>
              <w:sz w:val="18"/>
            </w:rPr>
          </w:pPr>
          <w:r w:rsidRPr="0017122D">
            <w:rPr>
              <w:noProof/>
              <w:color w:val="0070C0"/>
              <w:sz w:val="18"/>
              <w:lang w:eastAsia="sl-SI"/>
            </w:rPr>
            <w:drawing>
              <wp:inline distT="0" distB="0" distL="0" distR="0" wp14:anchorId="008A3ED0" wp14:editId="5298548E">
                <wp:extent cx="1638300" cy="575050"/>
                <wp:effectExtent l="19050" t="0" r="0" b="0"/>
                <wp:docPr id="25" name="Slika 4" descr="logoJKP_prima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JKP_primarni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007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A86D1AD" w14:textId="77777777" w:rsidR="00097F29" w:rsidRPr="0017122D" w:rsidRDefault="00097F29" w:rsidP="00E908FB">
          <w:pPr>
            <w:jc w:val="left"/>
            <w:rPr>
              <w:b w:val="0"/>
              <w:color w:val="0070C0"/>
              <w:sz w:val="18"/>
            </w:rPr>
          </w:pPr>
        </w:p>
      </w:tc>
      <w:tc>
        <w:tcPr>
          <w:tcW w:w="241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</w:tcPr>
        <w:p w14:paraId="3126AD3E" w14:textId="77777777" w:rsidR="00097F29" w:rsidRPr="0017122D" w:rsidRDefault="005045DF" w:rsidP="00E908FB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olor w:val="0070C0"/>
              <w:sz w:val="18"/>
            </w:rPr>
          </w:pPr>
          <w:r>
            <w:rPr>
              <w:noProof/>
              <w:color w:val="0070C0"/>
              <w:sz w:val="18"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38F09EC2" wp14:editId="448DE087">
                <wp:simplePos x="0" y="0"/>
                <wp:positionH relativeFrom="column">
                  <wp:posOffset>61595</wp:posOffset>
                </wp:positionH>
                <wp:positionV relativeFrom="paragraph">
                  <wp:posOffset>-139700</wp:posOffset>
                </wp:positionV>
                <wp:extent cx="733425" cy="822048"/>
                <wp:effectExtent l="0" t="0" r="0" b="0"/>
                <wp:wrapNone/>
                <wp:docPr id="26" name="Slika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onitetna ocena JKP RAVNE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709" cy="826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97F29">
            <w:rPr>
              <w:b w:val="0"/>
              <w:noProof/>
              <w:color w:val="0070C0"/>
              <w:sz w:val="18"/>
            </w:rPr>
            <w:t xml:space="preserve">     </w:t>
          </w:r>
        </w:p>
      </w:tc>
      <w:tc>
        <w:tcPr>
          <w:tcW w:w="3707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</w:tcPr>
        <w:p w14:paraId="33D103BC" w14:textId="77777777" w:rsidR="00097F29" w:rsidRPr="00E908FB" w:rsidRDefault="00097F29" w:rsidP="00E908FB">
          <w:pPr>
            <w:jc w:val="lef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olor w:val="auto"/>
              <w:sz w:val="18"/>
              <w:szCs w:val="18"/>
            </w:rPr>
          </w:pPr>
          <w:r>
            <w:rPr>
              <w:noProof/>
              <w:lang w:eastAsia="sl-SI"/>
            </w:rPr>
            <w:drawing>
              <wp:inline distT="0" distB="0" distL="0" distR="0" wp14:anchorId="6D77E466" wp14:editId="2B8205F5">
                <wp:extent cx="2217135" cy="611941"/>
                <wp:effectExtent l="0" t="0" r="0" b="0"/>
                <wp:docPr id="2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ekst.jpg"/>
                        <pic:cNvPicPr/>
                      </pic:nvPicPr>
                      <pic:blipFill>
                        <a:blip r:embed="rId3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3570686" cy="9855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E4C3DD" w14:textId="77777777" w:rsidR="00642805" w:rsidRPr="0053751E" w:rsidRDefault="00642805" w:rsidP="00097F2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F0CAE"/>
    <w:multiLevelType w:val="hybridMultilevel"/>
    <w:tmpl w:val="377015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06A4B"/>
    <w:multiLevelType w:val="hybridMultilevel"/>
    <w:tmpl w:val="073CE7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A1671"/>
    <w:multiLevelType w:val="hybridMultilevel"/>
    <w:tmpl w:val="3E06C7FE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2423B89"/>
    <w:multiLevelType w:val="hybridMultilevel"/>
    <w:tmpl w:val="8CB6C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1337C"/>
    <w:multiLevelType w:val="hybridMultilevel"/>
    <w:tmpl w:val="BC9E6C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61AC1"/>
    <w:multiLevelType w:val="hybridMultilevel"/>
    <w:tmpl w:val="2D625E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705A5"/>
    <w:multiLevelType w:val="hybridMultilevel"/>
    <w:tmpl w:val="938E448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A0E57E9"/>
    <w:multiLevelType w:val="hybridMultilevel"/>
    <w:tmpl w:val="BB80D2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928EF"/>
    <w:multiLevelType w:val="hybridMultilevel"/>
    <w:tmpl w:val="381633D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79"/>
    <w:rsid w:val="00010928"/>
    <w:rsid w:val="000146C9"/>
    <w:rsid w:val="00033B8F"/>
    <w:rsid w:val="00036E5B"/>
    <w:rsid w:val="00051615"/>
    <w:rsid w:val="0005532E"/>
    <w:rsid w:val="00062B3E"/>
    <w:rsid w:val="00090CB1"/>
    <w:rsid w:val="00090DF8"/>
    <w:rsid w:val="000976E0"/>
    <w:rsid w:val="00097F29"/>
    <w:rsid w:val="000A0A99"/>
    <w:rsid w:val="000A2BB0"/>
    <w:rsid w:val="000A3333"/>
    <w:rsid w:val="000A4F14"/>
    <w:rsid w:val="000A67DE"/>
    <w:rsid w:val="000B5007"/>
    <w:rsid w:val="000C0D97"/>
    <w:rsid w:val="000C2633"/>
    <w:rsid w:val="000C29C1"/>
    <w:rsid w:val="000C7D36"/>
    <w:rsid w:val="000D120B"/>
    <w:rsid w:val="000D1F0E"/>
    <w:rsid w:val="000D6EB2"/>
    <w:rsid w:val="000E308E"/>
    <w:rsid w:val="000F4B87"/>
    <w:rsid w:val="000F5FEC"/>
    <w:rsid w:val="000F6CBE"/>
    <w:rsid w:val="001006FA"/>
    <w:rsid w:val="00102554"/>
    <w:rsid w:val="00112007"/>
    <w:rsid w:val="0012181C"/>
    <w:rsid w:val="001268DF"/>
    <w:rsid w:val="00143D5E"/>
    <w:rsid w:val="00145B19"/>
    <w:rsid w:val="00147D08"/>
    <w:rsid w:val="00160E1A"/>
    <w:rsid w:val="0016269F"/>
    <w:rsid w:val="00174723"/>
    <w:rsid w:val="00180D58"/>
    <w:rsid w:val="00182D88"/>
    <w:rsid w:val="00183100"/>
    <w:rsid w:val="001930A5"/>
    <w:rsid w:val="001A0D45"/>
    <w:rsid w:val="001A6510"/>
    <w:rsid w:val="001B0691"/>
    <w:rsid w:val="001C2FB5"/>
    <w:rsid w:val="001E70C8"/>
    <w:rsid w:val="001F7506"/>
    <w:rsid w:val="001F7533"/>
    <w:rsid w:val="00201468"/>
    <w:rsid w:val="002034B7"/>
    <w:rsid w:val="002076E1"/>
    <w:rsid w:val="002134B3"/>
    <w:rsid w:val="00221B0F"/>
    <w:rsid w:val="002226B8"/>
    <w:rsid w:val="00224236"/>
    <w:rsid w:val="002354C6"/>
    <w:rsid w:val="00240835"/>
    <w:rsid w:val="00261540"/>
    <w:rsid w:val="0026414C"/>
    <w:rsid w:val="00264EBF"/>
    <w:rsid w:val="00271B9F"/>
    <w:rsid w:val="002846A3"/>
    <w:rsid w:val="00291802"/>
    <w:rsid w:val="0029203D"/>
    <w:rsid w:val="002A3DED"/>
    <w:rsid w:val="002B1DEC"/>
    <w:rsid w:val="002B5BB5"/>
    <w:rsid w:val="002B69EE"/>
    <w:rsid w:val="002D57C1"/>
    <w:rsid w:val="002F742F"/>
    <w:rsid w:val="00307017"/>
    <w:rsid w:val="003075C0"/>
    <w:rsid w:val="00320900"/>
    <w:rsid w:val="003446D9"/>
    <w:rsid w:val="00354F9F"/>
    <w:rsid w:val="00360AFE"/>
    <w:rsid w:val="00365529"/>
    <w:rsid w:val="00371771"/>
    <w:rsid w:val="0038450C"/>
    <w:rsid w:val="00391B6C"/>
    <w:rsid w:val="00392822"/>
    <w:rsid w:val="00397F9A"/>
    <w:rsid w:val="003A243B"/>
    <w:rsid w:val="003A5CF9"/>
    <w:rsid w:val="003B3031"/>
    <w:rsid w:val="003C50AF"/>
    <w:rsid w:val="003D0957"/>
    <w:rsid w:val="003D2829"/>
    <w:rsid w:val="003D31D8"/>
    <w:rsid w:val="003D5FC5"/>
    <w:rsid w:val="003E6BB9"/>
    <w:rsid w:val="003E743E"/>
    <w:rsid w:val="003F45A8"/>
    <w:rsid w:val="00403B07"/>
    <w:rsid w:val="00413BD7"/>
    <w:rsid w:val="00413BF9"/>
    <w:rsid w:val="004142E2"/>
    <w:rsid w:val="00423F26"/>
    <w:rsid w:val="00432925"/>
    <w:rsid w:val="00444F0A"/>
    <w:rsid w:val="00446006"/>
    <w:rsid w:val="00457DEE"/>
    <w:rsid w:val="00486A86"/>
    <w:rsid w:val="00497D4A"/>
    <w:rsid w:val="004A2BD5"/>
    <w:rsid w:val="004C7CBB"/>
    <w:rsid w:val="004E4D5E"/>
    <w:rsid w:val="004F038D"/>
    <w:rsid w:val="005018B5"/>
    <w:rsid w:val="005045DF"/>
    <w:rsid w:val="00506242"/>
    <w:rsid w:val="0051272E"/>
    <w:rsid w:val="005249F1"/>
    <w:rsid w:val="00530F72"/>
    <w:rsid w:val="0053751E"/>
    <w:rsid w:val="00537DD0"/>
    <w:rsid w:val="00543D0A"/>
    <w:rsid w:val="0055612F"/>
    <w:rsid w:val="00565764"/>
    <w:rsid w:val="00570090"/>
    <w:rsid w:val="0058673A"/>
    <w:rsid w:val="00587AEF"/>
    <w:rsid w:val="00591382"/>
    <w:rsid w:val="00593B6C"/>
    <w:rsid w:val="00594516"/>
    <w:rsid w:val="005B06BC"/>
    <w:rsid w:val="005B1A59"/>
    <w:rsid w:val="005D0D43"/>
    <w:rsid w:val="00626538"/>
    <w:rsid w:val="00630131"/>
    <w:rsid w:val="0063491B"/>
    <w:rsid w:val="00634964"/>
    <w:rsid w:val="00642805"/>
    <w:rsid w:val="00650A56"/>
    <w:rsid w:val="00654003"/>
    <w:rsid w:val="00657597"/>
    <w:rsid w:val="00660928"/>
    <w:rsid w:val="006615BB"/>
    <w:rsid w:val="0066213E"/>
    <w:rsid w:val="006659B7"/>
    <w:rsid w:val="006675C1"/>
    <w:rsid w:val="00675EBE"/>
    <w:rsid w:val="00680E5D"/>
    <w:rsid w:val="0068199E"/>
    <w:rsid w:val="00685A03"/>
    <w:rsid w:val="006901F0"/>
    <w:rsid w:val="0069102B"/>
    <w:rsid w:val="006D5DE6"/>
    <w:rsid w:val="0070036A"/>
    <w:rsid w:val="00701D5C"/>
    <w:rsid w:val="0070395C"/>
    <w:rsid w:val="00706F15"/>
    <w:rsid w:val="0071432E"/>
    <w:rsid w:val="00714921"/>
    <w:rsid w:val="00717904"/>
    <w:rsid w:val="00723F72"/>
    <w:rsid w:val="00735E59"/>
    <w:rsid w:val="00737A5A"/>
    <w:rsid w:val="00747B87"/>
    <w:rsid w:val="007616E3"/>
    <w:rsid w:val="007653EC"/>
    <w:rsid w:val="007838BD"/>
    <w:rsid w:val="007935CB"/>
    <w:rsid w:val="007A1FAD"/>
    <w:rsid w:val="007A3D00"/>
    <w:rsid w:val="007A570B"/>
    <w:rsid w:val="007A5719"/>
    <w:rsid w:val="007B199C"/>
    <w:rsid w:val="007B49C3"/>
    <w:rsid w:val="007D0395"/>
    <w:rsid w:val="007E28A5"/>
    <w:rsid w:val="007E5B05"/>
    <w:rsid w:val="007F0283"/>
    <w:rsid w:val="007F104A"/>
    <w:rsid w:val="007F1F3E"/>
    <w:rsid w:val="00807041"/>
    <w:rsid w:val="00811D91"/>
    <w:rsid w:val="008204C6"/>
    <w:rsid w:val="00837865"/>
    <w:rsid w:val="008420AD"/>
    <w:rsid w:val="00853729"/>
    <w:rsid w:val="0086632F"/>
    <w:rsid w:val="00873641"/>
    <w:rsid w:val="00875807"/>
    <w:rsid w:val="00877CE8"/>
    <w:rsid w:val="00887057"/>
    <w:rsid w:val="00896F93"/>
    <w:rsid w:val="00897B39"/>
    <w:rsid w:val="008A1133"/>
    <w:rsid w:val="008A1E22"/>
    <w:rsid w:val="008B274B"/>
    <w:rsid w:val="008B5818"/>
    <w:rsid w:val="008B6510"/>
    <w:rsid w:val="008C5935"/>
    <w:rsid w:val="008D7158"/>
    <w:rsid w:val="00901E0A"/>
    <w:rsid w:val="009245E2"/>
    <w:rsid w:val="00925C71"/>
    <w:rsid w:val="0093356F"/>
    <w:rsid w:val="00943FA3"/>
    <w:rsid w:val="00977057"/>
    <w:rsid w:val="009777E7"/>
    <w:rsid w:val="009812F9"/>
    <w:rsid w:val="00991612"/>
    <w:rsid w:val="00992B4F"/>
    <w:rsid w:val="009C6D57"/>
    <w:rsid w:val="009D330E"/>
    <w:rsid w:val="009D46C9"/>
    <w:rsid w:val="009D61E0"/>
    <w:rsid w:val="009E4B8E"/>
    <w:rsid w:val="009E651F"/>
    <w:rsid w:val="009F40A3"/>
    <w:rsid w:val="00A07387"/>
    <w:rsid w:val="00A1472E"/>
    <w:rsid w:val="00A427C1"/>
    <w:rsid w:val="00A52E79"/>
    <w:rsid w:val="00A900D8"/>
    <w:rsid w:val="00A904AF"/>
    <w:rsid w:val="00A945B4"/>
    <w:rsid w:val="00AA5860"/>
    <w:rsid w:val="00AC7CB7"/>
    <w:rsid w:val="00AC7F25"/>
    <w:rsid w:val="00AD088F"/>
    <w:rsid w:val="00AD5E94"/>
    <w:rsid w:val="00AE3B6F"/>
    <w:rsid w:val="00AF586A"/>
    <w:rsid w:val="00B0154A"/>
    <w:rsid w:val="00B06AC1"/>
    <w:rsid w:val="00B22664"/>
    <w:rsid w:val="00B252FD"/>
    <w:rsid w:val="00B27E50"/>
    <w:rsid w:val="00B41209"/>
    <w:rsid w:val="00B44018"/>
    <w:rsid w:val="00B465E6"/>
    <w:rsid w:val="00B47ECD"/>
    <w:rsid w:val="00B56AD3"/>
    <w:rsid w:val="00B5723F"/>
    <w:rsid w:val="00B57A09"/>
    <w:rsid w:val="00B60D89"/>
    <w:rsid w:val="00B6623A"/>
    <w:rsid w:val="00B71444"/>
    <w:rsid w:val="00B81BE0"/>
    <w:rsid w:val="00B94D4A"/>
    <w:rsid w:val="00B958BC"/>
    <w:rsid w:val="00BA47BA"/>
    <w:rsid w:val="00BB3953"/>
    <w:rsid w:val="00BB4517"/>
    <w:rsid w:val="00BD19E3"/>
    <w:rsid w:val="00BD47B5"/>
    <w:rsid w:val="00BE187D"/>
    <w:rsid w:val="00C0714A"/>
    <w:rsid w:val="00C105CE"/>
    <w:rsid w:val="00C13F78"/>
    <w:rsid w:val="00C2007D"/>
    <w:rsid w:val="00C24C64"/>
    <w:rsid w:val="00C2792F"/>
    <w:rsid w:val="00C34843"/>
    <w:rsid w:val="00C47F8A"/>
    <w:rsid w:val="00C54CA2"/>
    <w:rsid w:val="00C62E67"/>
    <w:rsid w:val="00C6750E"/>
    <w:rsid w:val="00C76A55"/>
    <w:rsid w:val="00C77468"/>
    <w:rsid w:val="00C86FD5"/>
    <w:rsid w:val="00C94B9A"/>
    <w:rsid w:val="00CA084E"/>
    <w:rsid w:val="00CA1185"/>
    <w:rsid w:val="00CA64EF"/>
    <w:rsid w:val="00CC11E7"/>
    <w:rsid w:val="00CC4129"/>
    <w:rsid w:val="00CD2628"/>
    <w:rsid w:val="00CD5E52"/>
    <w:rsid w:val="00CD7E96"/>
    <w:rsid w:val="00CE4997"/>
    <w:rsid w:val="00D0180D"/>
    <w:rsid w:val="00D202C2"/>
    <w:rsid w:val="00D32D8F"/>
    <w:rsid w:val="00D3346F"/>
    <w:rsid w:val="00D4590C"/>
    <w:rsid w:val="00D5690C"/>
    <w:rsid w:val="00D62013"/>
    <w:rsid w:val="00D75E43"/>
    <w:rsid w:val="00D8107F"/>
    <w:rsid w:val="00D85E2E"/>
    <w:rsid w:val="00D865FC"/>
    <w:rsid w:val="00D87E01"/>
    <w:rsid w:val="00D929CF"/>
    <w:rsid w:val="00DA3676"/>
    <w:rsid w:val="00DA3F4E"/>
    <w:rsid w:val="00DB265E"/>
    <w:rsid w:val="00DB2754"/>
    <w:rsid w:val="00DB29D8"/>
    <w:rsid w:val="00DC0718"/>
    <w:rsid w:val="00DC39A8"/>
    <w:rsid w:val="00DD24E8"/>
    <w:rsid w:val="00DF2E1B"/>
    <w:rsid w:val="00E019E0"/>
    <w:rsid w:val="00E114DA"/>
    <w:rsid w:val="00E20652"/>
    <w:rsid w:val="00E20D2C"/>
    <w:rsid w:val="00E33E2F"/>
    <w:rsid w:val="00E40049"/>
    <w:rsid w:val="00E50A1D"/>
    <w:rsid w:val="00E54C2C"/>
    <w:rsid w:val="00E579B2"/>
    <w:rsid w:val="00E62CD9"/>
    <w:rsid w:val="00E74D37"/>
    <w:rsid w:val="00E75D69"/>
    <w:rsid w:val="00E775E4"/>
    <w:rsid w:val="00E85DEF"/>
    <w:rsid w:val="00E908FB"/>
    <w:rsid w:val="00E95461"/>
    <w:rsid w:val="00EA24B2"/>
    <w:rsid w:val="00EB41E6"/>
    <w:rsid w:val="00ED0030"/>
    <w:rsid w:val="00EE1340"/>
    <w:rsid w:val="00EE3586"/>
    <w:rsid w:val="00EE78F6"/>
    <w:rsid w:val="00F02E0E"/>
    <w:rsid w:val="00F054FB"/>
    <w:rsid w:val="00F16035"/>
    <w:rsid w:val="00F2682D"/>
    <w:rsid w:val="00F43454"/>
    <w:rsid w:val="00F43EFF"/>
    <w:rsid w:val="00F90ADA"/>
    <w:rsid w:val="00F90BC2"/>
    <w:rsid w:val="00F95C65"/>
    <w:rsid w:val="00FA072F"/>
    <w:rsid w:val="00FA3B34"/>
    <w:rsid w:val="00FE6432"/>
    <w:rsid w:val="00FF1628"/>
    <w:rsid w:val="00FF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FF3DE"/>
  <w15:chartTrackingRefBased/>
  <w15:docId w15:val="{9CC3258D-F086-4C9A-A32A-65CFF0AE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75E4"/>
    <w:pPr>
      <w:spacing w:after="0" w:line="240" w:lineRule="auto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E28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E28A5"/>
  </w:style>
  <w:style w:type="paragraph" w:styleId="Noga">
    <w:name w:val="footer"/>
    <w:basedOn w:val="Navaden"/>
    <w:link w:val="NogaZnak"/>
    <w:uiPriority w:val="99"/>
    <w:unhideWhenUsed/>
    <w:rsid w:val="007E28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E28A5"/>
  </w:style>
  <w:style w:type="table" w:styleId="Tabelamrea">
    <w:name w:val="Table Grid"/>
    <w:basedOn w:val="Navadnatabela"/>
    <w:uiPriority w:val="39"/>
    <w:rsid w:val="00634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barvnamrea6poudarek2">
    <w:name w:val="Grid Table 6 Colorful Accent 2"/>
    <w:basedOn w:val="Navadnatabela"/>
    <w:uiPriority w:val="51"/>
    <w:rsid w:val="000976E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1C2"/>
    </w:tc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vetlamrea">
    <w:name w:val="Grid Table Light"/>
    <w:basedOn w:val="Navadnatabela"/>
    <w:uiPriority w:val="40"/>
    <w:rsid w:val="000976E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barvnamrea6">
    <w:name w:val="Grid Table 6 Colorful"/>
    <w:basedOn w:val="Navadnatabela"/>
    <w:uiPriority w:val="51"/>
    <w:rsid w:val="0085372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Navadnatabela1">
    <w:name w:val="Plain Table 1"/>
    <w:basedOn w:val="Navadnatabela"/>
    <w:uiPriority w:val="41"/>
    <w:rsid w:val="008537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1C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povezava">
    <w:name w:val="Hyperlink"/>
    <w:uiPriority w:val="99"/>
    <w:unhideWhenUsed/>
    <w:rsid w:val="001B069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B0691"/>
    <w:rPr>
      <w:color w:val="954F72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320900"/>
    <w:rPr>
      <w:color w:val="808080"/>
    </w:rPr>
  </w:style>
  <w:style w:type="table" w:styleId="Tabelasvetlamrea1poudarek1">
    <w:name w:val="Grid Table 1 Light Accent 1"/>
    <w:basedOn w:val="Navadnatabela"/>
    <w:uiPriority w:val="46"/>
    <w:rsid w:val="00182D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76E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76E1"/>
    <w:rPr>
      <w:rFonts w:ascii="Segoe UI" w:hAnsi="Segoe UI" w:cs="Segoe UI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E908FB"/>
    <w:pPr>
      <w:spacing w:after="0" w:line="240" w:lineRule="auto"/>
      <w:jc w:val="both"/>
    </w:pPr>
    <w:rPr>
      <w:rFonts w:eastAsia="Times New Roman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Odstavekseznama">
    <w:name w:val="List Paragraph"/>
    <w:basedOn w:val="Navaden"/>
    <w:uiPriority w:val="34"/>
    <w:qFormat/>
    <w:rsid w:val="008420AD"/>
    <w:pPr>
      <w:ind w:left="720"/>
      <w:contextualSpacing/>
      <w:jc w:val="both"/>
    </w:pPr>
    <w:rPr>
      <w:rFonts w:eastAsia="Times New Roman" w:cs="Times New Roman"/>
      <w:szCs w:val="20"/>
      <w:lang w:eastAsia="sl-SI"/>
    </w:rPr>
  </w:style>
  <w:style w:type="paragraph" w:styleId="Napis">
    <w:name w:val="caption"/>
    <w:basedOn w:val="Navaden"/>
    <w:next w:val="Navaden"/>
    <w:uiPriority w:val="35"/>
    <w:unhideWhenUsed/>
    <w:qFormat/>
    <w:rsid w:val="00675EBE"/>
    <w:pPr>
      <w:spacing w:after="200"/>
    </w:pPr>
    <w:rPr>
      <w:b/>
      <w:bCs/>
      <w:color w:val="5B9BD5" w:themeColor="accent1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0714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0714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071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a\Documents\Officeove%20predloge%20po%20meri\JKP%20Ra_Dopis%20A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ABB7D8-D27B-4631-ACCD-C207D477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JKP Ra_Dopis AJ.dotx</Template>
  <TotalTime>500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Bojan</cp:lastModifiedBy>
  <cp:revision>245</cp:revision>
  <cp:lastPrinted>2019-11-26T06:09:00Z</cp:lastPrinted>
  <dcterms:created xsi:type="dcterms:W3CDTF">2019-10-08T05:50:00Z</dcterms:created>
  <dcterms:modified xsi:type="dcterms:W3CDTF">2019-12-02T07:02:00Z</dcterms:modified>
</cp:coreProperties>
</file>