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74" w:rsidRPr="00823F59" w:rsidRDefault="00404574" w:rsidP="00404574">
      <w:pPr>
        <w:keepNext/>
        <w:spacing w:after="0" w:line="240" w:lineRule="auto"/>
        <w:outlineLvl w:val="0"/>
        <w:rPr>
          <w:rFonts w:eastAsia="Times New Roman" w:cstheme="minorHAnsi"/>
          <w:b/>
          <w:i/>
          <w:noProof/>
          <w:sz w:val="24"/>
          <w:szCs w:val="24"/>
          <w:lang w:eastAsia="sl-SI"/>
        </w:rPr>
      </w:pPr>
      <w:r w:rsidRPr="00823F59">
        <w:rPr>
          <w:rFonts w:eastAsia="Times New Roman" w:cstheme="minorHAnsi"/>
          <w:noProof/>
          <w:sz w:val="24"/>
          <w:szCs w:val="24"/>
          <w:lang w:eastAsia="sl-SI"/>
        </w:rPr>
        <w:drawing>
          <wp:anchor distT="0" distB="0" distL="114300" distR="114300" simplePos="0" relativeHeight="251659264" behindDoc="1" locked="0" layoutInCell="1" allowOverlap="1" wp14:anchorId="3C0735F5" wp14:editId="7BADD01E">
            <wp:simplePos x="0" y="0"/>
            <wp:positionH relativeFrom="column">
              <wp:posOffset>451485</wp:posOffset>
            </wp:positionH>
            <wp:positionV relativeFrom="paragraph">
              <wp:posOffset>-200025</wp:posOffset>
            </wp:positionV>
            <wp:extent cx="504825" cy="64770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574" w:rsidRPr="00823F59" w:rsidRDefault="00404574" w:rsidP="00404574">
      <w:pPr>
        <w:keepNext/>
        <w:spacing w:after="0" w:line="240" w:lineRule="auto"/>
        <w:outlineLvl w:val="0"/>
        <w:rPr>
          <w:rFonts w:eastAsia="Times New Roman" w:cstheme="minorHAnsi"/>
          <w:b/>
          <w:sz w:val="24"/>
          <w:szCs w:val="24"/>
          <w:lang w:eastAsia="sl-SI"/>
        </w:rPr>
      </w:pPr>
    </w:p>
    <w:p w:rsidR="00404574" w:rsidRPr="00823F59" w:rsidRDefault="00404574" w:rsidP="00404574">
      <w:pPr>
        <w:keepNext/>
        <w:spacing w:after="0" w:line="240" w:lineRule="auto"/>
        <w:outlineLvl w:val="0"/>
        <w:rPr>
          <w:rFonts w:eastAsia="Times New Roman" w:cstheme="minorHAnsi"/>
          <w:b/>
          <w:sz w:val="24"/>
          <w:szCs w:val="24"/>
          <w:lang w:eastAsia="sl-SI"/>
        </w:rPr>
      </w:pPr>
    </w:p>
    <w:p w:rsidR="00404574" w:rsidRPr="00823F59" w:rsidRDefault="00404574" w:rsidP="00404574">
      <w:pPr>
        <w:keepNext/>
        <w:spacing w:after="0" w:line="240" w:lineRule="auto"/>
        <w:outlineLvl w:val="0"/>
        <w:rPr>
          <w:rFonts w:eastAsia="Times New Roman" w:cstheme="minorHAnsi"/>
          <w:b/>
          <w:sz w:val="24"/>
          <w:szCs w:val="24"/>
          <w:lang w:eastAsia="sl-SI"/>
        </w:rPr>
      </w:pPr>
      <w:r w:rsidRPr="00823F59">
        <w:rPr>
          <w:rFonts w:eastAsia="Times New Roman" w:cstheme="minorHAnsi"/>
          <w:b/>
          <w:sz w:val="24"/>
          <w:szCs w:val="24"/>
          <w:lang w:eastAsia="sl-SI"/>
        </w:rPr>
        <w:t xml:space="preserve">  OBČINA PREVALJE</w:t>
      </w:r>
    </w:p>
    <w:p w:rsidR="00404574" w:rsidRPr="00823F59" w:rsidRDefault="00404574" w:rsidP="00404574">
      <w:pPr>
        <w:keepNext/>
        <w:spacing w:after="0" w:line="240" w:lineRule="auto"/>
        <w:outlineLvl w:val="0"/>
        <w:rPr>
          <w:rFonts w:eastAsia="Times New Roman" w:cstheme="minorHAnsi"/>
          <w:b/>
          <w:sz w:val="24"/>
          <w:szCs w:val="24"/>
          <w:lang w:eastAsia="sl-SI"/>
        </w:rPr>
      </w:pPr>
      <w:r w:rsidRPr="00823F59">
        <w:rPr>
          <w:rFonts w:eastAsia="Times New Roman" w:cstheme="minorHAnsi"/>
          <w:b/>
          <w:sz w:val="24"/>
          <w:szCs w:val="24"/>
          <w:lang w:eastAsia="sl-SI"/>
        </w:rPr>
        <w:t>Trg 2/a, 2391 Prevalje</w:t>
      </w:r>
    </w:p>
    <w:p w:rsidR="00404574" w:rsidRPr="00823F59" w:rsidRDefault="00404574" w:rsidP="00404574">
      <w:pPr>
        <w:spacing w:after="0" w:line="240" w:lineRule="auto"/>
        <w:jc w:val="both"/>
        <w:rPr>
          <w:rFonts w:eastAsia="Times New Roman" w:cstheme="minorHAnsi"/>
          <w:sz w:val="24"/>
          <w:szCs w:val="24"/>
          <w:lang w:eastAsia="sl-SI"/>
        </w:rPr>
      </w:pPr>
    </w:p>
    <w:p w:rsidR="00404574" w:rsidRPr="001405EC" w:rsidRDefault="00404574" w:rsidP="00404574">
      <w:pPr>
        <w:pStyle w:val="Brezrazmikov"/>
        <w:rPr>
          <w:rFonts w:asciiTheme="minorHAnsi" w:eastAsia="Calibri" w:hAnsiTheme="minorHAnsi" w:cstheme="minorHAnsi"/>
          <w:sz w:val="20"/>
          <w:szCs w:val="20"/>
        </w:rPr>
      </w:pPr>
      <w:r w:rsidRPr="001405EC">
        <w:rPr>
          <w:rFonts w:asciiTheme="minorHAnsi" w:hAnsiTheme="minorHAnsi" w:cstheme="minorHAnsi"/>
          <w:sz w:val="20"/>
          <w:szCs w:val="20"/>
        </w:rPr>
        <w:t xml:space="preserve">Številka:  </w:t>
      </w:r>
      <w:r w:rsidR="00BB3B40" w:rsidRPr="00BB3B40">
        <w:rPr>
          <w:rFonts w:asciiTheme="minorHAnsi" w:eastAsia="Calibri" w:hAnsiTheme="minorHAnsi" w:cstheme="minorHAnsi"/>
          <w:sz w:val="20"/>
          <w:szCs w:val="20"/>
        </w:rPr>
        <w:t>6101-0001/2018-25</w:t>
      </w:r>
    </w:p>
    <w:p w:rsidR="00404574" w:rsidRPr="001405EC" w:rsidRDefault="00A132D3" w:rsidP="00404574">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 xml:space="preserve">Datum:  </w:t>
      </w:r>
      <w:r w:rsidR="00F7611B">
        <w:rPr>
          <w:rFonts w:eastAsia="Times New Roman" w:cstheme="minorHAnsi"/>
          <w:sz w:val="20"/>
          <w:szCs w:val="20"/>
          <w:lang w:eastAsia="sl-SI"/>
        </w:rPr>
        <w:t>4</w:t>
      </w:r>
      <w:r w:rsidR="00404574">
        <w:rPr>
          <w:rFonts w:eastAsia="Times New Roman" w:cstheme="minorHAnsi"/>
          <w:sz w:val="20"/>
          <w:szCs w:val="20"/>
          <w:lang w:eastAsia="sl-SI"/>
        </w:rPr>
        <w:t xml:space="preserve">. </w:t>
      </w:r>
      <w:r>
        <w:rPr>
          <w:rFonts w:eastAsia="Times New Roman" w:cstheme="minorHAnsi"/>
          <w:sz w:val="20"/>
          <w:szCs w:val="20"/>
          <w:lang w:eastAsia="sl-SI"/>
        </w:rPr>
        <w:t>oktober</w:t>
      </w:r>
      <w:r w:rsidR="00404574">
        <w:rPr>
          <w:rFonts w:eastAsia="Times New Roman" w:cstheme="minorHAnsi"/>
          <w:sz w:val="20"/>
          <w:szCs w:val="20"/>
          <w:lang w:eastAsia="sl-SI"/>
        </w:rPr>
        <w:t xml:space="preserve"> 2018</w:t>
      </w:r>
    </w:p>
    <w:p w:rsidR="00404574" w:rsidRPr="001405EC" w:rsidRDefault="00404574" w:rsidP="00404574">
      <w:pPr>
        <w:spacing w:after="0" w:line="240" w:lineRule="auto"/>
        <w:jc w:val="both"/>
        <w:rPr>
          <w:rFonts w:eastAsia="Times New Roman" w:cstheme="minorHAnsi"/>
          <w:b/>
          <w:sz w:val="20"/>
          <w:szCs w:val="20"/>
          <w:lang w:eastAsia="sl-SI"/>
        </w:rPr>
      </w:pPr>
      <w:r w:rsidRPr="001405EC">
        <w:rPr>
          <w:rFonts w:eastAsia="Times New Roman" w:cstheme="minorHAnsi"/>
          <w:b/>
          <w:i/>
          <w:noProof/>
          <w:sz w:val="20"/>
          <w:szCs w:val="20"/>
          <w:lang w:eastAsia="sl-SI"/>
        </w:rPr>
        <w:t xml:space="preserve">        </w:t>
      </w: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F7611B" w:rsidP="00404574">
      <w:pPr>
        <w:spacing w:after="0" w:line="240" w:lineRule="auto"/>
        <w:jc w:val="both"/>
        <w:rPr>
          <w:rFonts w:eastAsia="Times New Roman" w:cstheme="minorHAnsi"/>
          <w:b/>
          <w:sz w:val="24"/>
          <w:szCs w:val="24"/>
          <w:lang w:eastAsia="sl-SI"/>
        </w:rPr>
      </w:pPr>
      <w:r>
        <w:rPr>
          <w:rFonts w:eastAsia="Times New Roman" w:cstheme="minorHAnsi"/>
          <w:b/>
          <w:sz w:val="24"/>
          <w:szCs w:val="24"/>
          <w:lang w:eastAsia="sl-SI"/>
        </w:rPr>
        <w:t>ODBOR ZA KOMUNALNE ZADEVE IN VARSTVO OKOLJA</w:t>
      </w:r>
    </w:p>
    <w:p w:rsidR="00404574" w:rsidRPr="00823F59" w:rsidRDefault="00404574" w:rsidP="00404574">
      <w:pPr>
        <w:spacing w:after="0" w:line="240" w:lineRule="auto"/>
        <w:jc w:val="both"/>
        <w:rPr>
          <w:rFonts w:eastAsia="Times New Roman" w:cstheme="minorHAnsi"/>
          <w:b/>
          <w:sz w:val="24"/>
          <w:szCs w:val="24"/>
          <w:lang w:eastAsia="sl-SI"/>
        </w:rPr>
      </w:pPr>
      <w:r w:rsidRPr="00823F59">
        <w:rPr>
          <w:rFonts w:eastAsia="Times New Roman" w:cstheme="minorHAnsi"/>
          <w:b/>
          <w:sz w:val="24"/>
          <w:szCs w:val="24"/>
          <w:lang w:eastAsia="sl-SI"/>
        </w:rPr>
        <w:t>OBČINE PREVALJE</w:t>
      </w: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sz w:val="24"/>
          <w:szCs w:val="24"/>
          <w:lang w:eastAsia="sl-SI"/>
        </w:rPr>
      </w:pPr>
      <w:r w:rsidRPr="00823F59">
        <w:rPr>
          <w:rFonts w:eastAsia="Times New Roman" w:cstheme="minorHAnsi"/>
          <w:b/>
          <w:sz w:val="24"/>
          <w:szCs w:val="24"/>
          <w:lang w:eastAsia="sl-SI"/>
        </w:rPr>
        <w:t>PREDLAGATELJ:</w:t>
      </w:r>
      <w:r w:rsidRPr="00823F59">
        <w:rPr>
          <w:rFonts w:eastAsia="Times New Roman" w:cstheme="minorHAnsi"/>
          <w:b/>
          <w:sz w:val="24"/>
          <w:szCs w:val="24"/>
          <w:lang w:eastAsia="sl-SI"/>
        </w:rPr>
        <w:tab/>
      </w:r>
      <w:r w:rsidRPr="00823F59">
        <w:rPr>
          <w:rFonts w:eastAsia="Times New Roman" w:cstheme="minorHAnsi"/>
          <w:b/>
          <w:sz w:val="24"/>
          <w:szCs w:val="24"/>
          <w:lang w:eastAsia="sl-SI"/>
        </w:rPr>
        <w:tab/>
      </w:r>
      <w:r w:rsidRPr="00823F59">
        <w:rPr>
          <w:rFonts w:eastAsia="Times New Roman" w:cstheme="minorHAnsi"/>
          <w:sz w:val="24"/>
          <w:szCs w:val="24"/>
          <w:lang w:eastAsia="sl-SI"/>
        </w:rPr>
        <w:t>Župan, dr. Matija Tasič</w:t>
      </w: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autoSpaceDE w:val="0"/>
        <w:autoSpaceDN w:val="0"/>
        <w:adjustRightInd w:val="0"/>
        <w:ind w:left="2835" w:hanging="2835"/>
        <w:jc w:val="both"/>
        <w:rPr>
          <w:rFonts w:eastAsia="Times New Roman" w:cstheme="minorHAnsi"/>
          <w:color w:val="000000" w:themeColor="text1"/>
        </w:rPr>
      </w:pPr>
      <w:r w:rsidRPr="00823F59">
        <w:rPr>
          <w:rFonts w:eastAsia="Times New Roman" w:cstheme="minorHAnsi"/>
          <w:b/>
          <w:szCs w:val="24"/>
        </w:rPr>
        <w:t>ZADEVA:</w:t>
      </w:r>
      <w:r w:rsidRPr="00823F59">
        <w:rPr>
          <w:rFonts w:eastAsia="Times New Roman" w:cstheme="minorHAnsi"/>
          <w:szCs w:val="24"/>
        </w:rPr>
        <w:tab/>
      </w:r>
      <w:r w:rsidRPr="00823F59">
        <w:rPr>
          <w:rFonts w:eastAsia="Times New Roman" w:cstheme="minorHAnsi"/>
          <w:color w:val="000000" w:themeColor="text1"/>
          <w:sz w:val="24"/>
        </w:rPr>
        <w:t>POTRDITEV DOKUMENTA O IDENTIFIK</w:t>
      </w:r>
      <w:r w:rsidR="00B5371B">
        <w:rPr>
          <w:rFonts w:eastAsia="Times New Roman" w:cstheme="minorHAnsi"/>
          <w:color w:val="000000" w:themeColor="text1"/>
          <w:sz w:val="24"/>
        </w:rPr>
        <w:t>ACIJI INVESTICIJSKEGA PROJEKTA: SKUPAJ ZA VARNI JU</w:t>
      </w:r>
      <w:r w:rsidR="00B5371B" w:rsidRPr="00B5371B">
        <w:rPr>
          <w:rFonts w:eastAsia="Times New Roman" w:cstheme="minorHAnsi"/>
          <w:color w:val="000000" w:themeColor="text1"/>
          <w:sz w:val="24"/>
        </w:rPr>
        <w:t>TRI</w:t>
      </w:r>
      <w:r w:rsidRPr="00B5371B">
        <w:rPr>
          <w:rFonts w:eastAsia="Times New Roman" w:cstheme="minorHAnsi"/>
          <w:color w:val="000000" w:themeColor="text1"/>
          <w:sz w:val="24"/>
        </w:rPr>
        <w:t xml:space="preserve">, v okviru </w:t>
      </w:r>
      <w:r w:rsidR="00B5371B" w:rsidRPr="00B5371B">
        <w:rPr>
          <w:rFonts w:eastAsia="Times New Roman" w:cstheme="minorHAnsi"/>
          <w:color w:val="000000" w:themeColor="text1"/>
          <w:sz w:val="24"/>
        </w:rPr>
        <w:t>Lokalnih akcijskih skupin (v nadaljevanju LAS)</w:t>
      </w:r>
      <w:r w:rsidR="00B5371B">
        <w:rPr>
          <w:rFonts w:eastAsia="Times New Roman" w:cstheme="minorHAnsi"/>
          <w:color w:val="000000" w:themeColor="text1"/>
          <w:sz w:val="24"/>
        </w:rPr>
        <w:t xml:space="preserve"> Mežiške doline.</w:t>
      </w:r>
    </w:p>
    <w:p w:rsidR="00404574" w:rsidRPr="00823F59" w:rsidRDefault="00404574" w:rsidP="00404574">
      <w:pPr>
        <w:spacing w:after="0" w:line="240" w:lineRule="auto"/>
        <w:ind w:left="2880" w:hanging="2880"/>
        <w:jc w:val="both"/>
        <w:rPr>
          <w:rFonts w:eastAsia="Times New Roman" w:cstheme="minorHAnsi"/>
          <w:b/>
          <w:sz w:val="24"/>
          <w:szCs w:val="24"/>
          <w:lang w:eastAsia="sl-SI"/>
        </w:rPr>
      </w:pPr>
    </w:p>
    <w:p w:rsidR="00404574" w:rsidRPr="00823F59" w:rsidRDefault="00404574" w:rsidP="00404574">
      <w:pPr>
        <w:autoSpaceDE w:val="0"/>
        <w:autoSpaceDN w:val="0"/>
        <w:adjustRightInd w:val="0"/>
        <w:ind w:left="2832" w:hanging="2832"/>
        <w:jc w:val="both"/>
        <w:rPr>
          <w:rFonts w:eastAsia="Calibri" w:cstheme="minorHAnsi"/>
          <w:bCs/>
          <w:sz w:val="28"/>
          <w:szCs w:val="28"/>
          <w:lang w:eastAsia="sl-SI"/>
        </w:rPr>
      </w:pPr>
      <w:r w:rsidRPr="00823F59">
        <w:rPr>
          <w:rFonts w:cstheme="minorHAnsi"/>
          <w:b/>
          <w:szCs w:val="24"/>
        </w:rPr>
        <w:t>NAMEN:</w:t>
      </w:r>
      <w:r w:rsidRPr="00823F59">
        <w:rPr>
          <w:rFonts w:cstheme="minorHAnsi"/>
          <w:b/>
          <w:szCs w:val="24"/>
        </w:rPr>
        <w:tab/>
      </w:r>
      <w:r w:rsidRPr="00823F59">
        <w:rPr>
          <w:rFonts w:cstheme="minorHAnsi"/>
          <w:sz w:val="24"/>
          <w:szCs w:val="24"/>
        </w:rPr>
        <w:t xml:space="preserve">S potrditvijo ali zavrnitvijo predloga dokumenta Občinski svet </w:t>
      </w:r>
      <w:r w:rsidRPr="00B5371B">
        <w:rPr>
          <w:rFonts w:cstheme="minorHAnsi"/>
          <w:sz w:val="24"/>
          <w:szCs w:val="24"/>
        </w:rPr>
        <w:t>Občine Prevalje odloči o nadaljevanju ali zaustavitvi projekta. S potrditvijo dokumenta bo projekt</w:t>
      </w:r>
      <w:r w:rsidR="00B5371B" w:rsidRPr="00B5371B">
        <w:rPr>
          <w:rFonts w:cstheme="minorHAnsi"/>
          <w:sz w:val="24"/>
          <w:szCs w:val="24"/>
        </w:rPr>
        <w:t xml:space="preserve"> »Skupaj za varni jutri« prijavljen na </w:t>
      </w:r>
      <w:r w:rsidR="00B5371B" w:rsidRPr="00B5371B">
        <w:rPr>
          <w:rFonts w:eastAsia="Calibri" w:cs="Arial"/>
          <w:sz w:val="24"/>
          <w:szCs w:val="24"/>
        </w:rPr>
        <w:t>4. Javni razpis za podukrep 19.3., ki ga je razpisalo Ministrstva za kmetijstvo, gozdarstvo in prehrano</w:t>
      </w:r>
      <w:r w:rsidRPr="00B5371B">
        <w:rPr>
          <w:rFonts w:eastAsia="Calibri" w:cstheme="minorHAnsi"/>
          <w:sz w:val="24"/>
          <w:szCs w:val="24"/>
          <w:lang w:eastAsia="sl-SI"/>
        </w:rPr>
        <w:t>.</w:t>
      </w: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120" w:line="240" w:lineRule="auto"/>
        <w:jc w:val="both"/>
        <w:rPr>
          <w:rFonts w:eastAsia="Times New Roman" w:cstheme="minorHAnsi"/>
          <w:sz w:val="24"/>
          <w:szCs w:val="24"/>
          <w:lang w:eastAsia="sl-SI"/>
        </w:rPr>
      </w:pPr>
      <w:r w:rsidRPr="00823F59">
        <w:rPr>
          <w:rFonts w:eastAsia="Times New Roman" w:cstheme="minorHAnsi"/>
          <w:b/>
          <w:sz w:val="24"/>
          <w:szCs w:val="24"/>
          <w:lang w:eastAsia="sl-SI"/>
        </w:rPr>
        <w:t xml:space="preserve">STOPNJA POSTOPKA: </w:t>
      </w:r>
      <w:r w:rsidRPr="00823F59">
        <w:rPr>
          <w:rFonts w:eastAsia="Times New Roman" w:cstheme="minorHAnsi"/>
          <w:b/>
          <w:sz w:val="24"/>
          <w:szCs w:val="24"/>
          <w:lang w:eastAsia="sl-SI"/>
        </w:rPr>
        <w:tab/>
      </w:r>
      <w:r w:rsidRPr="00823F59">
        <w:rPr>
          <w:rFonts w:eastAsia="Times New Roman" w:cstheme="minorHAnsi"/>
          <w:sz w:val="24"/>
          <w:szCs w:val="24"/>
          <w:lang w:eastAsia="sl-SI"/>
        </w:rPr>
        <w:t>Predlog za obravnavo na seji Občinskega sveta</w:t>
      </w: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ind w:left="2880" w:hanging="2880"/>
        <w:jc w:val="both"/>
        <w:rPr>
          <w:rFonts w:eastAsia="Times New Roman" w:cstheme="minorHAnsi"/>
          <w:b/>
          <w:sz w:val="24"/>
          <w:szCs w:val="24"/>
          <w:lang w:eastAsia="sl-SI"/>
        </w:rPr>
      </w:pPr>
      <w:r w:rsidRPr="00823F59">
        <w:rPr>
          <w:rFonts w:eastAsia="Times New Roman" w:cstheme="minorHAnsi"/>
          <w:b/>
          <w:sz w:val="24"/>
          <w:szCs w:val="24"/>
          <w:lang w:eastAsia="sl-SI"/>
        </w:rPr>
        <w:t xml:space="preserve">PRAVNA PODLAGA: </w:t>
      </w:r>
      <w:r w:rsidRPr="00823F59">
        <w:rPr>
          <w:rFonts w:eastAsia="Times New Roman" w:cstheme="minorHAnsi"/>
          <w:b/>
          <w:sz w:val="24"/>
          <w:szCs w:val="24"/>
          <w:lang w:eastAsia="sl-SI"/>
        </w:rPr>
        <w:tab/>
      </w:r>
      <w:r w:rsidRPr="00823F59">
        <w:rPr>
          <w:rFonts w:eastAsia="Times New Roman" w:cstheme="minorHAnsi"/>
          <w:sz w:val="24"/>
          <w:szCs w:val="24"/>
          <w:lang w:eastAsia="sl-SI"/>
        </w:rPr>
        <w:t>Uredba  o enotni metodologiji za pripravo in obravnavo investicijske dokumentacije na področju javnih financ (Uradni list RS, št. 60/2006, 54/2010</w:t>
      </w:r>
      <w:r w:rsidRPr="00823F59">
        <w:rPr>
          <w:rFonts w:cstheme="minorHAnsi"/>
          <w:color w:val="000000"/>
          <w:sz w:val="24"/>
          <w:szCs w:val="24"/>
        </w:rPr>
        <w:t xml:space="preserve"> </w:t>
      </w:r>
      <w:r w:rsidRPr="00823F59">
        <w:rPr>
          <w:rStyle w:val="Hiperpovezava"/>
          <w:rFonts w:cstheme="minorHAnsi"/>
          <w:color w:val="000000"/>
          <w:sz w:val="24"/>
          <w:szCs w:val="24"/>
        </w:rPr>
        <w:t>in 27/16</w:t>
      </w:r>
      <w:r w:rsidRPr="00823F59">
        <w:rPr>
          <w:rFonts w:eastAsia="Times New Roman" w:cstheme="minorHAnsi"/>
          <w:sz w:val="24"/>
          <w:szCs w:val="24"/>
          <w:lang w:eastAsia="sl-SI"/>
        </w:rPr>
        <w:t>),</w:t>
      </w:r>
    </w:p>
    <w:p w:rsidR="00404574" w:rsidRPr="00823F59" w:rsidRDefault="00404574" w:rsidP="00404574">
      <w:pPr>
        <w:spacing w:after="0" w:line="240" w:lineRule="auto"/>
        <w:ind w:left="2880"/>
        <w:jc w:val="both"/>
        <w:rPr>
          <w:rFonts w:eastAsia="Times New Roman" w:cstheme="minorHAnsi"/>
          <w:sz w:val="24"/>
          <w:szCs w:val="24"/>
          <w:lang w:eastAsia="sl-SI"/>
        </w:rPr>
      </w:pPr>
    </w:p>
    <w:p w:rsidR="00404574" w:rsidRPr="00823F59" w:rsidRDefault="00404574" w:rsidP="00404574">
      <w:pPr>
        <w:spacing w:after="0" w:line="240" w:lineRule="auto"/>
        <w:ind w:left="2880"/>
        <w:jc w:val="both"/>
        <w:rPr>
          <w:rFonts w:eastAsia="Times New Roman" w:cstheme="minorHAnsi"/>
          <w:b/>
          <w:sz w:val="24"/>
          <w:szCs w:val="24"/>
          <w:lang w:eastAsia="sl-SI"/>
        </w:rPr>
      </w:pPr>
      <w:r w:rsidRPr="00823F59">
        <w:rPr>
          <w:rFonts w:eastAsia="Times New Roman" w:cstheme="minorHAnsi"/>
          <w:sz w:val="24"/>
          <w:szCs w:val="24"/>
          <w:lang w:eastAsia="sl-SI"/>
        </w:rPr>
        <w:t xml:space="preserve">17. člen Statuta Občine Prevalje (UGSO, št. 70/2015) </w:t>
      </w:r>
    </w:p>
    <w:p w:rsidR="00404574" w:rsidRPr="00823F59" w:rsidRDefault="00404574" w:rsidP="00404574">
      <w:pPr>
        <w:spacing w:after="0" w:line="240" w:lineRule="auto"/>
        <w:ind w:left="2880" w:hanging="2880"/>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lang w:eastAsia="sl-SI"/>
        </w:rPr>
      </w:pPr>
      <w:r w:rsidRPr="00823F59">
        <w:rPr>
          <w:rFonts w:eastAsia="Times New Roman" w:cstheme="minorHAnsi"/>
          <w:b/>
          <w:sz w:val="24"/>
          <w:szCs w:val="24"/>
          <w:lang w:eastAsia="sl-SI"/>
        </w:rPr>
        <w:t>POROČEVALEC:</w:t>
      </w:r>
      <w:r w:rsidRPr="00823F59">
        <w:rPr>
          <w:rFonts w:eastAsia="Times New Roman" w:cstheme="minorHAnsi"/>
          <w:b/>
          <w:sz w:val="24"/>
          <w:szCs w:val="24"/>
          <w:lang w:eastAsia="sl-SI"/>
        </w:rPr>
        <w:tab/>
      </w:r>
      <w:r w:rsidRPr="00823F59">
        <w:rPr>
          <w:rFonts w:eastAsia="Times New Roman" w:cstheme="minorHAnsi"/>
          <w:b/>
          <w:sz w:val="24"/>
          <w:szCs w:val="24"/>
          <w:lang w:eastAsia="sl-SI"/>
        </w:rPr>
        <w:tab/>
      </w:r>
      <w:r w:rsidRPr="00FB7BDA">
        <w:rPr>
          <w:rFonts w:eastAsia="Times New Roman" w:cstheme="minorHAnsi"/>
          <w:sz w:val="24"/>
          <w:szCs w:val="24"/>
          <w:lang w:eastAsia="sl-SI"/>
        </w:rPr>
        <w:t>Viktorija BARBIČ,</w:t>
      </w:r>
      <w:r w:rsidR="00BB3B40">
        <w:rPr>
          <w:rFonts w:eastAsia="Times New Roman" w:cstheme="minorHAnsi"/>
          <w:sz w:val="24"/>
          <w:szCs w:val="24"/>
          <w:lang w:eastAsia="sl-SI"/>
        </w:rPr>
        <w:t xml:space="preserve"> Direktorica</w:t>
      </w:r>
      <w:r w:rsidRPr="00FB7BDA">
        <w:rPr>
          <w:rFonts w:eastAsia="Times New Roman" w:cstheme="minorHAnsi"/>
          <w:sz w:val="24"/>
          <w:szCs w:val="24"/>
          <w:lang w:eastAsia="sl-SI"/>
        </w:rPr>
        <w:t xml:space="preserve"> A</w:t>
      </w:r>
      <w:r w:rsidR="00BB3B40">
        <w:rPr>
          <w:rFonts w:eastAsia="Times New Roman" w:cstheme="minorHAnsi"/>
          <w:sz w:val="24"/>
          <w:szCs w:val="24"/>
          <w:lang w:eastAsia="sl-SI"/>
        </w:rPr>
        <w:t>.</w:t>
      </w:r>
      <w:r w:rsidRPr="00FB7BDA">
        <w:rPr>
          <w:rFonts w:eastAsia="Times New Roman" w:cstheme="minorHAnsi"/>
          <w:sz w:val="24"/>
          <w:szCs w:val="24"/>
          <w:lang w:eastAsia="sl-SI"/>
        </w:rPr>
        <w:t>L</w:t>
      </w:r>
      <w:r w:rsidR="00BB3B40">
        <w:rPr>
          <w:rFonts w:eastAsia="Times New Roman" w:cstheme="minorHAnsi"/>
          <w:sz w:val="24"/>
          <w:szCs w:val="24"/>
          <w:lang w:eastAsia="sl-SI"/>
        </w:rPr>
        <w:t>.</w:t>
      </w:r>
      <w:r w:rsidRPr="00FB7BDA">
        <w:rPr>
          <w:rFonts w:eastAsia="Times New Roman" w:cstheme="minorHAnsi"/>
          <w:sz w:val="24"/>
          <w:szCs w:val="24"/>
          <w:lang w:eastAsia="sl-SI"/>
        </w:rPr>
        <w:t>P</w:t>
      </w:r>
      <w:r w:rsidR="00BB3B40">
        <w:rPr>
          <w:rFonts w:eastAsia="Times New Roman" w:cstheme="minorHAnsi"/>
          <w:sz w:val="24"/>
          <w:szCs w:val="24"/>
          <w:lang w:eastAsia="sl-SI"/>
        </w:rPr>
        <w:t>.</w:t>
      </w:r>
      <w:r w:rsidRPr="00FB7BDA">
        <w:rPr>
          <w:rFonts w:eastAsia="Times New Roman" w:cstheme="minorHAnsi"/>
          <w:sz w:val="24"/>
          <w:szCs w:val="24"/>
          <w:lang w:eastAsia="sl-SI"/>
        </w:rPr>
        <w:t xml:space="preserve"> Peca</w:t>
      </w:r>
      <w:r w:rsidR="00BB3B40">
        <w:rPr>
          <w:rFonts w:eastAsia="Times New Roman" w:cstheme="minorHAnsi"/>
          <w:sz w:val="24"/>
          <w:szCs w:val="24"/>
          <w:lang w:eastAsia="sl-SI"/>
        </w:rPr>
        <w:t xml:space="preserve"> d.o.o.</w:t>
      </w:r>
      <w:r w:rsidRPr="00823F59">
        <w:rPr>
          <w:rFonts w:eastAsia="Times New Roman" w:cstheme="minorHAnsi"/>
          <w:lang w:eastAsia="sl-SI"/>
        </w:rPr>
        <w:t xml:space="preserve"> </w:t>
      </w:r>
    </w:p>
    <w:p w:rsidR="00404574" w:rsidRPr="00823F59" w:rsidRDefault="00404574" w:rsidP="00404574">
      <w:pPr>
        <w:spacing w:after="0" w:line="240" w:lineRule="auto"/>
        <w:jc w:val="both"/>
        <w:rPr>
          <w:rFonts w:eastAsia="Times New Roman" w:cstheme="minorHAnsi"/>
          <w:b/>
          <w:lang w:eastAsia="sl-SI"/>
        </w:rPr>
      </w:pPr>
      <w:r w:rsidRPr="00823F59">
        <w:rPr>
          <w:rFonts w:eastAsia="Times New Roman" w:cstheme="minorHAnsi"/>
          <w:lang w:eastAsia="sl-SI"/>
        </w:rPr>
        <w:t xml:space="preserve">                                      </w:t>
      </w:r>
      <w:r w:rsidRPr="00823F59">
        <w:rPr>
          <w:rFonts w:eastAsia="Times New Roman" w:cstheme="minorHAnsi"/>
          <w:lang w:eastAsia="sl-SI"/>
        </w:rPr>
        <w:tab/>
      </w:r>
      <w:r w:rsidRPr="00823F59">
        <w:rPr>
          <w:rFonts w:eastAsia="Times New Roman" w:cstheme="minorHAnsi"/>
          <w:lang w:eastAsia="sl-SI"/>
        </w:rPr>
        <w:tab/>
      </w: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p>
    <w:p w:rsidR="00404574" w:rsidRDefault="00404574" w:rsidP="00404574">
      <w:pPr>
        <w:spacing w:after="0" w:line="240" w:lineRule="auto"/>
        <w:jc w:val="both"/>
        <w:rPr>
          <w:rFonts w:eastAsia="Times New Roman" w:cstheme="minorHAnsi"/>
          <w:b/>
          <w:sz w:val="24"/>
          <w:szCs w:val="24"/>
          <w:lang w:eastAsia="sl-SI"/>
        </w:rPr>
      </w:pPr>
    </w:p>
    <w:p w:rsidR="00836493" w:rsidRDefault="00836493" w:rsidP="00404574">
      <w:pPr>
        <w:spacing w:after="0" w:line="240" w:lineRule="auto"/>
        <w:jc w:val="both"/>
        <w:rPr>
          <w:rFonts w:eastAsia="Times New Roman" w:cstheme="minorHAnsi"/>
          <w:b/>
          <w:sz w:val="24"/>
          <w:szCs w:val="24"/>
          <w:lang w:eastAsia="sl-SI"/>
        </w:rPr>
      </w:pPr>
    </w:p>
    <w:p w:rsidR="00836493" w:rsidRDefault="00836493" w:rsidP="00404574">
      <w:pPr>
        <w:spacing w:after="0" w:line="240" w:lineRule="auto"/>
        <w:jc w:val="both"/>
        <w:rPr>
          <w:rFonts w:eastAsia="Times New Roman" w:cstheme="minorHAnsi"/>
          <w:b/>
          <w:sz w:val="24"/>
          <w:szCs w:val="24"/>
          <w:lang w:eastAsia="sl-SI"/>
        </w:rPr>
      </w:pPr>
    </w:p>
    <w:p w:rsidR="00836493" w:rsidRPr="00823F59" w:rsidRDefault="00836493"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r w:rsidRPr="00823F59">
        <w:rPr>
          <w:rFonts w:eastAsia="Times New Roman" w:cstheme="minorHAnsi"/>
          <w:b/>
          <w:sz w:val="24"/>
          <w:szCs w:val="24"/>
          <w:lang w:eastAsia="sl-SI"/>
        </w:rPr>
        <w:lastRenderedPageBreak/>
        <w:t>Glavni cilj investicije:</w:t>
      </w:r>
    </w:p>
    <w:p w:rsidR="00BB3B40" w:rsidRPr="00BB3B40" w:rsidRDefault="00BB3B40" w:rsidP="00836493">
      <w:pPr>
        <w:jc w:val="both"/>
        <w:rPr>
          <w:rFonts w:eastAsia="Calibri" w:cs="Arial"/>
          <w:sz w:val="24"/>
        </w:rPr>
      </w:pPr>
      <w:r w:rsidRPr="00BB3B40">
        <w:rPr>
          <w:rFonts w:eastAsia="Calibri" w:cs="Arial"/>
          <w:sz w:val="24"/>
        </w:rPr>
        <w:t xml:space="preserve">Investicija – nakup in montaža </w:t>
      </w:r>
      <w:r w:rsidR="00F7611B">
        <w:rPr>
          <w:rFonts w:eastAsia="Calibri" w:cs="Arial"/>
          <w:sz w:val="24"/>
        </w:rPr>
        <w:t xml:space="preserve">petih </w:t>
      </w:r>
      <w:r w:rsidRPr="00BB3B40">
        <w:rPr>
          <w:rFonts w:eastAsia="Calibri" w:cs="Arial"/>
          <w:sz w:val="24"/>
        </w:rPr>
        <w:t>AED aparatov</w:t>
      </w:r>
      <w:r w:rsidR="00F7611B">
        <w:rPr>
          <w:rFonts w:eastAsia="Calibri" w:cs="Arial"/>
          <w:sz w:val="24"/>
        </w:rPr>
        <w:t xml:space="preserve"> na območju Občine Prevalje.</w:t>
      </w:r>
    </w:p>
    <w:p w:rsidR="00BB3B40" w:rsidRPr="00BB3B40" w:rsidRDefault="00BB3B40" w:rsidP="00836493">
      <w:pPr>
        <w:jc w:val="both"/>
        <w:rPr>
          <w:rFonts w:eastAsia="Calibri" w:cs="Arial"/>
          <w:sz w:val="24"/>
        </w:rPr>
      </w:pPr>
      <w:r w:rsidRPr="00BB3B40">
        <w:rPr>
          <w:rFonts w:eastAsia="Calibri" w:cs="Arial"/>
          <w:sz w:val="24"/>
        </w:rPr>
        <w:t xml:space="preserve">Oblikovanje strokovne skupine v kateri sodelujejo strokovne osebe, ki že delujejo na svojih območjih in so strokovno podkovane v zadevni tematiki </w:t>
      </w:r>
    </w:p>
    <w:p w:rsidR="00BB3B40" w:rsidRPr="00BB3B40" w:rsidRDefault="00BB3B40" w:rsidP="00836493">
      <w:pPr>
        <w:jc w:val="both"/>
        <w:rPr>
          <w:rFonts w:eastAsia="Calibri" w:cs="Arial"/>
          <w:sz w:val="24"/>
        </w:rPr>
      </w:pPr>
      <w:r w:rsidRPr="00BB3B40">
        <w:rPr>
          <w:rFonts w:eastAsia="Calibri" w:cs="Arial"/>
          <w:sz w:val="24"/>
        </w:rPr>
        <w:t>Priprava, oblikovanje in tisk Priročnika in ostalih informativnih materialov, ki bodo enaki za celotno območje sodelujočih LAS</w:t>
      </w:r>
    </w:p>
    <w:p w:rsidR="00BB3B40" w:rsidRPr="00BB3B40" w:rsidRDefault="00BB3B40" w:rsidP="00836493">
      <w:pPr>
        <w:jc w:val="both"/>
        <w:rPr>
          <w:rFonts w:eastAsia="Calibri" w:cs="Arial"/>
          <w:sz w:val="24"/>
        </w:rPr>
      </w:pPr>
      <w:r w:rsidRPr="00BB3B40">
        <w:rPr>
          <w:rFonts w:eastAsia="Calibri" w:cs="Arial"/>
          <w:sz w:val="24"/>
        </w:rPr>
        <w:t xml:space="preserve">Priprava in izvedba delavnic za posamezne ciljne skupine na območjih vključenih LAS. Na območjih, kjer tovrstno usposabljanje še ni utečeno, prve delavnice pilotno izvedejo inštruktorji iz drugih LAS ali pa združena ekipa inštruktorjev, ki jo sestavi strokovna skupina projekta </w:t>
      </w:r>
    </w:p>
    <w:p w:rsidR="00836493" w:rsidRDefault="00836493" w:rsidP="00836493">
      <w:pPr>
        <w:spacing w:after="0"/>
        <w:jc w:val="both"/>
        <w:rPr>
          <w:rFonts w:eastAsia="Times New Roman" w:cstheme="minorHAnsi"/>
          <w:b/>
          <w:sz w:val="24"/>
          <w:szCs w:val="24"/>
          <w:lang w:eastAsia="sl-SI"/>
        </w:rPr>
      </w:pPr>
    </w:p>
    <w:p w:rsidR="00836493" w:rsidRPr="00836493" w:rsidRDefault="00836493" w:rsidP="00836493">
      <w:pPr>
        <w:spacing w:after="0"/>
        <w:jc w:val="both"/>
        <w:rPr>
          <w:rFonts w:eastAsia="Calibri" w:cs="Arial"/>
          <w:b/>
          <w:bCs/>
          <w:caps/>
          <w:sz w:val="24"/>
          <w:szCs w:val="24"/>
        </w:rPr>
      </w:pPr>
      <w:r w:rsidRPr="00836493">
        <w:rPr>
          <w:rFonts w:eastAsia="Times New Roman" w:cstheme="minorHAnsi"/>
          <w:b/>
          <w:sz w:val="24"/>
          <w:szCs w:val="24"/>
          <w:lang w:eastAsia="sl-SI"/>
        </w:rPr>
        <w:t>Ocena finančnih posledic</w:t>
      </w:r>
      <w:r>
        <w:rPr>
          <w:rFonts w:eastAsia="Times New Roman" w:cstheme="minorHAnsi"/>
          <w:b/>
          <w:sz w:val="24"/>
          <w:szCs w:val="24"/>
          <w:lang w:eastAsia="sl-SI"/>
        </w:rPr>
        <w:t xml:space="preserve">: </w:t>
      </w:r>
    </w:p>
    <w:p w:rsidR="001321E6" w:rsidRPr="001321E6" w:rsidRDefault="001321E6" w:rsidP="00836493">
      <w:pPr>
        <w:spacing w:after="0"/>
        <w:jc w:val="both"/>
        <w:rPr>
          <w:rFonts w:eastAsia="Calibri" w:cs="Arial"/>
          <w:spacing w:val="-1"/>
          <w:sz w:val="24"/>
          <w:szCs w:val="24"/>
        </w:rPr>
      </w:pPr>
      <w:r w:rsidRPr="001321E6">
        <w:rPr>
          <w:rFonts w:eastAsia="Calibri" w:cs="Arial"/>
          <w:spacing w:val="-1"/>
          <w:sz w:val="24"/>
          <w:szCs w:val="24"/>
        </w:rPr>
        <w:t>Vrednost projekta znaša 80.547,38 EUR, z vključenim DDV. Vsaka od občin projekt sofinancira v višini  15 % upravičenih stroškov, prav tako pa pokrije tudi znesek DDV. Pričakovana nepovratna sredstva –</w:t>
      </w:r>
      <w:r w:rsidR="00157E7B">
        <w:rPr>
          <w:rFonts w:eastAsia="Calibri" w:cs="Arial"/>
          <w:spacing w:val="-1"/>
          <w:sz w:val="24"/>
          <w:szCs w:val="24"/>
        </w:rPr>
        <w:t xml:space="preserve"> </w:t>
      </w:r>
      <w:r w:rsidR="003F1911">
        <w:rPr>
          <w:rFonts w:eastAsia="Calibri" w:cs="Arial"/>
          <w:spacing w:val="-1"/>
          <w:sz w:val="24"/>
          <w:szCs w:val="24"/>
        </w:rPr>
        <w:t>61.054,65</w:t>
      </w:r>
      <w:r w:rsidRPr="001321E6">
        <w:rPr>
          <w:rFonts w:eastAsia="Calibri" w:cs="Arial"/>
          <w:spacing w:val="-1"/>
          <w:sz w:val="24"/>
          <w:szCs w:val="24"/>
        </w:rPr>
        <w:t xml:space="preserve"> EUR predstavljajo 85,00 % upravičenih stroškov.</w:t>
      </w:r>
    </w:p>
    <w:p w:rsidR="00836493" w:rsidRPr="00836493" w:rsidRDefault="00836493" w:rsidP="00836493">
      <w:pPr>
        <w:spacing w:after="0"/>
        <w:jc w:val="both"/>
        <w:rPr>
          <w:rFonts w:eastAsia="Calibri" w:cs="Arial"/>
          <w:b/>
          <w:bCs/>
          <w:caps/>
          <w:sz w:val="24"/>
          <w:szCs w:val="24"/>
        </w:rPr>
      </w:pPr>
    </w:p>
    <w:p w:rsidR="00836493" w:rsidRPr="00836493" w:rsidRDefault="00836493" w:rsidP="00836493">
      <w:pPr>
        <w:spacing w:after="0"/>
        <w:jc w:val="both"/>
        <w:rPr>
          <w:rFonts w:eastAsia="Calibri" w:cs="Arial"/>
          <w:b/>
          <w:bCs/>
          <w:caps/>
          <w:sz w:val="24"/>
          <w:szCs w:val="24"/>
        </w:rPr>
      </w:pPr>
    </w:p>
    <w:p w:rsidR="00836493" w:rsidRPr="00836493" w:rsidRDefault="00836493" w:rsidP="00836493">
      <w:pPr>
        <w:spacing w:after="0"/>
        <w:jc w:val="both"/>
        <w:rPr>
          <w:rFonts w:eastAsia="Calibri" w:cs="Arial"/>
          <w:b/>
          <w:bCs/>
          <w:caps/>
          <w:sz w:val="24"/>
          <w:szCs w:val="24"/>
        </w:rPr>
      </w:pPr>
      <w:r w:rsidRPr="00836493">
        <w:rPr>
          <w:rFonts w:eastAsia="Calibri" w:cs="Arial"/>
          <w:b/>
          <w:bCs/>
          <w:caps/>
          <w:sz w:val="24"/>
          <w:szCs w:val="24"/>
        </w:rPr>
        <w:t xml:space="preserve">Tabela 2: Vrednost investicije po stalnih cenah z upoštevanjem deleža lastnih sredstev po posamezni Občini, z DDV: </w:t>
      </w:r>
    </w:p>
    <w:tbl>
      <w:tblPr>
        <w:tblW w:w="0" w:type="auto"/>
        <w:tblInd w:w="75" w:type="dxa"/>
        <w:tblCellMar>
          <w:left w:w="10" w:type="dxa"/>
          <w:right w:w="10" w:type="dxa"/>
        </w:tblCellMar>
        <w:tblLook w:val="0000" w:firstRow="0" w:lastRow="0" w:firstColumn="0" w:lastColumn="0" w:noHBand="0" w:noVBand="0"/>
      </w:tblPr>
      <w:tblGrid>
        <w:gridCol w:w="1980"/>
        <w:gridCol w:w="1161"/>
        <w:gridCol w:w="1496"/>
        <w:gridCol w:w="1496"/>
        <w:gridCol w:w="1543"/>
        <w:gridCol w:w="1399"/>
      </w:tblGrid>
      <w:tr w:rsidR="00836493" w:rsidRPr="00836493" w:rsidTr="009F546D">
        <w:tc>
          <w:tcPr>
            <w:tcW w:w="1980" w:type="dxa"/>
            <w:tcBorders>
              <w:top w:val="single" w:sz="4" w:space="0" w:color="000000"/>
              <w:left w:val="single" w:sz="4" w:space="0" w:color="000000"/>
              <w:bottom w:val="single" w:sz="4" w:space="0" w:color="000000"/>
              <w:right w:val="single" w:sz="4" w:space="0" w:color="000000"/>
            </w:tcBorders>
            <w:shd w:val="clear" w:color="auto" w:fill="DAEEF3"/>
            <w:tcMar>
              <w:left w:w="70" w:type="dxa"/>
              <w:right w:w="70" w:type="dxa"/>
            </w:tcMar>
            <w:vAlign w:val="center"/>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Viri financiranja - tekoče cene</w:t>
            </w:r>
          </w:p>
        </w:tc>
        <w:tc>
          <w:tcPr>
            <w:tcW w:w="1161" w:type="dxa"/>
            <w:tcBorders>
              <w:top w:val="single" w:sz="4" w:space="0" w:color="000000"/>
              <w:left w:val="single" w:sz="0" w:space="0" w:color="000000"/>
              <w:bottom w:val="single" w:sz="4" w:space="0" w:color="000000"/>
              <w:right w:val="single" w:sz="4" w:space="0" w:color="000000"/>
            </w:tcBorders>
            <w:shd w:val="clear" w:color="auto" w:fill="DAEEF3"/>
            <w:tcMar>
              <w:left w:w="70" w:type="dxa"/>
              <w:right w:w="70" w:type="dxa"/>
            </w:tcMar>
            <w:vAlign w:val="center"/>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Delež glede na bruto vred. proj.</w:t>
            </w:r>
          </w:p>
        </w:tc>
        <w:tc>
          <w:tcPr>
            <w:tcW w:w="1496" w:type="dxa"/>
            <w:tcBorders>
              <w:top w:val="single" w:sz="4" w:space="0" w:color="000000"/>
              <w:left w:val="single" w:sz="0" w:space="0" w:color="000000"/>
              <w:bottom w:val="single" w:sz="4" w:space="0" w:color="000000"/>
              <w:right w:val="single" w:sz="4" w:space="0" w:color="000000"/>
            </w:tcBorders>
            <w:shd w:val="clear" w:color="auto" w:fill="DAEEF3"/>
            <w:tcMar>
              <w:left w:w="70" w:type="dxa"/>
              <w:right w:w="70" w:type="dxa"/>
            </w:tcMar>
            <w:vAlign w:val="center"/>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Skupaj v EUR</w:t>
            </w:r>
          </w:p>
        </w:tc>
        <w:tc>
          <w:tcPr>
            <w:tcW w:w="1496" w:type="dxa"/>
            <w:tcBorders>
              <w:top w:val="single" w:sz="4" w:space="0" w:color="000000"/>
              <w:left w:val="single" w:sz="0" w:space="0" w:color="000000"/>
              <w:bottom w:val="single" w:sz="4" w:space="0" w:color="000000"/>
              <w:right w:val="single" w:sz="4" w:space="0" w:color="000000"/>
            </w:tcBorders>
            <w:shd w:val="clear" w:color="auto" w:fill="DAEEF3"/>
            <w:tcMar>
              <w:left w:w="70" w:type="dxa"/>
              <w:right w:w="70" w:type="dxa"/>
            </w:tcMar>
            <w:vAlign w:val="center"/>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EUR v 2019</w:t>
            </w:r>
          </w:p>
        </w:tc>
        <w:tc>
          <w:tcPr>
            <w:tcW w:w="1543" w:type="dxa"/>
            <w:tcBorders>
              <w:top w:val="single" w:sz="4" w:space="0" w:color="000000"/>
              <w:left w:val="single" w:sz="0" w:space="0" w:color="000000"/>
              <w:bottom w:val="single" w:sz="4" w:space="0" w:color="000000"/>
              <w:right w:val="single" w:sz="4" w:space="0" w:color="000000"/>
            </w:tcBorders>
            <w:shd w:val="clear" w:color="auto" w:fill="DAEEF3"/>
            <w:tcMar>
              <w:left w:w="70" w:type="dxa"/>
              <w:right w:w="70" w:type="dxa"/>
            </w:tcMar>
            <w:vAlign w:val="center"/>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EUR v 2020</w:t>
            </w:r>
          </w:p>
        </w:tc>
        <w:tc>
          <w:tcPr>
            <w:tcW w:w="1399" w:type="dxa"/>
            <w:tcBorders>
              <w:top w:val="single" w:sz="4" w:space="0" w:color="000000"/>
              <w:left w:val="single" w:sz="0" w:space="0" w:color="000000"/>
              <w:bottom w:val="single" w:sz="4" w:space="0" w:color="000000"/>
              <w:right w:val="single" w:sz="4" w:space="0" w:color="000000"/>
            </w:tcBorders>
            <w:shd w:val="clear" w:color="auto" w:fill="DAEEF3"/>
            <w:vAlign w:val="center"/>
          </w:tcPr>
          <w:p w:rsidR="00836493" w:rsidRPr="00836493" w:rsidRDefault="00836493" w:rsidP="00836493">
            <w:pPr>
              <w:spacing w:after="0" w:line="240" w:lineRule="auto"/>
              <w:jc w:val="center"/>
              <w:rPr>
                <w:rFonts w:eastAsia="Arial" w:cs="Arial"/>
                <w:b/>
                <w:sz w:val="24"/>
                <w:szCs w:val="24"/>
              </w:rPr>
            </w:pPr>
            <w:r w:rsidRPr="00836493">
              <w:rPr>
                <w:rFonts w:eastAsia="Arial" w:cs="Arial"/>
                <w:b/>
                <w:sz w:val="24"/>
                <w:szCs w:val="24"/>
              </w:rPr>
              <w:t>EUR v 2021</w:t>
            </w:r>
          </w:p>
        </w:tc>
      </w:tr>
      <w:tr w:rsidR="00836493" w:rsidRPr="00836493" w:rsidTr="009F546D">
        <w:tc>
          <w:tcPr>
            <w:tcW w:w="1980"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bottom"/>
          </w:tcPr>
          <w:p w:rsidR="00836493" w:rsidRPr="00836493" w:rsidRDefault="00836493" w:rsidP="00836493">
            <w:pPr>
              <w:spacing w:after="0" w:line="240" w:lineRule="auto"/>
              <w:jc w:val="both"/>
              <w:rPr>
                <w:rFonts w:eastAsia="Calibri" w:cs="Arial"/>
                <w:sz w:val="24"/>
                <w:szCs w:val="24"/>
              </w:rPr>
            </w:pPr>
            <w:r w:rsidRPr="00836493">
              <w:rPr>
                <w:rFonts w:eastAsia="Arial" w:cs="Arial"/>
                <w:b/>
                <w:sz w:val="24"/>
                <w:szCs w:val="24"/>
              </w:rPr>
              <w:t>Upravičeni stroški</w:t>
            </w:r>
          </w:p>
        </w:tc>
        <w:tc>
          <w:tcPr>
            <w:tcW w:w="1161"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 </w:t>
            </w:r>
          </w:p>
        </w:tc>
        <w:tc>
          <w:tcPr>
            <w:tcW w:w="1496"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 </w:t>
            </w:r>
          </w:p>
        </w:tc>
        <w:tc>
          <w:tcPr>
            <w:tcW w:w="1496"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 </w:t>
            </w:r>
          </w:p>
        </w:tc>
        <w:tc>
          <w:tcPr>
            <w:tcW w:w="154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836493" w:rsidRPr="00836493" w:rsidRDefault="00836493" w:rsidP="00836493">
            <w:pPr>
              <w:spacing w:after="0" w:line="240" w:lineRule="auto"/>
              <w:jc w:val="center"/>
              <w:rPr>
                <w:rFonts w:eastAsia="Calibri" w:cs="Arial"/>
                <w:sz w:val="24"/>
                <w:szCs w:val="24"/>
              </w:rPr>
            </w:pPr>
            <w:r w:rsidRPr="00836493">
              <w:rPr>
                <w:rFonts w:eastAsia="Arial" w:cs="Arial"/>
                <w:b/>
                <w:sz w:val="24"/>
                <w:szCs w:val="24"/>
              </w:rPr>
              <w:t> </w:t>
            </w:r>
          </w:p>
        </w:tc>
        <w:tc>
          <w:tcPr>
            <w:tcW w:w="1399" w:type="dxa"/>
            <w:tcBorders>
              <w:top w:val="single" w:sz="0" w:space="0" w:color="000000"/>
              <w:left w:val="single" w:sz="0" w:space="0" w:color="000000"/>
              <w:bottom w:val="single" w:sz="4" w:space="0" w:color="000000"/>
              <w:right w:val="single" w:sz="4" w:space="0" w:color="000000"/>
            </w:tcBorders>
            <w:shd w:val="clear" w:color="auto" w:fill="D9D9D9"/>
          </w:tcPr>
          <w:p w:rsidR="00836493" w:rsidRPr="00836493" w:rsidRDefault="00836493" w:rsidP="00836493">
            <w:pPr>
              <w:spacing w:after="0" w:line="240" w:lineRule="auto"/>
              <w:jc w:val="center"/>
              <w:rPr>
                <w:rFonts w:eastAsia="Arial" w:cs="Arial"/>
                <w:b/>
                <w:sz w:val="24"/>
                <w:szCs w:val="24"/>
              </w:rPr>
            </w:pPr>
          </w:p>
        </w:tc>
      </w:tr>
      <w:tr w:rsidR="00836493" w:rsidRPr="00836493" w:rsidTr="009F546D">
        <w:tc>
          <w:tcPr>
            <w:tcW w:w="198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36493" w:rsidRPr="00836493" w:rsidRDefault="00836493" w:rsidP="00836493">
            <w:pPr>
              <w:spacing w:after="0" w:line="240" w:lineRule="auto"/>
              <w:jc w:val="both"/>
              <w:rPr>
                <w:rFonts w:eastAsia="Calibri" w:cs="Arial"/>
                <w:sz w:val="24"/>
                <w:szCs w:val="24"/>
              </w:rPr>
            </w:pPr>
            <w:r w:rsidRPr="00836493">
              <w:rPr>
                <w:rFonts w:eastAsia="Arial" w:cs="Arial"/>
                <w:sz w:val="24"/>
                <w:szCs w:val="24"/>
              </w:rPr>
              <w:t>Evropski kmetijski sklad za razvoj podeželja - EKSRP</w:t>
            </w:r>
          </w:p>
        </w:tc>
        <w:tc>
          <w:tcPr>
            <w:tcW w:w="116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75,80</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61.054,65</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43.204,65</w:t>
            </w:r>
          </w:p>
        </w:tc>
        <w:tc>
          <w:tcPr>
            <w:tcW w:w="15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9.435,00</w:t>
            </w:r>
          </w:p>
        </w:tc>
        <w:tc>
          <w:tcPr>
            <w:tcW w:w="1399" w:type="dxa"/>
            <w:tcBorders>
              <w:top w:val="single" w:sz="0" w:space="0" w:color="000000"/>
              <w:left w:val="single" w:sz="0" w:space="0" w:color="000000"/>
              <w:bottom w:val="single" w:sz="4" w:space="0" w:color="000000"/>
              <w:right w:val="single" w:sz="4"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8.415,00</w:t>
            </w:r>
          </w:p>
        </w:tc>
      </w:tr>
      <w:tr w:rsidR="00836493" w:rsidRPr="00836493" w:rsidTr="009F546D">
        <w:tc>
          <w:tcPr>
            <w:tcW w:w="198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36493" w:rsidRPr="00836493" w:rsidRDefault="00836493" w:rsidP="00836493">
            <w:pPr>
              <w:spacing w:after="0" w:line="240" w:lineRule="auto"/>
              <w:jc w:val="both"/>
              <w:rPr>
                <w:rFonts w:eastAsia="Calibri" w:cs="Arial"/>
                <w:sz w:val="24"/>
                <w:szCs w:val="24"/>
              </w:rPr>
            </w:pPr>
            <w:r w:rsidRPr="00836493">
              <w:rPr>
                <w:rFonts w:eastAsia="Arial" w:cs="Arial"/>
                <w:sz w:val="24"/>
                <w:szCs w:val="24"/>
              </w:rPr>
              <w:t>Občina Ravne na K.</w:t>
            </w:r>
          </w:p>
        </w:tc>
        <w:tc>
          <w:tcPr>
            <w:tcW w:w="116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8,09</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6.513,30</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5.725,80</w:t>
            </w:r>
          </w:p>
        </w:tc>
        <w:tc>
          <w:tcPr>
            <w:tcW w:w="15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416,25</w:t>
            </w:r>
          </w:p>
        </w:tc>
        <w:tc>
          <w:tcPr>
            <w:tcW w:w="1399" w:type="dxa"/>
            <w:tcBorders>
              <w:top w:val="single" w:sz="0" w:space="0" w:color="000000"/>
              <w:left w:val="single" w:sz="0" w:space="0" w:color="000000"/>
              <w:bottom w:val="single" w:sz="4" w:space="0" w:color="000000"/>
              <w:right w:val="single" w:sz="4"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371,25</w:t>
            </w:r>
          </w:p>
        </w:tc>
      </w:tr>
      <w:tr w:rsidR="00836493" w:rsidRPr="00836493" w:rsidTr="009F546D">
        <w:tc>
          <w:tcPr>
            <w:tcW w:w="198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36493" w:rsidRPr="00836493" w:rsidRDefault="00836493" w:rsidP="00836493">
            <w:pPr>
              <w:spacing w:after="0" w:line="240" w:lineRule="auto"/>
              <w:jc w:val="both"/>
              <w:rPr>
                <w:rFonts w:eastAsia="Calibri" w:cs="Arial"/>
                <w:sz w:val="24"/>
                <w:szCs w:val="24"/>
              </w:rPr>
            </w:pPr>
            <w:r w:rsidRPr="00836493">
              <w:rPr>
                <w:rFonts w:eastAsia="Arial" w:cs="Arial"/>
                <w:sz w:val="24"/>
                <w:szCs w:val="24"/>
              </w:rPr>
              <w:t>Občina Prevalje</w:t>
            </w:r>
          </w:p>
        </w:tc>
        <w:tc>
          <w:tcPr>
            <w:tcW w:w="116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5,84</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4.700,30</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3.912,80</w:t>
            </w:r>
          </w:p>
        </w:tc>
        <w:tc>
          <w:tcPr>
            <w:tcW w:w="15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416,25</w:t>
            </w:r>
          </w:p>
        </w:tc>
        <w:tc>
          <w:tcPr>
            <w:tcW w:w="1399" w:type="dxa"/>
            <w:tcBorders>
              <w:top w:val="single" w:sz="0" w:space="0" w:color="000000"/>
              <w:left w:val="single" w:sz="0" w:space="0" w:color="000000"/>
              <w:bottom w:val="single" w:sz="4" w:space="0" w:color="000000"/>
              <w:right w:val="single" w:sz="4"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371,25</w:t>
            </w:r>
          </w:p>
        </w:tc>
      </w:tr>
      <w:tr w:rsidR="00836493" w:rsidRPr="00836493" w:rsidTr="009F546D">
        <w:tc>
          <w:tcPr>
            <w:tcW w:w="198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36493" w:rsidRPr="00836493" w:rsidRDefault="00836493" w:rsidP="00836493">
            <w:pPr>
              <w:spacing w:after="0" w:line="240" w:lineRule="auto"/>
              <w:jc w:val="both"/>
              <w:rPr>
                <w:rFonts w:eastAsia="Calibri" w:cs="Arial"/>
                <w:sz w:val="24"/>
                <w:szCs w:val="24"/>
              </w:rPr>
            </w:pPr>
            <w:r w:rsidRPr="00836493">
              <w:rPr>
                <w:rFonts w:eastAsia="Arial" w:cs="Arial"/>
                <w:sz w:val="24"/>
                <w:szCs w:val="24"/>
              </w:rPr>
              <w:t>Občina Mežica</w:t>
            </w:r>
          </w:p>
        </w:tc>
        <w:tc>
          <w:tcPr>
            <w:tcW w:w="116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6,43</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5.181,30</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4.393,80</w:t>
            </w:r>
          </w:p>
        </w:tc>
        <w:tc>
          <w:tcPr>
            <w:tcW w:w="15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416,25</w:t>
            </w:r>
          </w:p>
        </w:tc>
        <w:tc>
          <w:tcPr>
            <w:tcW w:w="1399" w:type="dxa"/>
            <w:tcBorders>
              <w:top w:val="single" w:sz="0" w:space="0" w:color="000000"/>
              <w:left w:val="single" w:sz="0" w:space="0" w:color="000000"/>
              <w:bottom w:val="single" w:sz="4" w:space="0" w:color="000000"/>
              <w:right w:val="single" w:sz="4"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371,25</w:t>
            </w:r>
          </w:p>
        </w:tc>
      </w:tr>
      <w:tr w:rsidR="00836493" w:rsidRPr="00836493" w:rsidTr="009F546D">
        <w:tc>
          <w:tcPr>
            <w:tcW w:w="198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36493" w:rsidRPr="00836493" w:rsidRDefault="00836493" w:rsidP="00836493">
            <w:pPr>
              <w:spacing w:after="0" w:line="240" w:lineRule="auto"/>
              <w:jc w:val="both"/>
              <w:rPr>
                <w:rFonts w:eastAsia="Calibri" w:cs="Arial"/>
                <w:sz w:val="24"/>
                <w:szCs w:val="24"/>
              </w:rPr>
            </w:pPr>
            <w:r w:rsidRPr="00836493">
              <w:rPr>
                <w:rFonts w:eastAsia="Arial" w:cs="Arial"/>
                <w:sz w:val="24"/>
                <w:szCs w:val="24"/>
              </w:rPr>
              <w:t>Občina Črna na Kor.</w:t>
            </w:r>
          </w:p>
        </w:tc>
        <w:tc>
          <w:tcPr>
            <w:tcW w:w="116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3,85</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3.097,83</w:t>
            </w:r>
          </w:p>
        </w:tc>
        <w:tc>
          <w:tcPr>
            <w:tcW w:w="149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2.310,33</w:t>
            </w:r>
          </w:p>
        </w:tc>
        <w:tc>
          <w:tcPr>
            <w:tcW w:w="15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416,25</w:t>
            </w:r>
          </w:p>
        </w:tc>
        <w:tc>
          <w:tcPr>
            <w:tcW w:w="1399" w:type="dxa"/>
            <w:tcBorders>
              <w:top w:val="single" w:sz="0" w:space="0" w:color="000000"/>
              <w:left w:val="single" w:sz="0" w:space="0" w:color="000000"/>
              <w:bottom w:val="single" w:sz="4" w:space="0" w:color="000000"/>
              <w:right w:val="single" w:sz="4"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rPr>
            </w:pPr>
            <w:r w:rsidRPr="00836493">
              <w:rPr>
                <w:rFonts w:eastAsia="Calibri" w:cs="Arial"/>
                <w:color w:val="000000"/>
                <w:sz w:val="24"/>
                <w:szCs w:val="24"/>
              </w:rPr>
              <w:t>371,25</w:t>
            </w:r>
          </w:p>
        </w:tc>
      </w:tr>
      <w:tr w:rsidR="00836493" w:rsidRPr="00836493" w:rsidTr="009F546D">
        <w:tc>
          <w:tcPr>
            <w:tcW w:w="1980" w:type="dxa"/>
            <w:tcBorders>
              <w:top w:val="single" w:sz="0" w:space="0" w:color="000000"/>
              <w:left w:val="single" w:sz="4" w:space="0" w:color="000000"/>
              <w:bottom w:val="single" w:sz="4" w:space="0" w:color="000000"/>
              <w:right w:val="single" w:sz="4" w:space="0" w:color="000000"/>
            </w:tcBorders>
            <w:shd w:val="clear" w:color="auto" w:fill="F2F2F2"/>
            <w:tcMar>
              <w:left w:w="70" w:type="dxa"/>
              <w:right w:w="70" w:type="dxa"/>
            </w:tcMar>
            <w:vAlign w:val="bottom"/>
          </w:tcPr>
          <w:p w:rsidR="00836493" w:rsidRPr="00836493" w:rsidRDefault="00836493" w:rsidP="00836493">
            <w:pPr>
              <w:spacing w:after="0" w:line="240" w:lineRule="auto"/>
              <w:jc w:val="both"/>
              <w:rPr>
                <w:rFonts w:eastAsia="Calibri" w:cs="Arial"/>
                <w:sz w:val="24"/>
                <w:szCs w:val="24"/>
              </w:rPr>
            </w:pPr>
            <w:r w:rsidRPr="00836493">
              <w:rPr>
                <w:rFonts w:eastAsia="Arial" w:cs="Arial"/>
                <w:b/>
                <w:sz w:val="24"/>
                <w:szCs w:val="24"/>
              </w:rPr>
              <w:t>Skupaj</w:t>
            </w:r>
          </w:p>
        </w:tc>
        <w:tc>
          <w:tcPr>
            <w:tcW w:w="1161" w:type="dxa"/>
            <w:tcBorders>
              <w:top w:val="single" w:sz="0" w:space="0" w:color="000000"/>
              <w:left w:val="single" w:sz="0" w:space="0" w:color="000000"/>
              <w:bottom w:val="single" w:sz="4" w:space="0" w:color="000000"/>
              <w:right w:val="single" w:sz="4" w:space="0" w:color="000000"/>
            </w:tcBorders>
            <w:shd w:val="clear" w:color="auto" w:fill="F2F2F2"/>
            <w:tcMar>
              <w:left w:w="70" w:type="dxa"/>
              <w:right w:w="70" w:type="dxa"/>
            </w:tcMar>
            <w:vAlign w:val="center"/>
          </w:tcPr>
          <w:p w:rsidR="00836493" w:rsidRPr="00836493" w:rsidRDefault="00836493" w:rsidP="00836493">
            <w:pPr>
              <w:spacing w:after="0" w:line="240" w:lineRule="auto"/>
              <w:jc w:val="center"/>
              <w:rPr>
                <w:rFonts w:eastAsia="Times New Roman" w:cs="Arial"/>
                <w:b/>
                <w:bCs/>
                <w:color w:val="000000"/>
                <w:sz w:val="24"/>
                <w:szCs w:val="24"/>
              </w:rPr>
            </w:pPr>
            <w:r w:rsidRPr="00836493">
              <w:rPr>
                <w:rFonts w:eastAsia="Times New Roman" w:cs="Arial"/>
                <w:b/>
                <w:bCs/>
                <w:color w:val="000000"/>
                <w:sz w:val="24"/>
                <w:szCs w:val="24"/>
              </w:rPr>
              <w:t>100,00</w:t>
            </w:r>
          </w:p>
        </w:tc>
        <w:tc>
          <w:tcPr>
            <w:tcW w:w="1496" w:type="dxa"/>
            <w:tcBorders>
              <w:top w:val="single" w:sz="0" w:space="0" w:color="000000"/>
              <w:left w:val="single" w:sz="0" w:space="0" w:color="000000"/>
              <w:bottom w:val="single" w:sz="4" w:space="0" w:color="000000"/>
              <w:right w:val="single" w:sz="4" w:space="0" w:color="000000"/>
            </w:tcBorders>
            <w:shd w:val="clear" w:color="auto" w:fill="F2F2F2"/>
            <w:tcMar>
              <w:left w:w="70" w:type="dxa"/>
              <w:right w:w="70" w:type="dxa"/>
            </w:tcMar>
            <w:vAlign w:val="center"/>
          </w:tcPr>
          <w:p w:rsidR="00836493" w:rsidRPr="00836493" w:rsidRDefault="00836493" w:rsidP="00836493">
            <w:pPr>
              <w:spacing w:after="0" w:line="240" w:lineRule="auto"/>
              <w:jc w:val="center"/>
              <w:rPr>
                <w:rFonts w:eastAsia="Times New Roman" w:cs="Arial"/>
                <w:b/>
                <w:bCs/>
                <w:color w:val="000000"/>
                <w:sz w:val="24"/>
                <w:szCs w:val="24"/>
              </w:rPr>
            </w:pPr>
            <w:r w:rsidRPr="00836493">
              <w:rPr>
                <w:rFonts w:eastAsia="Calibri" w:cs="Arial"/>
                <w:b/>
                <w:bCs/>
                <w:color w:val="000000"/>
                <w:sz w:val="24"/>
                <w:szCs w:val="24"/>
              </w:rPr>
              <w:t>80.547,38</w:t>
            </w:r>
          </w:p>
        </w:tc>
        <w:tc>
          <w:tcPr>
            <w:tcW w:w="1496" w:type="dxa"/>
            <w:tcBorders>
              <w:top w:val="single" w:sz="0" w:space="0" w:color="000000"/>
              <w:left w:val="single" w:sz="0" w:space="0" w:color="000000"/>
              <w:bottom w:val="single" w:sz="4" w:space="0" w:color="000000"/>
              <w:right w:val="single" w:sz="4" w:space="0" w:color="000000"/>
            </w:tcBorders>
            <w:shd w:val="clear" w:color="auto" w:fill="F2F2F2"/>
            <w:tcMar>
              <w:left w:w="70" w:type="dxa"/>
              <w:right w:w="70" w:type="dxa"/>
            </w:tcMar>
            <w:vAlign w:val="center"/>
          </w:tcPr>
          <w:p w:rsidR="00836493" w:rsidRPr="00836493" w:rsidRDefault="00836493" w:rsidP="00836493">
            <w:pPr>
              <w:spacing w:after="0" w:line="240" w:lineRule="auto"/>
              <w:jc w:val="center"/>
              <w:rPr>
                <w:rFonts w:eastAsia="Times New Roman" w:cs="Arial"/>
                <w:b/>
                <w:bCs/>
                <w:color w:val="000000"/>
                <w:sz w:val="24"/>
                <w:szCs w:val="24"/>
              </w:rPr>
            </w:pPr>
            <w:r w:rsidRPr="00836493">
              <w:rPr>
                <w:rFonts w:eastAsia="Calibri" w:cs="Arial"/>
                <w:b/>
                <w:bCs/>
                <w:color w:val="000000"/>
                <w:sz w:val="24"/>
                <w:szCs w:val="24"/>
              </w:rPr>
              <w:t>59.547,38</w:t>
            </w:r>
          </w:p>
        </w:tc>
        <w:tc>
          <w:tcPr>
            <w:tcW w:w="1543" w:type="dxa"/>
            <w:tcBorders>
              <w:top w:val="single" w:sz="0" w:space="0" w:color="000000"/>
              <w:left w:val="single" w:sz="0" w:space="0" w:color="000000"/>
              <w:bottom w:val="single" w:sz="4" w:space="0" w:color="000000"/>
              <w:right w:val="single" w:sz="4" w:space="0" w:color="000000"/>
            </w:tcBorders>
            <w:shd w:val="clear" w:color="auto" w:fill="F2F2F2"/>
            <w:tcMar>
              <w:left w:w="70" w:type="dxa"/>
              <w:right w:w="70" w:type="dxa"/>
            </w:tcMar>
            <w:vAlign w:val="center"/>
          </w:tcPr>
          <w:p w:rsidR="00836493" w:rsidRPr="00836493" w:rsidRDefault="00836493" w:rsidP="00836493">
            <w:pPr>
              <w:spacing w:after="0" w:line="240" w:lineRule="auto"/>
              <w:jc w:val="center"/>
              <w:rPr>
                <w:rFonts w:eastAsia="Times New Roman" w:cs="Arial"/>
                <w:b/>
                <w:bCs/>
                <w:color w:val="000000"/>
                <w:sz w:val="24"/>
                <w:szCs w:val="24"/>
              </w:rPr>
            </w:pPr>
            <w:r w:rsidRPr="00836493">
              <w:rPr>
                <w:rFonts w:eastAsia="Calibri" w:cs="Arial"/>
                <w:b/>
                <w:bCs/>
                <w:color w:val="000000"/>
                <w:sz w:val="24"/>
                <w:szCs w:val="24"/>
              </w:rPr>
              <w:t>11.100,00</w:t>
            </w:r>
          </w:p>
        </w:tc>
        <w:tc>
          <w:tcPr>
            <w:tcW w:w="1399" w:type="dxa"/>
            <w:tcBorders>
              <w:top w:val="single" w:sz="0" w:space="0" w:color="000000"/>
              <w:left w:val="single" w:sz="0" w:space="0" w:color="000000"/>
              <w:bottom w:val="single" w:sz="4" w:space="0" w:color="000000"/>
              <w:right w:val="single" w:sz="4" w:space="0" w:color="000000"/>
            </w:tcBorders>
            <w:shd w:val="clear" w:color="auto" w:fill="F2F2F2"/>
            <w:vAlign w:val="center"/>
          </w:tcPr>
          <w:p w:rsidR="00836493" w:rsidRPr="00836493" w:rsidRDefault="00836493" w:rsidP="00836493">
            <w:pPr>
              <w:spacing w:after="0" w:line="240" w:lineRule="auto"/>
              <w:jc w:val="center"/>
              <w:rPr>
                <w:rFonts w:eastAsia="Times New Roman" w:cs="Arial"/>
                <w:b/>
                <w:bCs/>
                <w:color w:val="000000"/>
                <w:sz w:val="24"/>
                <w:szCs w:val="24"/>
              </w:rPr>
            </w:pPr>
            <w:r w:rsidRPr="00836493">
              <w:rPr>
                <w:rFonts w:eastAsia="Calibri" w:cs="Arial"/>
                <w:b/>
                <w:bCs/>
                <w:color w:val="000000"/>
                <w:sz w:val="24"/>
                <w:szCs w:val="24"/>
              </w:rPr>
              <w:t>9.900,00</w:t>
            </w:r>
          </w:p>
        </w:tc>
      </w:tr>
    </w:tbl>
    <w:p w:rsidR="00BB3B40" w:rsidRDefault="00BB3B40" w:rsidP="00404574">
      <w:pPr>
        <w:spacing w:line="240" w:lineRule="auto"/>
        <w:jc w:val="both"/>
        <w:rPr>
          <w:rFonts w:eastAsia="Calibri" w:cstheme="minorHAnsi"/>
          <w:sz w:val="24"/>
          <w:szCs w:val="24"/>
          <w:lang w:eastAsia="sl-SI"/>
        </w:rPr>
      </w:pPr>
    </w:p>
    <w:p w:rsidR="00836493" w:rsidRDefault="00836493" w:rsidP="00404574">
      <w:pPr>
        <w:spacing w:line="240" w:lineRule="auto"/>
        <w:jc w:val="both"/>
        <w:rPr>
          <w:rFonts w:eastAsia="Calibri" w:cstheme="minorHAnsi"/>
          <w:sz w:val="24"/>
          <w:szCs w:val="24"/>
          <w:lang w:eastAsia="sl-SI"/>
        </w:rPr>
      </w:pPr>
    </w:p>
    <w:p w:rsidR="00836493" w:rsidRDefault="00836493" w:rsidP="00404574">
      <w:pPr>
        <w:spacing w:line="240" w:lineRule="auto"/>
        <w:jc w:val="both"/>
        <w:rPr>
          <w:rFonts w:eastAsia="Calibri" w:cstheme="minorHAnsi"/>
          <w:sz w:val="24"/>
          <w:szCs w:val="24"/>
          <w:lang w:eastAsia="sl-SI"/>
        </w:rPr>
      </w:pPr>
    </w:p>
    <w:p w:rsidR="00836493" w:rsidRDefault="00836493" w:rsidP="00404574">
      <w:pPr>
        <w:spacing w:line="240" w:lineRule="auto"/>
        <w:jc w:val="both"/>
        <w:rPr>
          <w:rFonts w:eastAsia="Calibri" w:cstheme="minorHAnsi"/>
          <w:sz w:val="24"/>
          <w:szCs w:val="24"/>
          <w:lang w:eastAsia="sl-SI"/>
        </w:rPr>
      </w:pPr>
    </w:p>
    <w:p w:rsidR="00F7611B" w:rsidRDefault="00F7611B" w:rsidP="00404574">
      <w:pPr>
        <w:spacing w:line="240" w:lineRule="auto"/>
        <w:jc w:val="both"/>
        <w:rPr>
          <w:rFonts w:eastAsia="Calibri" w:cstheme="minorHAnsi"/>
          <w:sz w:val="24"/>
          <w:szCs w:val="24"/>
          <w:lang w:eastAsia="sl-SI"/>
        </w:rPr>
      </w:pPr>
    </w:p>
    <w:p w:rsidR="00F7611B" w:rsidRPr="00836493" w:rsidRDefault="00F7611B" w:rsidP="00404574">
      <w:pPr>
        <w:spacing w:line="240" w:lineRule="auto"/>
        <w:jc w:val="both"/>
        <w:rPr>
          <w:rFonts w:eastAsia="Calibri" w:cstheme="minorHAnsi"/>
          <w:sz w:val="24"/>
          <w:szCs w:val="24"/>
          <w:lang w:eastAsia="sl-SI"/>
        </w:rPr>
      </w:pPr>
    </w:p>
    <w:p w:rsidR="00836493" w:rsidRPr="00836493" w:rsidRDefault="00836493" w:rsidP="00836493">
      <w:pPr>
        <w:spacing w:after="0"/>
        <w:jc w:val="both"/>
        <w:rPr>
          <w:rFonts w:eastAsia="Calibri" w:cs="Arial"/>
          <w:b/>
          <w:bCs/>
          <w:caps/>
          <w:sz w:val="24"/>
          <w:szCs w:val="24"/>
        </w:rPr>
      </w:pPr>
      <w:r w:rsidRPr="00836493">
        <w:rPr>
          <w:rFonts w:eastAsia="Calibri" w:cs="Arial"/>
          <w:b/>
          <w:bCs/>
          <w:caps/>
          <w:sz w:val="24"/>
          <w:szCs w:val="24"/>
        </w:rPr>
        <w:t>Tabela 5: Struktura stroškov po posameznih letih za Občino PREVALJE, po stalnih cenah:</w:t>
      </w:r>
    </w:p>
    <w:tbl>
      <w:tblPr>
        <w:tblW w:w="7766" w:type="dxa"/>
        <w:tblInd w:w="55" w:type="dxa"/>
        <w:tblCellMar>
          <w:left w:w="70" w:type="dxa"/>
          <w:right w:w="70" w:type="dxa"/>
        </w:tblCellMar>
        <w:tblLook w:val="04A0" w:firstRow="1" w:lastRow="0" w:firstColumn="1" w:lastColumn="0" w:noHBand="0" w:noVBand="1"/>
      </w:tblPr>
      <w:tblGrid>
        <w:gridCol w:w="2620"/>
        <w:gridCol w:w="1237"/>
        <w:gridCol w:w="1275"/>
        <w:gridCol w:w="1276"/>
        <w:gridCol w:w="1358"/>
      </w:tblGrid>
      <w:tr w:rsidR="00836493" w:rsidRPr="00836493" w:rsidTr="009F546D">
        <w:trPr>
          <w:trHeight w:val="396"/>
        </w:trPr>
        <w:tc>
          <w:tcPr>
            <w:tcW w:w="2620"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both"/>
              <w:rPr>
                <w:rFonts w:eastAsia="Times New Roman" w:cs="Arial"/>
                <w:b/>
                <w:bCs/>
                <w:color w:val="000000"/>
                <w:sz w:val="24"/>
                <w:szCs w:val="24"/>
                <w:lang w:eastAsia="sl-SI"/>
              </w:rPr>
            </w:pPr>
            <w:r w:rsidRPr="00836493">
              <w:rPr>
                <w:rFonts w:eastAsia="Times New Roman" w:cs="Arial"/>
                <w:b/>
                <w:bCs/>
                <w:color w:val="000000"/>
                <w:sz w:val="24"/>
                <w:szCs w:val="24"/>
                <w:lang w:eastAsia="sl-SI"/>
              </w:rPr>
              <w:t>Tabela: Investicijski stroški - stalne cene (brez DDV)</w:t>
            </w:r>
          </w:p>
        </w:tc>
        <w:tc>
          <w:tcPr>
            <w:tcW w:w="1237" w:type="dxa"/>
            <w:tcBorders>
              <w:top w:val="single" w:sz="8" w:space="0" w:color="000000"/>
              <w:left w:val="nil"/>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Skupaj v EUR</w:t>
            </w:r>
          </w:p>
        </w:tc>
        <w:tc>
          <w:tcPr>
            <w:tcW w:w="1275" w:type="dxa"/>
            <w:tcBorders>
              <w:top w:val="single" w:sz="8" w:space="0" w:color="000000"/>
              <w:left w:val="nil"/>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EUR v 2019</w:t>
            </w:r>
          </w:p>
        </w:tc>
        <w:tc>
          <w:tcPr>
            <w:tcW w:w="1276" w:type="dxa"/>
            <w:tcBorders>
              <w:top w:val="single" w:sz="8" w:space="0" w:color="000000"/>
              <w:left w:val="nil"/>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EUR v 2020</w:t>
            </w:r>
          </w:p>
        </w:tc>
        <w:tc>
          <w:tcPr>
            <w:tcW w:w="1358" w:type="dxa"/>
            <w:tcBorders>
              <w:top w:val="single" w:sz="8" w:space="0" w:color="000000"/>
              <w:left w:val="nil"/>
              <w:bottom w:val="single" w:sz="8" w:space="0" w:color="000000"/>
              <w:right w:val="single" w:sz="8" w:space="0" w:color="000000"/>
            </w:tcBorders>
            <w:shd w:val="clear" w:color="000000" w:fill="C5D9F1"/>
          </w:tcPr>
          <w:p w:rsidR="00836493" w:rsidRPr="00836493" w:rsidRDefault="00836493" w:rsidP="00836493">
            <w:pPr>
              <w:spacing w:after="0" w:line="240" w:lineRule="auto"/>
              <w:jc w:val="center"/>
              <w:rPr>
                <w:rFonts w:eastAsia="Times New Roman" w:cs="Arial"/>
                <w:b/>
                <w:bCs/>
                <w:color w:val="000000"/>
                <w:sz w:val="24"/>
                <w:szCs w:val="24"/>
                <w:lang w:eastAsia="sl-SI"/>
              </w:rPr>
            </w:pPr>
          </w:p>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EUR v 2021</w:t>
            </w:r>
          </w:p>
        </w:tc>
      </w:tr>
      <w:tr w:rsidR="00836493" w:rsidRPr="00836493" w:rsidTr="009F546D">
        <w:trPr>
          <w:trHeight w:val="300"/>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836493" w:rsidRPr="00836493" w:rsidRDefault="00836493" w:rsidP="00836493">
            <w:pPr>
              <w:spacing w:after="0" w:line="240" w:lineRule="auto"/>
              <w:jc w:val="both"/>
              <w:rPr>
                <w:rFonts w:eastAsia="Times New Roman" w:cs="Arial"/>
                <w:b/>
                <w:bCs/>
                <w:color w:val="000000"/>
                <w:sz w:val="24"/>
                <w:szCs w:val="24"/>
                <w:lang w:eastAsia="sl-SI"/>
              </w:rPr>
            </w:pPr>
            <w:r w:rsidRPr="00836493">
              <w:rPr>
                <w:rFonts w:eastAsia="Times New Roman" w:cs="Arial"/>
                <w:b/>
                <w:bCs/>
                <w:color w:val="000000"/>
                <w:sz w:val="24"/>
                <w:szCs w:val="24"/>
                <w:lang w:eastAsia="sl-SI"/>
              </w:rPr>
              <w:t>Nakup opreme – AED aparati in generatorji</w:t>
            </w:r>
          </w:p>
        </w:tc>
        <w:tc>
          <w:tcPr>
            <w:tcW w:w="1237"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9.000,00</w:t>
            </w:r>
          </w:p>
        </w:tc>
        <w:tc>
          <w:tcPr>
            <w:tcW w:w="1275"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9000,00</w:t>
            </w:r>
          </w:p>
        </w:tc>
        <w:tc>
          <w:tcPr>
            <w:tcW w:w="1276"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0</w:t>
            </w:r>
          </w:p>
        </w:tc>
        <w:tc>
          <w:tcPr>
            <w:tcW w:w="1358" w:type="dxa"/>
            <w:tcBorders>
              <w:top w:val="nil"/>
              <w:left w:val="nil"/>
              <w:bottom w:val="single" w:sz="8" w:space="0" w:color="000000"/>
              <w:right w:val="single" w:sz="8"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0</w:t>
            </w:r>
          </w:p>
        </w:tc>
      </w:tr>
      <w:tr w:rsidR="00836493" w:rsidRPr="00836493" w:rsidTr="009F546D">
        <w:trPr>
          <w:trHeight w:val="300"/>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836493" w:rsidRPr="00836493" w:rsidRDefault="00836493" w:rsidP="00836493">
            <w:pPr>
              <w:spacing w:after="0" w:line="240" w:lineRule="auto"/>
              <w:jc w:val="both"/>
              <w:rPr>
                <w:rFonts w:eastAsia="Times New Roman" w:cs="Arial"/>
                <w:b/>
                <w:bCs/>
                <w:color w:val="000000"/>
                <w:sz w:val="24"/>
                <w:szCs w:val="24"/>
                <w:lang w:eastAsia="sl-SI"/>
              </w:rPr>
            </w:pPr>
            <w:r w:rsidRPr="00836493">
              <w:rPr>
                <w:rFonts w:eastAsia="Times New Roman" w:cs="Arial"/>
                <w:b/>
                <w:bCs/>
                <w:color w:val="000000"/>
                <w:sz w:val="24"/>
                <w:szCs w:val="24"/>
                <w:lang w:eastAsia="sl-SI"/>
              </w:rPr>
              <w:t>Drugi stroški – delavnice, informativna gradiva, aktivnosti sodelovanja</w:t>
            </w:r>
          </w:p>
        </w:tc>
        <w:tc>
          <w:tcPr>
            <w:tcW w:w="1237"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8.490,00</w:t>
            </w:r>
          </w:p>
        </w:tc>
        <w:tc>
          <w:tcPr>
            <w:tcW w:w="1275"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3.240,00</w:t>
            </w:r>
          </w:p>
        </w:tc>
        <w:tc>
          <w:tcPr>
            <w:tcW w:w="1276"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2.775,00</w:t>
            </w:r>
          </w:p>
        </w:tc>
        <w:tc>
          <w:tcPr>
            <w:tcW w:w="1358" w:type="dxa"/>
            <w:tcBorders>
              <w:top w:val="nil"/>
              <w:left w:val="nil"/>
              <w:bottom w:val="single" w:sz="8" w:space="0" w:color="000000"/>
              <w:right w:val="single" w:sz="8"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2.475,00</w:t>
            </w:r>
          </w:p>
        </w:tc>
      </w:tr>
      <w:tr w:rsidR="00836493" w:rsidRPr="00836493" w:rsidTr="009F546D">
        <w:trPr>
          <w:trHeight w:val="300"/>
        </w:trPr>
        <w:tc>
          <w:tcPr>
            <w:tcW w:w="2620" w:type="dxa"/>
            <w:tcBorders>
              <w:top w:val="nil"/>
              <w:left w:val="single" w:sz="8" w:space="0" w:color="000000"/>
              <w:bottom w:val="single" w:sz="8" w:space="0" w:color="000000"/>
              <w:right w:val="single" w:sz="8" w:space="0" w:color="000000"/>
            </w:tcBorders>
            <w:shd w:val="clear" w:color="000000" w:fill="F2F2F2"/>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Skupaj brez DDV</w:t>
            </w:r>
          </w:p>
        </w:tc>
        <w:tc>
          <w:tcPr>
            <w:tcW w:w="1237"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17.490,00</w:t>
            </w:r>
          </w:p>
        </w:tc>
        <w:tc>
          <w:tcPr>
            <w:tcW w:w="1275"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12.240,00</w:t>
            </w:r>
          </w:p>
        </w:tc>
        <w:tc>
          <w:tcPr>
            <w:tcW w:w="1276"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2.775,00</w:t>
            </w:r>
          </w:p>
        </w:tc>
        <w:tc>
          <w:tcPr>
            <w:tcW w:w="1358"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2.475,00</w:t>
            </w:r>
          </w:p>
        </w:tc>
      </w:tr>
      <w:tr w:rsidR="00836493" w:rsidRPr="00836493" w:rsidTr="009F546D">
        <w:trPr>
          <w:trHeight w:val="300"/>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836493" w:rsidRPr="00836493" w:rsidRDefault="00836493" w:rsidP="00836493">
            <w:pPr>
              <w:spacing w:after="0" w:line="240" w:lineRule="auto"/>
              <w:jc w:val="right"/>
              <w:rPr>
                <w:rFonts w:eastAsia="Times New Roman" w:cs="Arial"/>
                <w:b/>
                <w:bCs/>
                <w:color w:val="000000"/>
                <w:sz w:val="24"/>
                <w:szCs w:val="24"/>
                <w:lang w:eastAsia="sl-SI"/>
              </w:rPr>
            </w:pPr>
            <w:r w:rsidRPr="00836493">
              <w:rPr>
                <w:rFonts w:eastAsia="Times New Roman" w:cs="Arial"/>
                <w:b/>
                <w:bCs/>
                <w:color w:val="000000"/>
                <w:sz w:val="24"/>
                <w:szCs w:val="24"/>
                <w:lang w:eastAsia="sl-SI"/>
              </w:rPr>
              <w:t xml:space="preserve">DDV </w:t>
            </w:r>
          </w:p>
        </w:tc>
        <w:tc>
          <w:tcPr>
            <w:tcW w:w="1237"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2.076,80</w:t>
            </w:r>
          </w:p>
        </w:tc>
        <w:tc>
          <w:tcPr>
            <w:tcW w:w="1275"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2.076,80</w:t>
            </w:r>
          </w:p>
        </w:tc>
        <w:tc>
          <w:tcPr>
            <w:tcW w:w="1276"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0</w:t>
            </w:r>
          </w:p>
        </w:tc>
        <w:tc>
          <w:tcPr>
            <w:tcW w:w="1358"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0</w:t>
            </w:r>
          </w:p>
        </w:tc>
      </w:tr>
      <w:tr w:rsidR="00836493" w:rsidRPr="00836493" w:rsidTr="009F546D">
        <w:trPr>
          <w:trHeight w:val="300"/>
        </w:trPr>
        <w:tc>
          <w:tcPr>
            <w:tcW w:w="2620" w:type="dxa"/>
            <w:tcBorders>
              <w:top w:val="nil"/>
              <w:left w:val="single" w:sz="8" w:space="0" w:color="000000"/>
              <w:bottom w:val="single" w:sz="8" w:space="0" w:color="000000"/>
              <w:right w:val="single" w:sz="8" w:space="0" w:color="000000"/>
            </w:tcBorders>
            <w:shd w:val="clear" w:color="000000" w:fill="F2F2F2"/>
            <w:vAlign w:val="center"/>
            <w:hideMark/>
          </w:tcPr>
          <w:p w:rsidR="00836493" w:rsidRPr="00836493" w:rsidRDefault="00836493" w:rsidP="00836493">
            <w:pPr>
              <w:spacing w:after="0" w:line="240" w:lineRule="auto"/>
              <w:jc w:val="right"/>
              <w:rPr>
                <w:rFonts w:eastAsia="Times New Roman" w:cs="Arial"/>
                <w:b/>
                <w:bCs/>
                <w:color w:val="000000"/>
                <w:sz w:val="24"/>
                <w:szCs w:val="24"/>
                <w:lang w:eastAsia="sl-SI"/>
              </w:rPr>
            </w:pPr>
            <w:r w:rsidRPr="00836493">
              <w:rPr>
                <w:rFonts w:eastAsia="Times New Roman" w:cs="Arial"/>
                <w:b/>
                <w:bCs/>
                <w:color w:val="000000"/>
                <w:sz w:val="24"/>
                <w:szCs w:val="24"/>
                <w:lang w:eastAsia="sl-SI"/>
              </w:rPr>
              <w:t>Skupaj z DDV</w:t>
            </w:r>
          </w:p>
        </w:tc>
        <w:tc>
          <w:tcPr>
            <w:tcW w:w="1237"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19.566,80</w:t>
            </w:r>
          </w:p>
        </w:tc>
        <w:tc>
          <w:tcPr>
            <w:tcW w:w="1275"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14.316,80</w:t>
            </w:r>
          </w:p>
        </w:tc>
        <w:tc>
          <w:tcPr>
            <w:tcW w:w="1276"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2.775,00</w:t>
            </w:r>
          </w:p>
        </w:tc>
        <w:tc>
          <w:tcPr>
            <w:tcW w:w="1358"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2.475,00</w:t>
            </w:r>
          </w:p>
        </w:tc>
      </w:tr>
    </w:tbl>
    <w:p w:rsidR="00836493" w:rsidRPr="00836493" w:rsidRDefault="00836493" w:rsidP="00836493">
      <w:pPr>
        <w:spacing w:after="0"/>
        <w:jc w:val="both"/>
        <w:rPr>
          <w:rFonts w:eastAsia="Calibri" w:cs="Arial"/>
          <w:b/>
          <w:bCs/>
          <w:caps/>
          <w:sz w:val="24"/>
          <w:szCs w:val="24"/>
        </w:rPr>
      </w:pPr>
    </w:p>
    <w:p w:rsidR="00836493" w:rsidRPr="00836493" w:rsidRDefault="00836493" w:rsidP="00836493">
      <w:pPr>
        <w:spacing w:after="0"/>
        <w:jc w:val="both"/>
        <w:rPr>
          <w:rFonts w:eastAsia="Calibri" w:cs="Arial"/>
          <w:b/>
          <w:bCs/>
          <w:caps/>
          <w:sz w:val="24"/>
          <w:szCs w:val="24"/>
        </w:rPr>
      </w:pPr>
    </w:p>
    <w:p w:rsidR="00836493" w:rsidRPr="00836493" w:rsidRDefault="00836493" w:rsidP="00836493">
      <w:pPr>
        <w:spacing w:after="0"/>
        <w:jc w:val="both"/>
        <w:rPr>
          <w:rFonts w:eastAsia="Calibri" w:cs="Arial"/>
          <w:b/>
          <w:bCs/>
          <w:caps/>
          <w:sz w:val="24"/>
          <w:szCs w:val="24"/>
        </w:rPr>
      </w:pPr>
      <w:r w:rsidRPr="00836493">
        <w:rPr>
          <w:rFonts w:eastAsia="Calibri" w:cs="Arial"/>
          <w:b/>
          <w:bCs/>
          <w:caps/>
          <w:sz w:val="24"/>
          <w:szCs w:val="24"/>
        </w:rPr>
        <w:t>Tabela 6: Viri in dinamika investiranja po stalnih cenah v EUR za Občino PREVALJE, z upoštevanjem DDV</w:t>
      </w:r>
    </w:p>
    <w:tbl>
      <w:tblPr>
        <w:tblW w:w="9088" w:type="dxa"/>
        <w:tblInd w:w="55" w:type="dxa"/>
        <w:tblCellMar>
          <w:left w:w="70" w:type="dxa"/>
          <w:right w:w="70" w:type="dxa"/>
        </w:tblCellMar>
        <w:tblLook w:val="04A0" w:firstRow="1" w:lastRow="0" w:firstColumn="1" w:lastColumn="0" w:noHBand="0" w:noVBand="1"/>
      </w:tblPr>
      <w:tblGrid>
        <w:gridCol w:w="2620"/>
        <w:gridCol w:w="1120"/>
        <w:gridCol w:w="1400"/>
        <w:gridCol w:w="1396"/>
        <w:gridCol w:w="1276"/>
        <w:gridCol w:w="1276"/>
      </w:tblGrid>
      <w:tr w:rsidR="00836493" w:rsidRPr="00836493" w:rsidTr="009F546D">
        <w:trPr>
          <w:trHeight w:val="396"/>
        </w:trPr>
        <w:tc>
          <w:tcPr>
            <w:tcW w:w="2620"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Tabela: Viri financiranja - tekoče cene</w:t>
            </w:r>
          </w:p>
        </w:tc>
        <w:tc>
          <w:tcPr>
            <w:tcW w:w="1120" w:type="dxa"/>
            <w:tcBorders>
              <w:top w:val="single" w:sz="8" w:space="0" w:color="000000"/>
              <w:left w:val="nil"/>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Delež v %</w:t>
            </w:r>
          </w:p>
        </w:tc>
        <w:tc>
          <w:tcPr>
            <w:tcW w:w="1400" w:type="dxa"/>
            <w:tcBorders>
              <w:top w:val="single" w:sz="8" w:space="0" w:color="000000"/>
              <w:left w:val="nil"/>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Skupaj v EUR</w:t>
            </w:r>
          </w:p>
        </w:tc>
        <w:tc>
          <w:tcPr>
            <w:tcW w:w="1396" w:type="dxa"/>
            <w:tcBorders>
              <w:top w:val="single" w:sz="8" w:space="0" w:color="000000"/>
              <w:left w:val="nil"/>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EUR v 2019</w:t>
            </w:r>
          </w:p>
        </w:tc>
        <w:tc>
          <w:tcPr>
            <w:tcW w:w="1276" w:type="dxa"/>
            <w:tcBorders>
              <w:top w:val="single" w:sz="8" w:space="0" w:color="000000"/>
              <w:left w:val="nil"/>
              <w:bottom w:val="single" w:sz="8" w:space="0" w:color="000000"/>
              <w:right w:val="single" w:sz="8" w:space="0" w:color="000000"/>
            </w:tcBorders>
            <w:shd w:val="clear" w:color="000000" w:fill="C5D9F1"/>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EUR v 2020</w:t>
            </w:r>
          </w:p>
        </w:tc>
        <w:tc>
          <w:tcPr>
            <w:tcW w:w="1276" w:type="dxa"/>
            <w:tcBorders>
              <w:top w:val="single" w:sz="8" w:space="0" w:color="000000"/>
              <w:left w:val="nil"/>
              <w:bottom w:val="single" w:sz="8" w:space="0" w:color="000000"/>
              <w:right w:val="single" w:sz="8" w:space="0" w:color="000000"/>
            </w:tcBorders>
            <w:shd w:val="clear" w:color="000000" w:fill="C5D9F1"/>
            <w:vAlign w:val="center"/>
          </w:tcPr>
          <w:p w:rsidR="00836493" w:rsidRPr="00836493" w:rsidRDefault="00836493" w:rsidP="00836493">
            <w:pPr>
              <w:spacing w:after="0" w:line="240" w:lineRule="auto"/>
              <w:rPr>
                <w:rFonts w:eastAsia="Times New Roman" w:cs="Arial"/>
                <w:b/>
                <w:bCs/>
                <w:color w:val="000000"/>
                <w:sz w:val="24"/>
                <w:szCs w:val="24"/>
                <w:lang w:eastAsia="sl-SI"/>
              </w:rPr>
            </w:pPr>
            <w:r w:rsidRPr="00836493">
              <w:rPr>
                <w:rFonts w:eastAsia="Times New Roman" w:cs="Arial"/>
                <w:b/>
                <w:bCs/>
                <w:color w:val="000000"/>
                <w:sz w:val="24"/>
                <w:szCs w:val="24"/>
                <w:lang w:eastAsia="sl-SI"/>
              </w:rPr>
              <w:t>EUR v 2021</w:t>
            </w:r>
          </w:p>
        </w:tc>
      </w:tr>
      <w:tr w:rsidR="00836493" w:rsidRPr="00836493" w:rsidTr="009F546D">
        <w:trPr>
          <w:trHeight w:val="396"/>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836493" w:rsidRPr="00836493" w:rsidRDefault="00836493" w:rsidP="00836493">
            <w:pPr>
              <w:spacing w:after="0" w:line="240" w:lineRule="auto"/>
              <w:rPr>
                <w:rFonts w:eastAsia="Times New Roman" w:cs="Arial"/>
                <w:b/>
                <w:bCs/>
                <w:color w:val="000000"/>
                <w:sz w:val="24"/>
                <w:szCs w:val="24"/>
                <w:lang w:eastAsia="sl-SI"/>
              </w:rPr>
            </w:pPr>
            <w:r w:rsidRPr="00836493">
              <w:rPr>
                <w:rFonts w:eastAsia="Times New Roman" w:cs="Arial"/>
                <w:b/>
                <w:bCs/>
                <w:color w:val="000000"/>
                <w:sz w:val="24"/>
                <w:szCs w:val="24"/>
                <w:lang w:eastAsia="sl-SI"/>
              </w:rPr>
              <w:t>Evropski kmetijski sklad za razvoj podeželja - EKSRP</w:t>
            </w:r>
          </w:p>
        </w:tc>
        <w:tc>
          <w:tcPr>
            <w:tcW w:w="1120"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76,00</w:t>
            </w:r>
          </w:p>
        </w:tc>
        <w:tc>
          <w:tcPr>
            <w:tcW w:w="1400"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bCs/>
                <w:color w:val="000000"/>
                <w:sz w:val="24"/>
                <w:szCs w:val="24"/>
                <w:lang w:eastAsia="sl-SI"/>
              </w:rPr>
            </w:pPr>
            <w:r w:rsidRPr="00836493">
              <w:rPr>
                <w:rFonts w:eastAsia="Times New Roman" w:cs="Arial"/>
                <w:bCs/>
                <w:color w:val="000000"/>
                <w:sz w:val="24"/>
                <w:szCs w:val="24"/>
                <w:lang w:eastAsia="sl-SI"/>
              </w:rPr>
              <w:t>14.866,50</w:t>
            </w:r>
          </w:p>
        </w:tc>
        <w:tc>
          <w:tcPr>
            <w:tcW w:w="1396"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bCs/>
                <w:color w:val="000000"/>
                <w:sz w:val="24"/>
                <w:szCs w:val="24"/>
                <w:lang w:eastAsia="sl-SI"/>
              </w:rPr>
            </w:pPr>
            <w:r w:rsidRPr="00836493">
              <w:rPr>
                <w:rFonts w:eastAsia="Times New Roman" w:cs="Arial"/>
                <w:bCs/>
                <w:color w:val="000000"/>
                <w:sz w:val="24"/>
                <w:szCs w:val="24"/>
                <w:lang w:eastAsia="sl-SI"/>
              </w:rPr>
              <w:t>10.404,00</w:t>
            </w:r>
          </w:p>
        </w:tc>
        <w:tc>
          <w:tcPr>
            <w:tcW w:w="1276"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2.358,75</w:t>
            </w:r>
          </w:p>
        </w:tc>
        <w:tc>
          <w:tcPr>
            <w:tcW w:w="1276" w:type="dxa"/>
            <w:tcBorders>
              <w:top w:val="nil"/>
              <w:left w:val="nil"/>
              <w:bottom w:val="single" w:sz="8" w:space="0" w:color="000000"/>
              <w:right w:val="single" w:sz="8"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2.103,75</w:t>
            </w:r>
          </w:p>
        </w:tc>
      </w:tr>
      <w:tr w:rsidR="00836493" w:rsidRPr="00836493" w:rsidTr="009F546D">
        <w:trPr>
          <w:trHeight w:val="300"/>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836493" w:rsidRPr="00836493" w:rsidRDefault="00836493" w:rsidP="00836493">
            <w:pPr>
              <w:spacing w:after="0" w:line="240" w:lineRule="auto"/>
              <w:rPr>
                <w:rFonts w:eastAsia="Times New Roman" w:cs="Arial"/>
                <w:b/>
                <w:bCs/>
                <w:color w:val="000000"/>
                <w:sz w:val="24"/>
                <w:szCs w:val="24"/>
                <w:lang w:eastAsia="sl-SI"/>
              </w:rPr>
            </w:pPr>
            <w:r w:rsidRPr="00836493">
              <w:rPr>
                <w:rFonts w:eastAsia="Times New Roman" w:cs="Arial"/>
                <w:b/>
                <w:bCs/>
                <w:color w:val="000000"/>
                <w:sz w:val="24"/>
                <w:szCs w:val="24"/>
                <w:lang w:eastAsia="sl-SI"/>
              </w:rPr>
              <w:t>Občina PREVALJE - Lastna sredstva</w:t>
            </w:r>
          </w:p>
        </w:tc>
        <w:tc>
          <w:tcPr>
            <w:tcW w:w="1120"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24,00</w:t>
            </w:r>
          </w:p>
        </w:tc>
        <w:tc>
          <w:tcPr>
            <w:tcW w:w="1400"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Arial"/>
                <w:bCs/>
                <w:color w:val="000000"/>
                <w:sz w:val="24"/>
                <w:szCs w:val="24"/>
                <w:lang w:eastAsia="sl-SI"/>
              </w:rPr>
            </w:pPr>
            <w:r w:rsidRPr="00836493">
              <w:rPr>
                <w:rFonts w:eastAsia="Times New Roman" w:cs="Arial"/>
                <w:bCs/>
                <w:color w:val="000000"/>
                <w:sz w:val="24"/>
                <w:szCs w:val="24"/>
                <w:lang w:eastAsia="sl-SI"/>
              </w:rPr>
              <w:t>4.700,30</w:t>
            </w:r>
          </w:p>
        </w:tc>
        <w:tc>
          <w:tcPr>
            <w:tcW w:w="1396"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bCs/>
                <w:color w:val="000000"/>
                <w:sz w:val="24"/>
                <w:szCs w:val="24"/>
                <w:lang w:eastAsia="sl-SI"/>
              </w:rPr>
            </w:pPr>
            <w:r w:rsidRPr="00836493">
              <w:rPr>
                <w:rFonts w:eastAsia="Times New Roman" w:cs="Arial"/>
                <w:bCs/>
                <w:color w:val="000000"/>
                <w:sz w:val="24"/>
                <w:szCs w:val="24"/>
                <w:lang w:eastAsia="sl-SI"/>
              </w:rPr>
              <w:t>3.912,80</w:t>
            </w:r>
          </w:p>
        </w:tc>
        <w:tc>
          <w:tcPr>
            <w:tcW w:w="1276" w:type="dxa"/>
            <w:tcBorders>
              <w:top w:val="nil"/>
              <w:left w:val="nil"/>
              <w:bottom w:val="single" w:sz="8" w:space="0" w:color="000000"/>
              <w:right w:val="single" w:sz="8" w:space="0" w:color="000000"/>
            </w:tcBorders>
            <w:shd w:val="clear" w:color="auto" w:fill="auto"/>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416,25</w:t>
            </w:r>
          </w:p>
        </w:tc>
        <w:tc>
          <w:tcPr>
            <w:tcW w:w="1276" w:type="dxa"/>
            <w:tcBorders>
              <w:top w:val="nil"/>
              <w:left w:val="nil"/>
              <w:bottom w:val="single" w:sz="8" w:space="0" w:color="000000"/>
              <w:right w:val="single" w:sz="8" w:space="0" w:color="000000"/>
            </w:tcBorders>
            <w:vAlign w:val="center"/>
          </w:tcPr>
          <w:p w:rsidR="00836493" w:rsidRPr="00836493" w:rsidRDefault="00836493" w:rsidP="00836493">
            <w:pPr>
              <w:spacing w:after="0" w:line="240" w:lineRule="auto"/>
              <w:jc w:val="center"/>
              <w:rPr>
                <w:rFonts w:eastAsia="Times New Roman" w:cs="Arial"/>
                <w:color w:val="000000"/>
                <w:sz w:val="24"/>
                <w:szCs w:val="24"/>
                <w:lang w:eastAsia="sl-SI"/>
              </w:rPr>
            </w:pPr>
            <w:r w:rsidRPr="00836493">
              <w:rPr>
                <w:rFonts w:eastAsia="Times New Roman" w:cs="Arial"/>
                <w:color w:val="000000"/>
                <w:sz w:val="24"/>
                <w:szCs w:val="24"/>
                <w:lang w:eastAsia="sl-SI"/>
              </w:rPr>
              <w:t>371,25</w:t>
            </w:r>
          </w:p>
        </w:tc>
      </w:tr>
      <w:tr w:rsidR="00836493" w:rsidRPr="00836493" w:rsidTr="009F546D">
        <w:trPr>
          <w:trHeight w:val="300"/>
        </w:trPr>
        <w:tc>
          <w:tcPr>
            <w:tcW w:w="2620" w:type="dxa"/>
            <w:tcBorders>
              <w:top w:val="nil"/>
              <w:left w:val="single" w:sz="8" w:space="0" w:color="000000"/>
              <w:bottom w:val="single" w:sz="8" w:space="0" w:color="000000"/>
              <w:right w:val="single" w:sz="8" w:space="0" w:color="000000"/>
            </w:tcBorders>
            <w:shd w:val="clear" w:color="000000" w:fill="F2F2F2"/>
            <w:vAlign w:val="center"/>
            <w:hideMark/>
          </w:tcPr>
          <w:p w:rsidR="00836493" w:rsidRPr="00836493" w:rsidRDefault="00836493" w:rsidP="00836493">
            <w:pPr>
              <w:spacing w:after="0" w:line="240" w:lineRule="auto"/>
              <w:rPr>
                <w:rFonts w:eastAsia="Times New Roman" w:cs="Arial"/>
                <w:b/>
                <w:bCs/>
                <w:color w:val="000000"/>
                <w:sz w:val="24"/>
                <w:szCs w:val="24"/>
                <w:lang w:eastAsia="sl-SI"/>
              </w:rPr>
            </w:pPr>
            <w:r w:rsidRPr="00836493">
              <w:rPr>
                <w:rFonts w:eastAsia="Times New Roman" w:cs="Arial"/>
                <w:b/>
                <w:bCs/>
                <w:color w:val="000000"/>
                <w:sz w:val="24"/>
                <w:szCs w:val="24"/>
                <w:lang w:eastAsia="sl-SI"/>
              </w:rPr>
              <w:t>SKUPAJ</w:t>
            </w:r>
          </w:p>
        </w:tc>
        <w:tc>
          <w:tcPr>
            <w:tcW w:w="1120" w:type="dxa"/>
            <w:tcBorders>
              <w:top w:val="nil"/>
              <w:left w:val="nil"/>
              <w:bottom w:val="single" w:sz="8" w:space="0" w:color="000000"/>
              <w:right w:val="single" w:sz="8" w:space="0" w:color="000000"/>
            </w:tcBorders>
            <w:shd w:val="clear" w:color="000000" w:fill="F2F2F2"/>
            <w:vAlign w:val="center"/>
            <w:hideMark/>
          </w:tcPr>
          <w:p w:rsidR="00836493" w:rsidRPr="00836493" w:rsidRDefault="00836493" w:rsidP="00836493">
            <w:pPr>
              <w:spacing w:after="0" w:line="240" w:lineRule="auto"/>
              <w:jc w:val="center"/>
              <w:rPr>
                <w:rFonts w:eastAsia="Times New Roman" w:cs="Arial"/>
                <w:b/>
                <w:bCs/>
                <w:color w:val="000000"/>
                <w:sz w:val="24"/>
                <w:szCs w:val="24"/>
                <w:lang w:eastAsia="sl-SI"/>
              </w:rPr>
            </w:pPr>
            <w:r w:rsidRPr="00836493">
              <w:rPr>
                <w:rFonts w:eastAsia="Times New Roman" w:cs="Arial"/>
                <w:b/>
                <w:bCs/>
                <w:color w:val="000000"/>
                <w:sz w:val="24"/>
                <w:szCs w:val="24"/>
                <w:lang w:eastAsia="sl-SI"/>
              </w:rPr>
              <w:t>100,00</w:t>
            </w:r>
          </w:p>
        </w:tc>
        <w:tc>
          <w:tcPr>
            <w:tcW w:w="1400"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Calibri"/>
                <w:b/>
                <w:color w:val="000000"/>
                <w:sz w:val="24"/>
                <w:szCs w:val="24"/>
              </w:rPr>
            </w:pPr>
            <w:r w:rsidRPr="00836493">
              <w:rPr>
                <w:rFonts w:eastAsia="Times New Roman" w:cs="Calibri"/>
                <w:b/>
                <w:color w:val="000000"/>
                <w:sz w:val="24"/>
                <w:szCs w:val="24"/>
              </w:rPr>
              <w:t>19.566,80</w:t>
            </w:r>
          </w:p>
        </w:tc>
        <w:tc>
          <w:tcPr>
            <w:tcW w:w="1396"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Calibri"/>
                <w:b/>
                <w:color w:val="000000"/>
                <w:sz w:val="24"/>
                <w:szCs w:val="24"/>
              </w:rPr>
            </w:pPr>
            <w:r w:rsidRPr="00836493">
              <w:rPr>
                <w:rFonts w:eastAsia="Times New Roman" w:cs="Calibri"/>
                <w:b/>
                <w:color w:val="000000"/>
                <w:sz w:val="24"/>
                <w:szCs w:val="24"/>
              </w:rPr>
              <w:t>14.316,80</w:t>
            </w:r>
          </w:p>
        </w:tc>
        <w:tc>
          <w:tcPr>
            <w:tcW w:w="1276"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Calibri"/>
                <w:b/>
                <w:color w:val="000000"/>
                <w:sz w:val="24"/>
                <w:szCs w:val="24"/>
              </w:rPr>
            </w:pPr>
            <w:r w:rsidRPr="00836493">
              <w:rPr>
                <w:rFonts w:eastAsia="Times New Roman" w:cs="Calibri"/>
                <w:b/>
                <w:color w:val="000000"/>
                <w:sz w:val="24"/>
                <w:szCs w:val="24"/>
              </w:rPr>
              <w:t>2.775,00</w:t>
            </w:r>
          </w:p>
        </w:tc>
        <w:tc>
          <w:tcPr>
            <w:tcW w:w="1276" w:type="dxa"/>
            <w:tcBorders>
              <w:top w:val="nil"/>
              <w:left w:val="nil"/>
              <w:bottom w:val="single" w:sz="8" w:space="0" w:color="000000"/>
              <w:right w:val="single" w:sz="8" w:space="0" w:color="000000"/>
            </w:tcBorders>
            <w:shd w:val="clear" w:color="000000" w:fill="F2F2F2"/>
            <w:vAlign w:val="center"/>
          </w:tcPr>
          <w:p w:rsidR="00836493" w:rsidRPr="00836493" w:rsidRDefault="00836493" w:rsidP="00836493">
            <w:pPr>
              <w:spacing w:after="0" w:line="240" w:lineRule="auto"/>
              <w:jc w:val="center"/>
              <w:rPr>
                <w:rFonts w:eastAsia="Times New Roman" w:cs="Calibri"/>
                <w:b/>
                <w:color w:val="000000"/>
                <w:sz w:val="24"/>
                <w:szCs w:val="24"/>
              </w:rPr>
            </w:pPr>
            <w:r w:rsidRPr="00836493">
              <w:rPr>
                <w:rFonts w:eastAsia="Times New Roman" w:cs="Calibri"/>
                <w:b/>
                <w:color w:val="000000"/>
                <w:sz w:val="24"/>
                <w:szCs w:val="24"/>
              </w:rPr>
              <w:t>2.475,00</w:t>
            </w:r>
          </w:p>
        </w:tc>
      </w:tr>
    </w:tbl>
    <w:p w:rsidR="00836493" w:rsidRPr="00836493" w:rsidRDefault="00836493" w:rsidP="00836493">
      <w:pPr>
        <w:adjustRightInd w:val="0"/>
        <w:spacing w:after="0" w:line="240" w:lineRule="auto"/>
        <w:jc w:val="both"/>
        <w:rPr>
          <w:rFonts w:eastAsia="Calibri" w:cs="Arial"/>
          <w:sz w:val="24"/>
          <w:szCs w:val="24"/>
        </w:rPr>
      </w:pPr>
    </w:p>
    <w:p w:rsidR="001321E6" w:rsidRPr="00836493" w:rsidRDefault="001321E6" w:rsidP="00404574">
      <w:pPr>
        <w:spacing w:line="240" w:lineRule="auto"/>
        <w:jc w:val="both"/>
        <w:rPr>
          <w:rFonts w:eastAsia="Calibri" w:cstheme="minorHAnsi"/>
          <w:sz w:val="24"/>
          <w:szCs w:val="24"/>
          <w:lang w:eastAsia="sl-SI"/>
        </w:rPr>
      </w:pPr>
    </w:p>
    <w:p w:rsidR="00836493" w:rsidRPr="00836493" w:rsidRDefault="00836493" w:rsidP="00836493">
      <w:pPr>
        <w:spacing w:after="0"/>
        <w:rPr>
          <w:rFonts w:eastAsia="Times New Roman" w:cs="Arial"/>
          <w:b/>
          <w:sz w:val="24"/>
          <w:szCs w:val="24"/>
        </w:rPr>
      </w:pPr>
      <w:r w:rsidRPr="00836493">
        <w:rPr>
          <w:rFonts w:eastAsia="Times New Roman" w:cs="Arial"/>
          <w:b/>
          <w:sz w:val="24"/>
          <w:szCs w:val="24"/>
        </w:rPr>
        <w:t>Časovni načrt investicije:</w:t>
      </w:r>
    </w:p>
    <w:p w:rsidR="00836493" w:rsidRPr="00836493" w:rsidRDefault="00836493" w:rsidP="00836493">
      <w:pPr>
        <w:spacing w:after="0"/>
        <w:jc w:val="both"/>
        <w:rPr>
          <w:rFonts w:eastAsia="Times New Roman" w:cs="Arial"/>
          <w:sz w:val="24"/>
          <w:szCs w:val="24"/>
        </w:rPr>
      </w:pPr>
      <w:r w:rsidRPr="00836493">
        <w:rPr>
          <w:rFonts w:eastAsia="Times New Roman" w:cs="Arial"/>
          <w:sz w:val="24"/>
          <w:szCs w:val="24"/>
        </w:rPr>
        <w:t>Investicija v nakup AED aparatov in agregatov se bo izvedla v prvem letu izvajanja projekta, torej v letu 2019  zato so tekoče cene enake stalnim cenam.</w:t>
      </w:r>
    </w:p>
    <w:p w:rsidR="00836493" w:rsidRPr="00836493" w:rsidRDefault="00836493" w:rsidP="00836493">
      <w:pPr>
        <w:keepNext/>
        <w:keepLines/>
        <w:spacing w:after="0"/>
        <w:jc w:val="both"/>
        <w:rPr>
          <w:rFonts w:eastAsia="Times New Roman" w:cs="Arial"/>
          <w:sz w:val="24"/>
          <w:szCs w:val="24"/>
        </w:rPr>
      </w:pPr>
      <w:r w:rsidRPr="00836493">
        <w:rPr>
          <w:rFonts w:eastAsia="Times New Roman" w:cs="Arial"/>
          <w:sz w:val="24"/>
          <w:szCs w:val="24"/>
        </w:rPr>
        <w:t>Delavnice za usposabljanje občanov in druge aktivnosti sodelovanja pa se bodo izvajala vsa tri leta trajanja projekta.</w:t>
      </w:r>
    </w:p>
    <w:p w:rsidR="00404574" w:rsidRPr="00823F59" w:rsidRDefault="00404574" w:rsidP="003F1911">
      <w:pPr>
        <w:pStyle w:val="Telobesedila"/>
      </w:pPr>
    </w:p>
    <w:p w:rsidR="00404574" w:rsidRPr="00823F59" w:rsidRDefault="00404574" w:rsidP="00404574">
      <w:pPr>
        <w:spacing w:after="0" w:line="240" w:lineRule="auto"/>
        <w:rPr>
          <w:rFonts w:eastAsia="Times New Roman" w:cstheme="minorHAnsi"/>
          <w:b/>
          <w:sz w:val="24"/>
          <w:szCs w:val="24"/>
          <w:lang w:eastAsia="sl-SI"/>
        </w:rPr>
      </w:pPr>
    </w:p>
    <w:p w:rsidR="00404574" w:rsidRPr="00823F59" w:rsidRDefault="00404574" w:rsidP="00404574">
      <w:pPr>
        <w:spacing w:after="0" w:line="240" w:lineRule="auto"/>
        <w:rPr>
          <w:rFonts w:eastAsia="Times New Roman" w:cstheme="minorHAnsi"/>
          <w:i/>
          <w:sz w:val="24"/>
          <w:szCs w:val="24"/>
          <w:lang w:eastAsia="sl-SI"/>
        </w:rPr>
      </w:pPr>
      <w:r w:rsidRPr="00823F59">
        <w:rPr>
          <w:rFonts w:eastAsia="Times New Roman" w:cstheme="minorHAnsi"/>
          <w:b/>
          <w:sz w:val="24"/>
          <w:szCs w:val="24"/>
          <w:lang w:eastAsia="sl-SI"/>
        </w:rPr>
        <w:t>PREDLOG SKLEPA ODBORA:</w:t>
      </w:r>
    </w:p>
    <w:p w:rsidR="00404574" w:rsidRPr="00823F59" w:rsidRDefault="00404574" w:rsidP="00404574">
      <w:pPr>
        <w:spacing w:after="0" w:line="240" w:lineRule="auto"/>
        <w:jc w:val="both"/>
        <w:rPr>
          <w:rFonts w:eastAsia="Times New Roman" w:cstheme="minorHAnsi"/>
          <w:b/>
          <w:i/>
          <w:sz w:val="24"/>
          <w:szCs w:val="24"/>
          <w:lang w:eastAsia="sl-SI"/>
        </w:rPr>
      </w:pPr>
    </w:p>
    <w:p w:rsidR="00404574" w:rsidRPr="003F1911" w:rsidRDefault="00404574" w:rsidP="003F1911">
      <w:pPr>
        <w:pStyle w:val="Telobesedila"/>
        <w:rPr>
          <w:lang w:eastAsia="en-US"/>
        </w:rPr>
      </w:pPr>
      <w:r w:rsidRPr="003F1911">
        <w:t xml:space="preserve">SKLEP 1: Odbor za komunalne zadeve in varstvo okolja Občine Prevalje se je seznanil z dokumentom identifikacije investicijskega projekta </w:t>
      </w:r>
      <w:r w:rsidR="00B5371B" w:rsidRPr="003F1911">
        <w:t>Skupaj za varni jutri</w:t>
      </w:r>
      <w:r w:rsidRPr="003F1911">
        <w:rPr>
          <w:rFonts w:eastAsia="Calibri"/>
        </w:rPr>
        <w:t xml:space="preserve"> </w:t>
      </w:r>
      <w:r w:rsidRPr="003F1911">
        <w:rPr>
          <w:szCs w:val="24"/>
        </w:rPr>
        <w:t>t</w:t>
      </w:r>
      <w:r w:rsidRPr="003F1911">
        <w:t xml:space="preserve">er se z njim strinja in ga predlaga Občinskemu svetu v obravnavo in sprejem. </w:t>
      </w: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i/>
          <w:sz w:val="24"/>
          <w:szCs w:val="24"/>
          <w:lang w:eastAsia="sl-SI"/>
        </w:rPr>
      </w:pPr>
      <w:r w:rsidRPr="00823F59">
        <w:rPr>
          <w:rFonts w:eastAsia="Times New Roman" w:cstheme="minorHAnsi"/>
          <w:b/>
          <w:i/>
          <w:sz w:val="24"/>
          <w:szCs w:val="24"/>
          <w:lang w:eastAsia="sl-SI"/>
        </w:rPr>
        <w:t xml:space="preserve">SKLEP 2: Projekt se uvrsti v Načrt razvojnih programov </w:t>
      </w:r>
      <w:bookmarkStart w:id="0" w:name="_GoBack"/>
      <w:bookmarkEnd w:id="0"/>
      <w:r w:rsidRPr="00FD40F7">
        <w:rPr>
          <w:rFonts w:eastAsia="Times New Roman" w:cstheme="minorHAnsi"/>
          <w:b/>
          <w:i/>
          <w:sz w:val="24"/>
          <w:szCs w:val="24"/>
          <w:lang w:eastAsia="sl-SI"/>
        </w:rPr>
        <w:t xml:space="preserve">občine </w:t>
      </w:r>
      <w:r w:rsidR="00BB3B40" w:rsidRPr="00FD40F7">
        <w:rPr>
          <w:rFonts w:eastAsia="Times New Roman" w:cstheme="minorHAnsi"/>
          <w:b/>
          <w:i/>
          <w:sz w:val="24"/>
          <w:szCs w:val="24"/>
          <w:lang w:eastAsia="sl-SI"/>
        </w:rPr>
        <w:t>2018-2021</w:t>
      </w:r>
      <w:r w:rsidRPr="00FD40F7">
        <w:rPr>
          <w:rFonts w:eastAsia="Times New Roman" w:cstheme="minorHAnsi"/>
          <w:b/>
          <w:i/>
          <w:sz w:val="24"/>
          <w:szCs w:val="24"/>
          <w:lang w:eastAsia="sl-SI"/>
        </w:rPr>
        <w:t>. Odbor predlaga Občinskemu svetu, da pooblasti župana za morebitne kasnejše popravke</w:t>
      </w:r>
      <w:r w:rsidRPr="00823F59">
        <w:rPr>
          <w:rFonts w:eastAsia="Times New Roman" w:cstheme="minorHAnsi"/>
          <w:b/>
          <w:i/>
          <w:sz w:val="24"/>
          <w:szCs w:val="24"/>
          <w:lang w:eastAsia="sl-SI"/>
        </w:rPr>
        <w:t xml:space="preserve"> in dopolnitve dokumenta, ki bi jih narekovale zahteve prijave na javni razpis. </w:t>
      </w:r>
    </w:p>
    <w:p w:rsidR="00404574" w:rsidRDefault="00404574" w:rsidP="00404574">
      <w:pPr>
        <w:spacing w:after="0" w:line="240" w:lineRule="auto"/>
        <w:jc w:val="both"/>
        <w:rPr>
          <w:rFonts w:eastAsia="Times New Roman" w:cstheme="minorHAnsi"/>
          <w:b/>
          <w:i/>
          <w:sz w:val="24"/>
          <w:szCs w:val="24"/>
          <w:lang w:eastAsia="sl-SI"/>
        </w:rPr>
      </w:pPr>
    </w:p>
    <w:p w:rsidR="00836493" w:rsidRPr="00823F59" w:rsidRDefault="00836493" w:rsidP="00404574">
      <w:pPr>
        <w:spacing w:after="0" w:line="240" w:lineRule="auto"/>
        <w:jc w:val="both"/>
        <w:rPr>
          <w:rFonts w:eastAsia="Times New Roman" w:cstheme="minorHAnsi"/>
          <w:b/>
          <w:i/>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sz w:val="24"/>
          <w:szCs w:val="24"/>
          <w:lang w:eastAsia="sl-SI"/>
        </w:rPr>
      </w:pPr>
      <w:r w:rsidRPr="00823F59">
        <w:rPr>
          <w:rFonts w:eastAsia="Times New Roman" w:cstheme="minorHAnsi"/>
          <w:b/>
          <w:sz w:val="24"/>
          <w:szCs w:val="24"/>
          <w:lang w:eastAsia="sl-SI"/>
        </w:rPr>
        <w:t>PREDLOG SKLEPA ZA OBČINSKI SVET:</w:t>
      </w:r>
      <w:r w:rsidRPr="00823F59">
        <w:rPr>
          <w:rFonts w:eastAsia="Times New Roman" w:cstheme="minorHAnsi"/>
          <w:b/>
          <w:sz w:val="24"/>
          <w:szCs w:val="24"/>
          <w:lang w:eastAsia="sl-SI"/>
        </w:rPr>
        <w:tab/>
      </w:r>
    </w:p>
    <w:p w:rsidR="00404574" w:rsidRPr="00823F59" w:rsidRDefault="00404574" w:rsidP="00404574">
      <w:pPr>
        <w:spacing w:after="0" w:line="240" w:lineRule="auto"/>
        <w:jc w:val="both"/>
        <w:rPr>
          <w:rFonts w:eastAsia="Times New Roman" w:cstheme="minorHAnsi"/>
          <w:b/>
          <w:i/>
          <w:sz w:val="24"/>
          <w:szCs w:val="24"/>
          <w:lang w:eastAsia="sl-SI"/>
        </w:rPr>
      </w:pPr>
    </w:p>
    <w:p w:rsidR="00404574" w:rsidRPr="00823F59" w:rsidRDefault="00404574" w:rsidP="00404574">
      <w:pPr>
        <w:spacing w:after="0" w:line="240" w:lineRule="auto"/>
        <w:jc w:val="both"/>
        <w:rPr>
          <w:rFonts w:eastAsia="Times New Roman" w:cstheme="minorHAnsi"/>
          <w:b/>
          <w:i/>
          <w:sz w:val="24"/>
          <w:lang w:eastAsia="sl-SI"/>
        </w:rPr>
      </w:pPr>
      <w:r w:rsidRPr="00823F59">
        <w:rPr>
          <w:rFonts w:eastAsia="Times New Roman" w:cstheme="minorHAnsi"/>
          <w:b/>
          <w:i/>
          <w:sz w:val="24"/>
          <w:lang w:eastAsia="sl-SI"/>
        </w:rPr>
        <w:t>SKLEP 1: Občinski svet Občine Prevalje s</w:t>
      </w:r>
      <w:r w:rsidR="00F7611B">
        <w:rPr>
          <w:rFonts w:eastAsia="Times New Roman" w:cstheme="minorHAnsi"/>
          <w:b/>
          <w:i/>
          <w:sz w:val="24"/>
          <w:lang w:eastAsia="sl-SI"/>
        </w:rPr>
        <w:t>e je seznanil z</w:t>
      </w:r>
      <w:r w:rsidRPr="00823F59">
        <w:rPr>
          <w:rFonts w:eastAsia="Times New Roman" w:cstheme="minorHAnsi"/>
          <w:b/>
          <w:i/>
          <w:sz w:val="24"/>
          <w:lang w:eastAsia="sl-SI"/>
        </w:rPr>
        <w:t xml:space="preserve"> Dokument</w:t>
      </w:r>
      <w:r w:rsidR="00F7611B">
        <w:rPr>
          <w:rFonts w:eastAsia="Times New Roman" w:cstheme="minorHAnsi"/>
          <w:b/>
          <w:i/>
          <w:sz w:val="24"/>
          <w:lang w:eastAsia="sl-SI"/>
        </w:rPr>
        <w:t>om</w:t>
      </w:r>
      <w:r w:rsidRPr="00823F59">
        <w:rPr>
          <w:rFonts w:eastAsia="Times New Roman" w:cstheme="minorHAnsi"/>
          <w:b/>
          <w:i/>
          <w:sz w:val="24"/>
          <w:lang w:eastAsia="sl-SI"/>
        </w:rPr>
        <w:t xml:space="preserve"> identifikacije investicijskega projekta </w:t>
      </w:r>
      <w:r w:rsidR="00B5371B">
        <w:rPr>
          <w:rFonts w:eastAsia="Times New Roman" w:cstheme="minorHAnsi"/>
          <w:b/>
          <w:i/>
          <w:color w:val="000000" w:themeColor="text1"/>
          <w:sz w:val="24"/>
        </w:rPr>
        <w:t>Skupaj za varni jutri</w:t>
      </w:r>
      <w:r w:rsidR="00F7611B">
        <w:rPr>
          <w:rFonts w:eastAsia="Times New Roman" w:cstheme="minorHAnsi"/>
          <w:b/>
          <w:i/>
          <w:color w:val="000000" w:themeColor="text1"/>
          <w:sz w:val="24"/>
        </w:rPr>
        <w:t xml:space="preserve"> ter ga potrjuje</w:t>
      </w:r>
      <w:r w:rsidRPr="00823F59">
        <w:rPr>
          <w:rFonts w:eastAsia="Times New Roman" w:cstheme="minorHAnsi"/>
          <w:b/>
          <w:i/>
          <w:sz w:val="24"/>
          <w:lang w:eastAsia="sl-SI"/>
        </w:rPr>
        <w:t xml:space="preserve">. </w:t>
      </w:r>
    </w:p>
    <w:p w:rsidR="00404574" w:rsidRPr="00823F59" w:rsidRDefault="00404574" w:rsidP="00404574">
      <w:pPr>
        <w:spacing w:after="0" w:line="240" w:lineRule="auto"/>
        <w:ind w:left="240"/>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b/>
          <w:i/>
          <w:sz w:val="24"/>
          <w:szCs w:val="24"/>
          <w:lang w:eastAsia="sl-SI"/>
        </w:rPr>
      </w:pPr>
      <w:r w:rsidRPr="00823F59">
        <w:rPr>
          <w:rFonts w:eastAsia="Times New Roman" w:cstheme="minorHAnsi"/>
          <w:b/>
          <w:i/>
          <w:sz w:val="24"/>
          <w:szCs w:val="24"/>
          <w:lang w:eastAsia="sl-SI"/>
        </w:rPr>
        <w:t>SKLEP 2: Občinski svet Občine Prevalje pooblašča župana za morebitne kasnejše popravke in dopolnitve dokumenta, ki bi jih narekovale zahteve prijave na javni razpis.</w:t>
      </w:r>
    </w:p>
    <w:p w:rsidR="00404574" w:rsidRPr="00823F59" w:rsidRDefault="00404574" w:rsidP="00404574">
      <w:pPr>
        <w:spacing w:after="0" w:line="240" w:lineRule="auto"/>
        <w:ind w:left="240"/>
        <w:jc w:val="both"/>
        <w:rPr>
          <w:rFonts w:eastAsia="Times New Roman" w:cstheme="minorHAnsi"/>
          <w:b/>
          <w:sz w:val="24"/>
          <w:szCs w:val="24"/>
          <w:lang w:eastAsia="sl-SI"/>
        </w:rPr>
      </w:pPr>
    </w:p>
    <w:p w:rsidR="00404574" w:rsidRDefault="00404574" w:rsidP="00404574">
      <w:pPr>
        <w:spacing w:after="0" w:line="240" w:lineRule="auto"/>
        <w:jc w:val="both"/>
        <w:rPr>
          <w:rFonts w:eastAsia="Times New Roman" w:cstheme="minorHAnsi"/>
          <w:b/>
          <w:sz w:val="24"/>
          <w:szCs w:val="24"/>
          <w:lang w:eastAsia="sl-SI"/>
        </w:rPr>
      </w:pPr>
    </w:p>
    <w:p w:rsidR="00836493" w:rsidRDefault="00836493" w:rsidP="00404574">
      <w:pPr>
        <w:spacing w:after="0" w:line="240" w:lineRule="auto"/>
        <w:jc w:val="both"/>
        <w:rPr>
          <w:rFonts w:eastAsia="Times New Roman" w:cstheme="minorHAnsi"/>
          <w:b/>
          <w:sz w:val="24"/>
          <w:szCs w:val="24"/>
          <w:lang w:eastAsia="sl-SI"/>
        </w:rPr>
      </w:pPr>
    </w:p>
    <w:p w:rsidR="00836493" w:rsidRPr="00823F59" w:rsidRDefault="00836493" w:rsidP="00404574">
      <w:pPr>
        <w:spacing w:after="0" w:line="240" w:lineRule="auto"/>
        <w:jc w:val="both"/>
        <w:rPr>
          <w:rFonts w:eastAsia="Times New Roman" w:cstheme="minorHAnsi"/>
          <w:b/>
          <w:sz w:val="24"/>
          <w:szCs w:val="24"/>
          <w:lang w:eastAsia="sl-SI"/>
        </w:rPr>
      </w:pPr>
    </w:p>
    <w:p w:rsidR="00404574" w:rsidRPr="00823F59" w:rsidRDefault="00404574" w:rsidP="00404574">
      <w:pPr>
        <w:spacing w:after="0" w:line="240" w:lineRule="auto"/>
        <w:ind w:left="240"/>
        <w:jc w:val="both"/>
        <w:rPr>
          <w:rFonts w:eastAsia="Times New Roman" w:cstheme="minorHAnsi"/>
          <w:b/>
          <w:sz w:val="24"/>
          <w:szCs w:val="24"/>
          <w:lang w:eastAsia="sl-SI"/>
        </w:rPr>
      </w:pPr>
    </w:p>
    <w:tbl>
      <w:tblPr>
        <w:tblW w:w="0" w:type="auto"/>
        <w:tblInd w:w="240" w:type="dxa"/>
        <w:tblLook w:val="04A0" w:firstRow="1" w:lastRow="0" w:firstColumn="1" w:lastColumn="0" w:noHBand="0" w:noVBand="1"/>
      </w:tblPr>
      <w:tblGrid>
        <w:gridCol w:w="4560"/>
        <w:gridCol w:w="4555"/>
      </w:tblGrid>
      <w:tr w:rsidR="00404574" w:rsidRPr="00823F59" w:rsidTr="009F546D">
        <w:tc>
          <w:tcPr>
            <w:tcW w:w="4665" w:type="dxa"/>
            <w:shd w:val="clear" w:color="auto" w:fill="auto"/>
          </w:tcPr>
          <w:p w:rsidR="00404574" w:rsidRPr="00823F59" w:rsidRDefault="00404574" w:rsidP="009F546D">
            <w:pPr>
              <w:spacing w:after="0" w:line="240" w:lineRule="auto"/>
              <w:jc w:val="both"/>
              <w:rPr>
                <w:rFonts w:eastAsia="Times New Roman" w:cstheme="minorHAnsi"/>
                <w:b/>
                <w:sz w:val="24"/>
                <w:szCs w:val="24"/>
                <w:lang w:eastAsia="sl-SI"/>
              </w:rPr>
            </w:pPr>
            <w:r w:rsidRPr="00823F59">
              <w:rPr>
                <w:rFonts w:eastAsia="Times New Roman" w:cstheme="minorHAnsi"/>
                <w:sz w:val="24"/>
                <w:szCs w:val="24"/>
                <w:lang w:eastAsia="sl-SI"/>
              </w:rPr>
              <w:t>Pripravil:</w:t>
            </w:r>
          </w:p>
        </w:tc>
        <w:tc>
          <w:tcPr>
            <w:tcW w:w="4666" w:type="dxa"/>
            <w:shd w:val="clear" w:color="auto" w:fill="auto"/>
          </w:tcPr>
          <w:p w:rsidR="00404574" w:rsidRPr="00823F59" w:rsidRDefault="00404574" w:rsidP="009F546D">
            <w:pPr>
              <w:spacing w:after="0" w:line="240" w:lineRule="auto"/>
              <w:jc w:val="right"/>
              <w:rPr>
                <w:rFonts w:eastAsia="Times New Roman" w:cstheme="minorHAnsi"/>
                <w:b/>
                <w:sz w:val="24"/>
                <w:szCs w:val="24"/>
                <w:lang w:eastAsia="sl-SI"/>
              </w:rPr>
            </w:pPr>
            <w:r w:rsidRPr="00823F59">
              <w:rPr>
                <w:rFonts w:eastAsia="Times New Roman" w:cstheme="minorHAnsi"/>
                <w:sz w:val="24"/>
                <w:szCs w:val="24"/>
                <w:lang w:eastAsia="sl-SI"/>
              </w:rPr>
              <w:t xml:space="preserve">                      Župan:</w:t>
            </w:r>
          </w:p>
        </w:tc>
      </w:tr>
      <w:tr w:rsidR="00404574" w:rsidRPr="00823F59" w:rsidTr="009F546D">
        <w:tc>
          <w:tcPr>
            <w:tcW w:w="4665" w:type="dxa"/>
            <w:shd w:val="clear" w:color="auto" w:fill="auto"/>
          </w:tcPr>
          <w:p w:rsidR="00404574" w:rsidRPr="00823F59" w:rsidRDefault="00404574" w:rsidP="009F546D">
            <w:pPr>
              <w:spacing w:after="0" w:line="240" w:lineRule="auto"/>
              <w:jc w:val="both"/>
              <w:rPr>
                <w:rFonts w:eastAsia="Times New Roman" w:cstheme="minorHAnsi"/>
                <w:b/>
                <w:sz w:val="24"/>
                <w:szCs w:val="24"/>
                <w:lang w:eastAsia="sl-SI"/>
              </w:rPr>
            </w:pPr>
            <w:r w:rsidRPr="00823F59">
              <w:rPr>
                <w:rFonts w:eastAsia="Times New Roman" w:cstheme="minorHAnsi"/>
                <w:b/>
                <w:sz w:val="24"/>
                <w:szCs w:val="24"/>
                <w:lang w:eastAsia="sl-SI"/>
              </w:rPr>
              <w:t>Oddelek za KCG</w:t>
            </w:r>
            <w:r w:rsidRPr="00823F59">
              <w:rPr>
                <w:rFonts w:eastAsia="Times New Roman" w:cstheme="minorHAnsi"/>
                <w:b/>
                <w:sz w:val="24"/>
                <w:szCs w:val="24"/>
                <w:lang w:eastAsia="sl-SI"/>
              </w:rPr>
              <w:tab/>
            </w:r>
          </w:p>
        </w:tc>
        <w:tc>
          <w:tcPr>
            <w:tcW w:w="4666" w:type="dxa"/>
            <w:shd w:val="clear" w:color="auto" w:fill="auto"/>
          </w:tcPr>
          <w:p w:rsidR="00404574" w:rsidRPr="00823F59" w:rsidRDefault="00404574" w:rsidP="009F546D">
            <w:pPr>
              <w:spacing w:after="0" w:line="240" w:lineRule="auto"/>
              <w:jc w:val="right"/>
              <w:rPr>
                <w:rFonts w:eastAsia="Times New Roman" w:cstheme="minorHAnsi"/>
                <w:b/>
                <w:sz w:val="24"/>
                <w:szCs w:val="24"/>
                <w:lang w:eastAsia="sl-SI"/>
              </w:rPr>
            </w:pPr>
            <w:r w:rsidRPr="00823F59">
              <w:rPr>
                <w:rFonts w:eastAsia="Times New Roman" w:cstheme="minorHAnsi"/>
                <w:sz w:val="24"/>
                <w:szCs w:val="24"/>
                <w:lang w:eastAsia="sl-SI"/>
              </w:rPr>
              <w:t xml:space="preserve">     </w:t>
            </w:r>
            <w:r w:rsidRPr="00823F59">
              <w:rPr>
                <w:rFonts w:eastAsia="Times New Roman" w:cstheme="minorHAnsi"/>
                <w:b/>
                <w:sz w:val="24"/>
                <w:szCs w:val="24"/>
                <w:lang w:eastAsia="sl-SI"/>
              </w:rPr>
              <w:t>dr. Matija Tasič</w:t>
            </w:r>
          </w:p>
        </w:tc>
      </w:tr>
    </w:tbl>
    <w:p w:rsidR="00404574" w:rsidRPr="00823F59" w:rsidRDefault="00404574" w:rsidP="00404574">
      <w:pPr>
        <w:spacing w:after="0" w:line="240" w:lineRule="auto"/>
        <w:ind w:left="240"/>
        <w:jc w:val="both"/>
        <w:rPr>
          <w:rFonts w:eastAsia="Times New Roman" w:cstheme="minorHAnsi"/>
          <w:b/>
          <w:sz w:val="24"/>
          <w:szCs w:val="24"/>
          <w:lang w:eastAsia="sl-SI"/>
        </w:rPr>
      </w:pPr>
    </w:p>
    <w:p w:rsidR="00404574" w:rsidRPr="00823F59" w:rsidRDefault="00404574" w:rsidP="00404574">
      <w:pPr>
        <w:spacing w:after="0" w:line="240" w:lineRule="auto"/>
        <w:jc w:val="both"/>
        <w:rPr>
          <w:rFonts w:eastAsia="Times New Roman" w:cstheme="minorHAnsi"/>
          <w:sz w:val="24"/>
          <w:szCs w:val="24"/>
          <w:lang w:eastAsia="sl-SI"/>
        </w:rPr>
      </w:pPr>
    </w:p>
    <w:p w:rsidR="00836493" w:rsidRDefault="00404574" w:rsidP="00404574">
      <w:pPr>
        <w:spacing w:after="0" w:line="240" w:lineRule="auto"/>
        <w:ind w:left="240"/>
        <w:jc w:val="both"/>
        <w:rPr>
          <w:rFonts w:eastAsia="Times New Roman" w:cstheme="minorHAnsi"/>
          <w:sz w:val="24"/>
          <w:szCs w:val="24"/>
          <w:lang w:eastAsia="sl-SI"/>
        </w:rPr>
      </w:pPr>
      <w:r>
        <w:rPr>
          <w:rFonts w:eastAsia="Times New Roman" w:cstheme="minorHAnsi"/>
          <w:sz w:val="24"/>
          <w:szCs w:val="24"/>
          <w:lang w:eastAsia="sl-SI"/>
        </w:rPr>
        <w:tab/>
      </w: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836493" w:rsidRDefault="00836493" w:rsidP="00404574">
      <w:pPr>
        <w:spacing w:after="0" w:line="240" w:lineRule="auto"/>
        <w:ind w:left="240"/>
        <w:jc w:val="both"/>
        <w:rPr>
          <w:rFonts w:eastAsia="Times New Roman" w:cstheme="minorHAnsi"/>
          <w:sz w:val="24"/>
          <w:szCs w:val="24"/>
          <w:lang w:eastAsia="sl-SI"/>
        </w:rPr>
      </w:pPr>
    </w:p>
    <w:p w:rsidR="00404574" w:rsidRPr="00823F59" w:rsidRDefault="00404574" w:rsidP="00404574">
      <w:pPr>
        <w:spacing w:after="0" w:line="240" w:lineRule="auto"/>
        <w:ind w:left="240"/>
        <w:jc w:val="both"/>
        <w:rPr>
          <w:rFonts w:eastAsia="Times New Roman" w:cstheme="minorHAnsi"/>
          <w:sz w:val="24"/>
          <w:szCs w:val="24"/>
          <w:lang w:eastAsia="sl-SI"/>
        </w:rPr>
      </w:pPr>
      <w:r>
        <w:rPr>
          <w:rFonts w:eastAsia="Times New Roman" w:cstheme="minorHAnsi"/>
          <w:sz w:val="24"/>
          <w:szCs w:val="24"/>
          <w:lang w:eastAsia="sl-SI"/>
        </w:rPr>
        <w:tab/>
      </w:r>
      <w:r>
        <w:rPr>
          <w:rFonts w:eastAsia="Times New Roman" w:cstheme="minorHAnsi"/>
          <w:sz w:val="24"/>
          <w:szCs w:val="24"/>
          <w:lang w:eastAsia="sl-SI"/>
        </w:rPr>
        <w:tab/>
      </w:r>
      <w:r>
        <w:rPr>
          <w:rFonts w:eastAsia="Times New Roman" w:cstheme="minorHAnsi"/>
          <w:sz w:val="24"/>
          <w:szCs w:val="24"/>
          <w:lang w:eastAsia="sl-SI"/>
        </w:rPr>
        <w:tab/>
      </w:r>
      <w:r>
        <w:rPr>
          <w:rFonts w:eastAsia="Times New Roman" w:cstheme="minorHAnsi"/>
          <w:sz w:val="24"/>
          <w:szCs w:val="24"/>
          <w:lang w:eastAsia="sl-SI"/>
        </w:rPr>
        <w:tab/>
      </w:r>
      <w:r w:rsidRPr="00823F59">
        <w:rPr>
          <w:rFonts w:eastAsia="Times New Roman" w:cstheme="minorHAnsi"/>
          <w:sz w:val="24"/>
          <w:szCs w:val="24"/>
          <w:lang w:eastAsia="sl-SI"/>
        </w:rPr>
        <w:t xml:space="preserve">      </w:t>
      </w:r>
      <w:r w:rsidRPr="00823F59">
        <w:rPr>
          <w:rFonts w:eastAsia="Times New Roman" w:cstheme="minorHAnsi"/>
          <w:b/>
          <w:sz w:val="24"/>
          <w:szCs w:val="24"/>
          <w:lang w:eastAsia="sl-SI"/>
        </w:rPr>
        <w:tab/>
      </w:r>
      <w:r>
        <w:rPr>
          <w:rFonts w:eastAsia="Times New Roman" w:cstheme="minorHAnsi"/>
          <w:sz w:val="24"/>
          <w:szCs w:val="24"/>
          <w:lang w:eastAsia="sl-SI"/>
        </w:rPr>
        <w:tab/>
        <w:t xml:space="preserve">       </w:t>
      </w:r>
    </w:p>
    <w:p w:rsidR="00404574" w:rsidRPr="00B5371B" w:rsidRDefault="00404574" w:rsidP="00404574">
      <w:pPr>
        <w:tabs>
          <w:tab w:val="left" w:pos="1418"/>
        </w:tabs>
        <w:spacing w:after="0" w:line="240" w:lineRule="auto"/>
        <w:jc w:val="both"/>
        <w:rPr>
          <w:rFonts w:eastAsia="Times New Roman" w:cstheme="minorHAnsi"/>
          <w:i/>
          <w:lang w:eastAsia="sl-SI"/>
        </w:rPr>
      </w:pPr>
      <w:r w:rsidRPr="00B5371B">
        <w:rPr>
          <w:rFonts w:eastAsia="Times New Roman" w:cstheme="minorHAnsi"/>
          <w:i/>
          <w:lang w:eastAsia="sl-SI"/>
        </w:rPr>
        <w:t xml:space="preserve">Priloga: Dokument identifikacije investicijskega projekta </w:t>
      </w:r>
      <w:r w:rsidR="00B5371B" w:rsidRPr="00B5371B">
        <w:rPr>
          <w:rFonts w:eastAsia="Times New Roman" w:cstheme="minorHAnsi"/>
          <w:i/>
          <w:color w:val="000000" w:themeColor="text1"/>
        </w:rPr>
        <w:t>Skupaj za varni jutri.</w:t>
      </w:r>
      <w:r w:rsidRPr="00B5371B">
        <w:rPr>
          <w:rFonts w:eastAsia="Times New Roman" w:cstheme="minorHAnsi"/>
          <w:i/>
          <w:lang w:eastAsia="sl-SI"/>
        </w:rPr>
        <w:t xml:space="preserve"> </w:t>
      </w:r>
    </w:p>
    <w:p w:rsidR="008E4716" w:rsidRDefault="003F0637"/>
    <w:sectPr w:rsidR="008E4716" w:rsidSect="00334184">
      <w:footerReference w:type="even" r:id="rId8"/>
      <w:footerReference w:type="default" r:id="rId9"/>
      <w:pgSz w:w="11907" w:h="16840" w:code="9"/>
      <w:pgMar w:top="1276" w:right="1134" w:bottom="1135" w:left="1418" w:header="708" w:footer="708" w:gutter="0"/>
      <w:paperSrc w:first="259" w:other="259"/>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37" w:rsidRDefault="003F0637">
      <w:pPr>
        <w:spacing w:after="0" w:line="240" w:lineRule="auto"/>
      </w:pPr>
      <w:r>
        <w:separator/>
      </w:r>
    </w:p>
  </w:endnote>
  <w:endnote w:type="continuationSeparator" w:id="0">
    <w:p w:rsidR="003F0637" w:rsidRDefault="003F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10" w:rsidRDefault="00404574" w:rsidP="001F4B7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61810" w:rsidRDefault="003F0637" w:rsidP="001F4B7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10" w:rsidRDefault="00404574" w:rsidP="0053705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F0637">
      <w:rPr>
        <w:rStyle w:val="tevilkastrani"/>
        <w:noProof/>
      </w:rPr>
      <w:t>1</w:t>
    </w:r>
    <w:r>
      <w:rPr>
        <w:rStyle w:val="tevilkastrani"/>
      </w:rPr>
      <w:fldChar w:fldCharType="end"/>
    </w:r>
  </w:p>
  <w:p w:rsidR="00361810" w:rsidRDefault="00404574" w:rsidP="001F4B73">
    <w:pPr>
      <w:pStyle w:val="Noga"/>
      <w:framePr w:wrap="around" w:vAnchor="text" w:hAnchor="margin" w:xAlign="center" w:y="1"/>
      <w:ind w:right="360"/>
      <w:rPr>
        <w:rStyle w:val="tevilkastrani"/>
      </w:rPr>
    </w:pPr>
    <w:r>
      <w:rPr>
        <w:rStyle w:val="tevilkastrani"/>
      </w:rPr>
      <w:t xml:space="preserve"> </w:t>
    </w:r>
  </w:p>
  <w:p w:rsidR="00361810" w:rsidRDefault="003F063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37" w:rsidRDefault="003F0637">
      <w:pPr>
        <w:spacing w:after="0" w:line="240" w:lineRule="auto"/>
      </w:pPr>
      <w:r>
        <w:separator/>
      </w:r>
    </w:p>
  </w:footnote>
  <w:footnote w:type="continuationSeparator" w:id="0">
    <w:p w:rsidR="003F0637" w:rsidRDefault="003F0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7808"/>
    <w:multiLevelType w:val="hybridMultilevel"/>
    <w:tmpl w:val="4CEEBE90"/>
    <w:lvl w:ilvl="0" w:tplc="04240001">
      <w:start w:val="1"/>
      <w:numFmt w:val="bullet"/>
      <w:lvlText w:val=""/>
      <w:lvlJc w:val="left"/>
      <w:rPr>
        <w:rFonts w:ascii="Symbol" w:hAnsi="Symbol" w:hint="default"/>
      </w:rPr>
    </w:lvl>
    <w:lvl w:ilvl="1" w:tplc="7B503518">
      <w:start w:val="1"/>
      <w:numFmt w:val="bullet"/>
      <w:lvlText w:val=""/>
      <w:lvlJc w:val="left"/>
    </w:lvl>
    <w:lvl w:ilvl="2" w:tplc="31D0744E">
      <w:start w:val="1"/>
      <w:numFmt w:val="bullet"/>
      <w:lvlText w:val=""/>
      <w:lvlJc w:val="left"/>
    </w:lvl>
    <w:lvl w:ilvl="3" w:tplc="7332C6C0">
      <w:start w:val="1"/>
      <w:numFmt w:val="bullet"/>
      <w:lvlText w:val=""/>
      <w:lvlJc w:val="left"/>
    </w:lvl>
    <w:lvl w:ilvl="4" w:tplc="3052133E">
      <w:start w:val="1"/>
      <w:numFmt w:val="bullet"/>
      <w:lvlText w:val=""/>
      <w:lvlJc w:val="left"/>
    </w:lvl>
    <w:lvl w:ilvl="5" w:tplc="B1A24254">
      <w:start w:val="1"/>
      <w:numFmt w:val="bullet"/>
      <w:lvlText w:val=""/>
      <w:lvlJc w:val="left"/>
    </w:lvl>
    <w:lvl w:ilvl="6" w:tplc="0DAE1F58">
      <w:start w:val="1"/>
      <w:numFmt w:val="bullet"/>
      <w:lvlText w:val=""/>
      <w:lvlJc w:val="left"/>
    </w:lvl>
    <w:lvl w:ilvl="7" w:tplc="CA28FBE2">
      <w:start w:val="1"/>
      <w:numFmt w:val="bullet"/>
      <w:lvlText w:val=""/>
      <w:lvlJc w:val="left"/>
    </w:lvl>
    <w:lvl w:ilvl="8" w:tplc="BF7A27D8">
      <w:start w:val="1"/>
      <w:numFmt w:val="bullet"/>
      <w:lvlText w:val=""/>
      <w:lvlJc w:val="left"/>
    </w:lvl>
  </w:abstractNum>
  <w:abstractNum w:abstractNumId="1" w15:restartNumberingAfterBreak="0">
    <w:nsid w:val="3E342420"/>
    <w:multiLevelType w:val="hybridMultilevel"/>
    <w:tmpl w:val="4C246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88637E"/>
    <w:multiLevelType w:val="hybridMultilevel"/>
    <w:tmpl w:val="C20AB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74"/>
    <w:rsid w:val="000D5C32"/>
    <w:rsid w:val="000F74A1"/>
    <w:rsid w:val="001321E6"/>
    <w:rsid w:val="00157E7B"/>
    <w:rsid w:val="003E4322"/>
    <w:rsid w:val="003F0637"/>
    <w:rsid w:val="003F1911"/>
    <w:rsid w:val="00404574"/>
    <w:rsid w:val="004A5712"/>
    <w:rsid w:val="00836493"/>
    <w:rsid w:val="00955C98"/>
    <w:rsid w:val="00A132D3"/>
    <w:rsid w:val="00AB5854"/>
    <w:rsid w:val="00B1331C"/>
    <w:rsid w:val="00B46B6A"/>
    <w:rsid w:val="00B5371B"/>
    <w:rsid w:val="00BB1307"/>
    <w:rsid w:val="00BB3B40"/>
    <w:rsid w:val="00DB00F9"/>
    <w:rsid w:val="00F67D7B"/>
    <w:rsid w:val="00F7611B"/>
    <w:rsid w:val="00FB7BDA"/>
    <w:rsid w:val="00FD40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92412-3251-4270-8F1A-A3EB5F2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457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40457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04574"/>
  </w:style>
  <w:style w:type="character" w:styleId="tevilkastrani">
    <w:name w:val="page number"/>
    <w:basedOn w:val="Privzetapisavaodstavka"/>
    <w:rsid w:val="00404574"/>
  </w:style>
  <w:style w:type="paragraph" w:styleId="Telobesedila">
    <w:name w:val="Body Text"/>
    <w:basedOn w:val="Navaden"/>
    <w:link w:val="TelobesedilaZnak"/>
    <w:autoRedefine/>
    <w:uiPriority w:val="1"/>
    <w:qFormat/>
    <w:rsid w:val="003F1911"/>
    <w:pPr>
      <w:widowControl w:val="0"/>
      <w:spacing w:after="0" w:line="240" w:lineRule="auto"/>
      <w:ind w:right="104"/>
      <w:jc w:val="both"/>
    </w:pPr>
    <w:rPr>
      <w:rFonts w:eastAsia="Arial" w:cstheme="minorHAnsi"/>
      <w:b/>
      <w:i/>
      <w:spacing w:val="-1"/>
      <w:sz w:val="24"/>
      <w:szCs w:val="20"/>
      <w:lang w:val="en-US" w:eastAsia="sl-SI"/>
    </w:rPr>
  </w:style>
  <w:style w:type="character" w:customStyle="1" w:styleId="TelobesedilaZnak">
    <w:name w:val="Telo besedila Znak"/>
    <w:basedOn w:val="Privzetapisavaodstavka"/>
    <w:link w:val="Telobesedila"/>
    <w:uiPriority w:val="1"/>
    <w:rsid w:val="003F1911"/>
    <w:rPr>
      <w:rFonts w:eastAsia="Arial" w:cstheme="minorHAnsi"/>
      <w:b/>
      <w:i/>
      <w:spacing w:val="-1"/>
      <w:sz w:val="24"/>
      <w:szCs w:val="20"/>
      <w:lang w:val="en-US" w:eastAsia="sl-SI"/>
    </w:rPr>
  </w:style>
  <w:style w:type="paragraph" w:styleId="Brezrazmikov">
    <w:name w:val="No Spacing"/>
    <w:uiPriority w:val="1"/>
    <w:qFormat/>
    <w:rsid w:val="00404574"/>
    <w:pPr>
      <w:spacing w:after="0" w:line="240" w:lineRule="auto"/>
      <w:jc w:val="both"/>
    </w:pPr>
    <w:rPr>
      <w:rFonts w:ascii="Tahoma" w:eastAsia="Times New Roman" w:hAnsi="Tahoma" w:cs="Times New Roman"/>
      <w:sz w:val="24"/>
      <w:lang w:eastAsia="sl-SI"/>
    </w:rPr>
  </w:style>
  <w:style w:type="paragraph" w:styleId="Napis">
    <w:name w:val="caption"/>
    <w:basedOn w:val="Navaden"/>
    <w:next w:val="Navaden"/>
    <w:uiPriority w:val="99"/>
    <w:qFormat/>
    <w:rsid w:val="00404574"/>
    <w:pPr>
      <w:spacing w:line="240" w:lineRule="auto"/>
      <w:jc w:val="both"/>
    </w:pPr>
    <w:rPr>
      <w:rFonts w:ascii="Tahoma" w:eastAsia="Times New Roman" w:hAnsi="Tahoma" w:cs="Times New Roman"/>
      <w:b/>
      <w:bCs/>
      <w:szCs w:val="18"/>
      <w:lang w:eastAsia="sl-SI"/>
    </w:rPr>
  </w:style>
  <w:style w:type="character" w:styleId="Hiperpovezava">
    <w:name w:val="Hyperlink"/>
    <w:uiPriority w:val="99"/>
    <w:unhideWhenUsed/>
    <w:rsid w:val="00404574"/>
    <w:rPr>
      <w:color w:val="0000FF"/>
      <w:u w:val="single"/>
    </w:rPr>
  </w:style>
  <w:style w:type="table" w:styleId="Tabelamrea">
    <w:name w:val="Table Grid"/>
    <w:basedOn w:val="Navadnatabela"/>
    <w:uiPriority w:val="99"/>
    <w:rsid w:val="00404574"/>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BB3B40"/>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743</Words>
  <Characters>4237</Characters>
  <Application>Microsoft Office Word</Application>
  <DocSecurity>0</DocSecurity>
  <Lines>35</Lines>
  <Paragraphs>9</Paragraphs>
  <ScaleCrop>false</ScaleCrop>
  <HeadingPairs>
    <vt:vector size="4" baseType="variant">
      <vt:variant>
        <vt:lpstr>Naslov</vt:lpstr>
      </vt:variant>
      <vt:variant>
        <vt:i4>1</vt:i4>
      </vt:variant>
      <vt:variant>
        <vt:lpstr>Podnaslovi</vt:lpstr>
      </vt:variant>
      <vt:variant>
        <vt:i4>5</vt:i4>
      </vt:variant>
    </vt:vector>
  </HeadingPairs>
  <TitlesOfParts>
    <vt:vector size="6" baseType="lpstr">
      <vt:lpstr/>
      <vt:lpstr>/</vt:lpstr>
      <vt:lpstr/>
      <vt:lpstr/>
      <vt:lpstr>OBČINA PREVALJE</vt:lpstr>
      <vt:lpstr>Trg 2/a, 2391 Prevalje</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3</cp:revision>
  <dcterms:created xsi:type="dcterms:W3CDTF">2018-10-04T07:13:00Z</dcterms:created>
  <dcterms:modified xsi:type="dcterms:W3CDTF">2018-10-04T07:14:00Z</dcterms:modified>
</cp:coreProperties>
</file>