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A2F" w:rsidRPr="00ED1A27" w:rsidRDefault="00D85A2F"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 xml:space="preserve">Številka: </w:t>
      </w:r>
      <w:r w:rsidR="003C2196" w:rsidRPr="00ED1A27">
        <w:rPr>
          <w:rFonts w:ascii="Arial" w:hAnsi="Arial" w:cs="Arial"/>
          <w:sz w:val="20"/>
          <w:szCs w:val="20"/>
        </w:rPr>
        <w:t>410-669/2020</w:t>
      </w:r>
    </w:p>
    <w:p w:rsidR="00D85A2F" w:rsidRPr="00ED1A27" w:rsidRDefault="00D85A2F"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 xml:space="preserve">Datum: </w:t>
      </w:r>
      <w:r w:rsidR="003C2196" w:rsidRPr="00ED1A27">
        <w:rPr>
          <w:rFonts w:ascii="Arial" w:hAnsi="Arial" w:cs="Arial"/>
          <w:sz w:val="20"/>
          <w:szCs w:val="20"/>
        </w:rPr>
        <w:t>3. 9. 2020</w:t>
      </w:r>
    </w:p>
    <w:p w:rsidR="00D85A2F" w:rsidRPr="00ED1A27" w:rsidRDefault="00D85A2F" w:rsidP="00ED1A27">
      <w:pPr>
        <w:autoSpaceDE w:val="0"/>
        <w:autoSpaceDN w:val="0"/>
        <w:adjustRightInd w:val="0"/>
        <w:spacing w:line="276" w:lineRule="auto"/>
        <w:rPr>
          <w:rFonts w:ascii="Arial" w:hAnsi="Arial" w:cs="Arial"/>
          <w:b/>
          <w:bCs/>
          <w:sz w:val="20"/>
          <w:szCs w:val="20"/>
        </w:rPr>
      </w:pPr>
    </w:p>
    <w:p w:rsidR="001825F8" w:rsidRPr="00ED1A27" w:rsidRDefault="004C5A34"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Mestni svet</w:t>
      </w:r>
    </w:p>
    <w:p w:rsidR="001825F8" w:rsidRPr="00ED1A27" w:rsidRDefault="004C5A34"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Mestne občine Ptuj</w:t>
      </w:r>
    </w:p>
    <w:p w:rsidR="001825F8" w:rsidRPr="00ED1A27" w:rsidRDefault="001825F8" w:rsidP="00ED1A27">
      <w:pPr>
        <w:autoSpaceDE w:val="0"/>
        <w:autoSpaceDN w:val="0"/>
        <w:adjustRightInd w:val="0"/>
        <w:spacing w:line="276" w:lineRule="auto"/>
        <w:rPr>
          <w:rFonts w:ascii="Arial" w:hAnsi="Arial" w:cs="Arial"/>
          <w:b/>
          <w:sz w:val="20"/>
          <w:szCs w:val="20"/>
        </w:rPr>
      </w:pPr>
    </w:p>
    <w:p w:rsidR="001825F8" w:rsidRPr="00ED1A27" w:rsidRDefault="001825F8" w:rsidP="00ED1A27">
      <w:pPr>
        <w:autoSpaceDE w:val="0"/>
        <w:autoSpaceDN w:val="0"/>
        <w:adjustRightInd w:val="0"/>
        <w:spacing w:line="276" w:lineRule="auto"/>
        <w:rPr>
          <w:rFonts w:ascii="Arial" w:hAnsi="Arial" w:cs="Arial"/>
          <w:b/>
          <w:sz w:val="20"/>
          <w:szCs w:val="20"/>
        </w:rPr>
      </w:pPr>
    </w:p>
    <w:tbl>
      <w:tblPr>
        <w:tblW w:w="0" w:type="auto"/>
        <w:tblLook w:val="04A0" w:firstRow="1" w:lastRow="0" w:firstColumn="1" w:lastColumn="0" w:noHBand="0" w:noVBand="1"/>
      </w:tblPr>
      <w:tblGrid>
        <w:gridCol w:w="3219"/>
        <w:gridCol w:w="6185"/>
      </w:tblGrid>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b/>
                <w:sz w:val="20"/>
                <w:szCs w:val="20"/>
              </w:rPr>
              <w:t>ZADEVA:</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sz w:val="20"/>
                <w:szCs w:val="20"/>
              </w:rPr>
              <w:t>Predlog</w:t>
            </w:r>
            <w:r w:rsidRPr="00ED1A27">
              <w:rPr>
                <w:rFonts w:ascii="Arial" w:hAnsi="Arial" w:cs="Arial"/>
                <w:bCs/>
                <w:sz w:val="20"/>
                <w:szCs w:val="20"/>
              </w:rPr>
              <w:t xml:space="preserve"> za obravnavo na 1</w:t>
            </w:r>
            <w:r w:rsidR="003C2196" w:rsidRPr="00ED1A27">
              <w:rPr>
                <w:rFonts w:ascii="Arial" w:hAnsi="Arial" w:cs="Arial"/>
                <w:bCs/>
                <w:sz w:val="20"/>
                <w:szCs w:val="20"/>
              </w:rPr>
              <w:t>8</w:t>
            </w:r>
            <w:r w:rsidRPr="00ED1A27">
              <w:rPr>
                <w:rFonts w:ascii="Arial" w:hAnsi="Arial" w:cs="Arial"/>
                <w:bCs/>
                <w:sz w:val="20"/>
                <w:szCs w:val="20"/>
              </w:rPr>
              <w:t>. redni seji Mestnega sveta Mestne občine Ptuj</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sz w:val="20"/>
                <w:szCs w:val="20"/>
              </w:rPr>
              <w:t>NASLOV:</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b/>
                <w:bCs/>
                <w:sz w:val="20"/>
                <w:szCs w:val="20"/>
              </w:rPr>
              <w:t xml:space="preserve">Predlog Sklepa o potrditvi </w:t>
            </w:r>
            <w:r w:rsidR="003F563C">
              <w:rPr>
                <w:rFonts w:ascii="Arial" w:hAnsi="Arial" w:cs="Arial"/>
                <w:b/>
                <w:bCs/>
                <w:sz w:val="20"/>
                <w:szCs w:val="20"/>
              </w:rPr>
              <w:t xml:space="preserve">spremembe </w:t>
            </w:r>
            <w:r w:rsidR="00E67CD4" w:rsidRPr="00ED1A27">
              <w:rPr>
                <w:rFonts w:ascii="Arial" w:hAnsi="Arial" w:cs="Arial"/>
                <w:b/>
                <w:bCs/>
                <w:sz w:val="20"/>
                <w:szCs w:val="20"/>
              </w:rPr>
              <w:t>Načrta razvojnega programa</w:t>
            </w:r>
            <w:r w:rsidRPr="00ED1A27">
              <w:rPr>
                <w:rFonts w:ascii="Arial" w:hAnsi="Arial" w:cs="Arial"/>
                <w:b/>
                <w:bCs/>
                <w:sz w:val="20"/>
                <w:szCs w:val="20"/>
              </w:rPr>
              <w:t xml:space="preserve"> </w:t>
            </w:r>
            <w:r w:rsidR="003C2196" w:rsidRPr="00ED1A27">
              <w:rPr>
                <w:rFonts w:ascii="Arial" w:hAnsi="Arial" w:cs="Arial"/>
                <w:b/>
                <w:sz w:val="20"/>
                <w:szCs w:val="20"/>
              </w:rPr>
              <w:t>»Gradnja regionalnih kolesarskih povezav za zagotavljanje trajnostne mobilnosti v Spodnjem Podravju – odsek 1 Ptuj – Hajdina – Kidričevo – Majšperk«</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sz w:val="20"/>
                <w:szCs w:val="20"/>
              </w:rPr>
              <w:t>PRIPRAVIL:</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r w:rsidRPr="00ED1A27">
              <w:rPr>
                <w:rFonts w:ascii="Arial" w:hAnsi="Arial" w:cs="Arial"/>
                <w:sz w:val="20"/>
                <w:szCs w:val="20"/>
              </w:rPr>
              <w:t>Oddelek za gospodarske dejavnosti</w:t>
            </w:r>
          </w:p>
          <w:p w:rsidR="001825F8" w:rsidRPr="00ED1A27" w:rsidRDefault="001825F8" w:rsidP="00ED1A27">
            <w:pPr>
              <w:autoSpaceDE w:val="0"/>
              <w:autoSpaceDN w:val="0"/>
              <w:adjustRightInd w:val="0"/>
              <w:spacing w:line="276" w:lineRule="auto"/>
              <w:jc w:val="both"/>
              <w:rPr>
                <w:rFonts w:ascii="Arial" w:hAnsi="Arial" w:cs="Arial"/>
                <w:sz w:val="20"/>
                <w:szCs w:val="20"/>
              </w:rPr>
            </w:pPr>
            <w:r w:rsidRPr="00ED1A27">
              <w:rPr>
                <w:rFonts w:ascii="Arial" w:hAnsi="Arial" w:cs="Arial"/>
                <w:sz w:val="20"/>
                <w:szCs w:val="20"/>
              </w:rPr>
              <w:t>Tina Zamuda, višja svetovalka</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sz w:val="20"/>
                <w:szCs w:val="20"/>
              </w:rPr>
            </w:pPr>
            <w:r w:rsidRPr="00ED1A27">
              <w:rPr>
                <w:rFonts w:ascii="Arial" w:hAnsi="Arial" w:cs="Arial"/>
                <w:b/>
                <w:sz w:val="20"/>
                <w:szCs w:val="20"/>
              </w:rPr>
              <w:t xml:space="preserve">PRAVNA </w:t>
            </w:r>
          </w:p>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sz w:val="20"/>
                <w:szCs w:val="20"/>
              </w:rPr>
              <w:t>PODLAGA:</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sz w:val="20"/>
                <w:szCs w:val="20"/>
              </w:rPr>
              <w:t>23. člen Statuta Mestne občine Ptuj (Uradni vestnik Mestne občine Ptuj, št. 9/07) in 76. člen Poslovnika Mestnega sveta Mestne občine Ptuj (Uradni vestnik Mestne občine Ptuj, št. 12/07, 1/09, 2/14, 7/15, 9/17 in 7/19)</w:t>
            </w:r>
          </w:p>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
                <w:sz w:val="20"/>
                <w:szCs w:val="20"/>
              </w:rPr>
            </w:pPr>
            <w:r w:rsidRPr="00ED1A27">
              <w:rPr>
                <w:rFonts w:ascii="Arial" w:hAnsi="Arial" w:cs="Arial"/>
                <w:b/>
                <w:bCs/>
                <w:sz w:val="20"/>
                <w:szCs w:val="20"/>
              </w:rPr>
              <w:t>POROČEVALEC:</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r w:rsidRPr="00ED1A27">
              <w:rPr>
                <w:rFonts w:ascii="Arial" w:hAnsi="Arial" w:cs="Arial"/>
                <w:bCs/>
                <w:sz w:val="20"/>
                <w:szCs w:val="20"/>
              </w:rPr>
              <w:t>Andrej Trunk, vodja Oddelka za gospodarske dejavnosti</w:t>
            </w: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Cs/>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r w:rsidRPr="00ED1A27">
              <w:rPr>
                <w:rFonts w:ascii="Arial" w:hAnsi="Arial" w:cs="Arial"/>
                <w:b/>
                <w:bCs/>
                <w:sz w:val="20"/>
                <w:szCs w:val="20"/>
              </w:rPr>
              <w:t>PRISTOJNO</w:t>
            </w:r>
          </w:p>
          <w:p w:rsidR="001825F8" w:rsidRPr="00ED1A27" w:rsidRDefault="001825F8" w:rsidP="00ED1A27">
            <w:pPr>
              <w:autoSpaceDE w:val="0"/>
              <w:autoSpaceDN w:val="0"/>
              <w:adjustRightInd w:val="0"/>
              <w:spacing w:line="276" w:lineRule="auto"/>
              <w:jc w:val="both"/>
              <w:rPr>
                <w:rFonts w:ascii="Arial" w:hAnsi="Arial" w:cs="Arial"/>
                <w:b/>
                <w:bCs/>
                <w:sz w:val="20"/>
                <w:szCs w:val="20"/>
              </w:rPr>
            </w:pPr>
            <w:r w:rsidRPr="00ED1A27">
              <w:rPr>
                <w:rFonts w:ascii="Arial" w:hAnsi="Arial" w:cs="Arial"/>
                <w:b/>
                <w:bCs/>
                <w:sz w:val="20"/>
                <w:szCs w:val="20"/>
              </w:rPr>
              <w:t>DELOVNO TELO:</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bCs/>
                <w:sz w:val="20"/>
                <w:szCs w:val="20"/>
              </w:rPr>
            </w:pPr>
            <w:r w:rsidRPr="00ED1A27">
              <w:rPr>
                <w:rFonts w:ascii="Arial" w:hAnsi="Arial" w:cs="Arial"/>
                <w:bCs/>
                <w:sz w:val="20"/>
                <w:szCs w:val="20"/>
              </w:rPr>
              <w:t>Odbor za financ</w:t>
            </w:r>
            <w:r w:rsidR="003F563C">
              <w:rPr>
                <w:rFonts w:ascii="Arial" w:hAnsi="Arial" w:cs="Arial"/>
                <w:bCs/>
                <w:sz w:val="20"/>
                <w:szCs w:val="20"/>
              </w:rPr>
              <w:t>e, Odbor za okolje in prostor ter</w:t>
            </w:r>
            <w:r w:rsidRPr="00ED1A27">
              <w:rPr>
                <w:rFonts w:ascii="Arial" w:hAnsi="Arial" w:cs="Arial"/>
                <w:bCs/>
                <w:sz w:val="20"/>
                <w:szCs w:val="20"/>
              </w:rPr>
              <w:t xml:space="preserve"> gospodarsko infrastrukturo, Odbor za gospodarstvo</w:t>
            </w:r>
          </w:p>
          <w:p w:rsidR="001825F8" w:rsidRPr="00ED1A27" w:rsidRDefault="001825F8" w:rsidP="00ED1A27">
            <w:pPr>
              <w:autoSpaceDE w:val="0"/>
              <w:autoSpaceDN w:val="0"/>
              <w:adjustRightInd w:val="0"/>
              <w:spacing w:line="276" w:lineRule="auto"/>
              <w:jc w:val="both"/>
              <w:rPr>
                <w:rFonts w:ascii="Arial" w:hAnsi="Arial" w:cs="Arial"/>
                <w:bCs/>
                <w:sz w:val="20"/>
                <w:szCs w:val="20"/>
                <w:highlight w:val="yellow"/>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p>
        </w:tc>
      </w:tr>
      <w:tr w:rsidR="001825F8" w:rsidRPr="00ED1A27" w:rsidTr="000F54D9">
        <w:tc>
          <w:tcPr>
            <w:tcW w:w="3369" w:type="dxa"/>
            <w:shd w:val="clear" w:color="auto" w:fill="auto"/>
          </w:tcPr>
          <w:p w:rsidR="001825F8" w:rsidRPr="00ED1A27" w:rsidRDefault="001825F8" w:rsidP="00ED1A27">
            <w:pPr>
              <w:autoSpaceDE w:val="0"/>
              <w:autoSpaceDN w:val="0"/>
              <w:adjustRightInd w:val="0"/>
              <w:spacing w:line="276" w:lineRule="auto"/>
              <w:rPr>
                <w:rFonts w:ascii="Arial" w:hAnsi="Arial" w:cs="Arial"/>
                <w:b/>
                <w:bCs/>
                <w:sz w:val="20"/>
                <w:szCs w:val="20"/>
              </w:rPr>
            </w:pPr>
            <w:r w:rsidRPr="00ED1A27">
              <w:rPr>
                <w:rFonts w:ascii="Arial" w:hAnsi="Arial" w:cs="Arial"/>
                <w:b/>
                <w:bCs/>
                <w:sz w:val="20"/>
                <w:szCs w:val="20"/>
              </w:rPr>
              <w:t>PREDLOG SKLEPA:</w:t>
            </w:r>
          </w:p>
        </w:tc>
        <w:tc>
          <w:tcPr>
            <w:tcW w:w="6694" w:type="dxa"/>
            <w:shd w:val="clear" w:color="auto" w:fill="auto"/>
          </w:tcPr>
          <w:p w:rsidR="001825F8" w:rsidRPr="00ED1A27" w:rsidRDefault="001825F8" w:rsidP="00ED1A27">
            <w:pPr>
              <w:autoSpaceDE w:val="0"/>
              <w:autoSpaceDN w:val="0"/>
              <w:adjustRightInd w:val="0"/>
              <w:spacing w:line="276" w:lineRule="auto"/>
              <w:jc w:val="both"/>
              <w:rPr>
                <w:rFonts w:ascii="Arial" w:hAnsi="Arial" w:cs="Arial"/>
                <w:sz w:val="20"/>
                <w:szCs w:val="20"/>
              </w:rPr>
            </w:pPr>
            <w:r w:rsidRPr="00ED1A27">
              <w:rPr>
                <w:rFonts w:ascii="Arial" w:hAnsi="Arial" w:cs="Arial"/>
                <w:sz w:val="20"/>
                <w:szCs w:val="20"/>
              </w:rPr>
              <w:t xml:space="preserve">Mestni svet Mestne občine Ptuj sprejme predlog Sklepa o potrditvi </w:t>
            </w:r>
            <w:r w:rsidR="003F563C">
              <w:rPr>
                <w:rFonts w:ascii="Arial" w:hAnsi="Arial" w:cs="Arial"/>
                <w:sz w:val="20"/>
                <w:szCs w:val="20"/>
              </w:rPr>
              <w:t xml:space="preserve">spremembe </w:t>
            </w:r>
            <w:r w:rsidR="004C5A34" w:rsidRPr="00ED1A27">
              <w:rPr>
                <w:rFonts w:ascii="Arial" w:hAnsi="Arial" w:cs="Arial"/>
                <w:sz w:val="20"/>
                <w:szCs w:val="20"/>
              </w:rPr>
              <w:t>Načrta razvojnega programa</w:t>
            </w:r>
            <w:r w:rsidR="0088526C" w:rsidRPr="00ED1A27">
              <w:rPr>
                <w:rFonts w:ascii="Arial" w:hAnsi="Arial" w:cs="Arial"/>
                <w:sz w:val="20"/>
                <w:szCs w:val="20"/>
              </w:rPr>
              <w:t xml:space="preserve"> (NRP</w:t>
            </w:r>
            <w:r w:rsidR="003C2196" w:rsidRPr="00ED1A27">
              <w:rPr>
                <w:rFonts w:ascii="Arial" w:hAnsi="Arial" w:cs="Arial"/>
                <w:sz w:val="20"/>
                <w:szCs w:val="20"/>
              </w:rPr>
              <w:t>) »Gradnja regionalnih kolesarskih povezav za zagotavljanje trajnostne mobilnosti v Spodnjem Podravju – odsek 1 Ptuj – Hajdina – Kidričevo – Majšperk«</w:t>
            </w:r>
            <w:r w:rsidRPr="00ED1A27">
              <w:rPr>
                <w:rFonts w:ascii="Arial" w:hAnsi="Arial" w:cs="Arial"/>
                <w:sz w:val="20"/>
                <w:szCs w:val="20"/>
              </w:rPr>
              <w:t xml:space="preserve"> v predloženem besedilu.</w:t>
            </w:r>
          </w:p>
        </w:tc>
      </w:tr>
    </w:tbl>
    <w:p w:rsidR="001825F8" w:rsidRPr="00ED1A27" w:rsidRDefault="001825F8" w:rsidP="00ED1A27">
      <w:pPr>
        <w:autoSpaceDE w:val="0"/>
        <w:autoSpaceDN w:val="0"/>
        <w:adjustRightInd w:val="0"/>
        <w:spacing w:line="276" w:lineRule="auto"/>
        <w:jc w:val="both"/>
        <w:rPr>
          <w:rFonts w:ascii="Arial" w:hAnsi="Arial" w:cs="Arial"/>
          <w:b/>
          <w:bCs/>
          <w:sz w:val="20"/>
          <w:szCs w:val="20"/>
        </w:rPr>
      </w:pPr>
    </w:p>
    <w:p w:rsidR="001825F8" w:rsidRPr="00ED1A27" w:rsidRDefault="001825F8" w:rsidP="00ED1A27">
      <w:pPr>
        <w:autoSpaceDE w:val="0"/>
        <w:autoSpaceDN w:val="0"/>
        <w:adjustRightInd w:val="0"/>
        <w:spacing w:line="276" w:lineRule="auto"/>
        <w:ind w:left="6946"/>
        <w:jc w:val="center"/>
        <w:rPr>
          <w:rFonts w:ascii="Arial" w:hAnsi="Arial" w:cs="Arial"/>
          <w:bCs/>
          <w:sz w:val="20"/>
          <w:szCs w:val="20"/>
        </w:rPr>
      </w:pPr>
      <w:r w:rsidRPr="00ED1A27">
        <w:rPr>
          <w:rFonts w:ascii="Arial" w:hAnsi="Arial" w:cs="Arial"/>
          <w:bCs/>
          <w:sz w:val="20"/>
          <w:szCs w:val="20"/>
        </w:rPr>
        <w:t>Nuška Gajšek</w:t>
      </w:r>
    </w:p>
    <w:p w:rsidR="001825F8" w:rsidRPr="00ED1A27" w:rsidRDefault="001825F8" w:rsidP="00ED1A27">
      <w:pPr>
        <w:autoSpaceDE w:val="0"/>
        <w:autoSpaceDN w:val="0"/>
        <w:adjustRightInd w:val="0"/>
        <w:spacing w:line="276" w:lineRule="auto"/>
        <w:ind w:left="6946"/>
        <w:jc w:val="center"/>
        <w:rPr>
          <w:rFonts w:ascii="Arial" w:hAnsi="Arial" w:cs="Arial"/>
          <w:bCs/>
          <w:sz w:val="20"/>
          <w:szCs w:val="20"/>
        </w:rPr>
      </w:pPr>
      <w:r w:rsidRPr="00ED1A27">
        <w:rPr>
          <w:rFonts w:ascii="Arial" w:hAnsi="Arial" w:cs="Arial"/>
          <w:bCs/>
          <w:sz w:val="20"/>
          <w:szCs w:val="20"/>
        </w:rPr>
        <w:t>županja</w:t>
      </w:r>
    </w:p>
    <w:p w:rsidR="001825F8" w:rsidRPr="00ED1A27" w:rsidRDefault="001825F8" w:rsidP="00ED1A27">
      <w:pPr>
        <w:autoSpaceDE w:val="0"/>
        <w:autoSpaceDN w:val="0"/>
        <w:adjustRightInd w:val="0"/>
        <w:spacing w:line="276" w:lineRule="auto"/>
        <w:rPr>
          <w:rFonts w:ascii="Arial" w:hAnsi="Arial" w:cs="Arial"/>
          <w:sz w:val="20"/>
          <w:szCs w:val="20"/>
        </w:rPr>
      </w:pPr>
      <w:r w:rsidRPr="00ED1A27">
        <w:rPr>
          <w:rFonts w:ascii="Arial" w:hAnsi="Arial" w:cs="Arial"/>
          <w:sz w:val="20"/>
          <w:szCs w:val="20"/>
        </w:rPr>
        <w:t>Priloge:</w:t>
      </w:r>
    </w:p>
    <w:p w:rsidR="003C2196" w:rsidRPr="00ED1A27" w:rsidRDefault="00E67CD4" w:rsidP="003F563C">
      <w:pPr>
        <w:numPr>
          <w:ilvl w:val="0"/>
          <w:numId w:val="8"/>
        </w:numPr>
        <w:autoSpaceDE w:val="0"/>
        <w:autoSpaceDN w:val="0"/>
        <w:adjustRightInd w:val="0"/>
        <w:spacing w:line="276" w:lineRule="auto"/>
        <w:jc w:val="both"/>
        <w:rPr>
          <w:rFonts w:ascii="Arial" w:hAnsi="Arial" w:cs="Arial"/>
          <w:bCs/>
          <w:sz w:val="20"/>
          <w:szCs w:val="20"/>
        </w:rPr>
      </w:pPr>
      <w:r w:rsidRPr="00ED1A27">
        <w:rPr>
          <w:rFonts w:ascii="Arial" w:hAnsi="Arial" w:cs="Arial"/>
          <w:sz w:val="20"/>
          <w:szCs w:val="20"/>
        </w:rPr>
        <w:t>Načrt razvojnega programa</w:t>
      </w:r>
      <w:r w:rsidR="003C2196" w:rsidRPr="00ED1A27">
        <w:rPr>
          <w:rFonts w:ascii="Arial" w:hAnsi="Arial" w:cs="Arial"/>
          <w:sz w:val="20"/>
          <w:szCs w:val="20"/>
        </w:rPr>
        <w:t>(NRP)</w:t>
      </w:r>
      <w:r w:rsidRPr="00ED1A27">
        <w:rPr>
          <w:rFonts w:ascii="Arial" w:hAnsi="Arial" w:cs="Arial"/>
          <w:sz w:val="20"/>
          <w:szCs w:val="20"/>
        </w:rPr>
        <w:t xml:space="preserve"> </w:t>
      </w:r>
      <w:r w:rsidR="003C2196" w:rsidRPr="00ED1A27">
        <w:rPr>
          <w:rFonts w:ascii="Arial" w:hAnsi="Arial" w:cs="Arial"/>
          <w:sz w:val="20"/>
          <w:szCs w:val="20"/>
        </w:rPr>
        <w:t>»Gradnja regionalnih kolesarskih povezav za zagotavljanje trajnostne mobilnosti v Spodnjem Podravju – odsek 1 Ptuj – Hajdina – Kidričevo – Majšperk«</w:t>
      </w:r>
    </w:p>
    <w:p w:rsidR="001825F8" w:rsidRPr="00ED1A27" w:rsidRDefault="00E67CD4" w:rsidP="003F563C">
      <w:pPr>
        <w:numPr>
          <w:ilvl w:val="0"/>
          <w:numId w:val="8"/>
        </w:numPr>
        <w:autoSpaceDE w:val="0"/>
        <w:autoSpaceDN w:val="0"/>
        <w:adjustRightInd w:val="0"/>
        <w:spacing w:line="276" w:lineRule="auto"/>
        <w:jc w:val="both"/>
        <w:rPr>
          <w:rFonts w:ascii="Arial" w:hAnsi="Arial" w:cs="Arial"/>
          <w:bCs/>
          <w:sz w:val="20"/>
          <w:szCs w:val="20"/>
        </w:rPr>
      </w:pPr>
      <w:r w:rsidRPr="00ED1A27">
        <w:rPr>
          <w:rFonts w:ascii="Arial" w:hAnsi="Arial" w:cs="Arial"/>
          <w:sz w:val="20"/>
          <w:szCs w:val="20"/>
        </w:rPr>
        <w:t>P</w:t>
      </w:r>
      <w:r w:rsidR="001825F8" w:rsidRPr="00ED1A27">
        <w:rPr>
          <w:rFonts w:ascii="Arial" w:hAnsi="Arial" w:cs="Arial"/>
          <w:sz w:val="20"/>
          <w:szCs w:val="20"/>
        </w:rPr>
        <w:t xml:space="preserve">redlog Sklepa o potrditvi </w:t>
      </w:r>
      <w:r w:rsidRPr="00ED1A27">
        <w:rPr>
          <w:rFonts w:ascii="Arial" w:hAnsi="Arial" w:cs="Arial"/>
          <w:sz w:val="20"/>
          <w:szCs w:val="20"/>
        </w:rPr>
        <w:t>Načrta razvojnega programa</w:t>
      </w:r>
      <w:r w:rsidR="001825F8" w:rsidRPr="00ED1A27">
        <w:rPr>
          <w:rFonts w:ascii="Arial" w:hAnsi="Arial" w:cs="Arial"/>
          <w:sz w:val="20"/>
          <w:szCs w:val="20"/>
        </w:rPr>
        <w:t xml:space="preserve"> (</w:t>
      </w:r>
      <w:r w:rsidRPr="00ED1A27">
        <w:rPr>
          <w:rFonts w:ascii="Arial" w:hAnsi="Arial" w:cs="Arial"/>
          <w:sz w:val="20"/>
          <w:szCs w:val="20"/>
        </w:rPr>
        <w:t>NRP</w:t>
      </w:r>
      <w:r w:rsidR="001825F8" w:rsidRPr="00ED1A27">
        <w:rPr>
          <w:rFonts w:ascii="Arial" w:hAnsi="Arial" w:cs="Arial"/>
          <w:sz w:val="20"/>
          <w:szCs w:val="20"/>
        </w:rPr>
        <w:t xml:space="preserve">) </w:t>
      </w:r>
      <w:r w:rsidR="003C2196" w:rsidRPr="00ED1A27">
        <w:rPr>
          <w:rFonts w:ascii="Arial" w:hAnsi="Arial" w:cs="Arial"/>
          <w:sz w:val="20"/>
          <w:szCs w:val="20"/>
        </w:rPr>
        <w:t>»Gradnja regionalnih kolesarskih povezav za zagotavljanje trajnostne mobilnosti v Spodnjem Podravju – odsek 1 Ptuj – Hajdina – Kidričevo – Majšperk«</w:t>
      </w:r>
    </w:p>
    <w:p w:rsidR="00097307" w:rsidRPr="00ED1A27" w:rsidRDefault="000E42C3" w:rsidP="00ED1A27">
      <w:pPr>
        <w:autoSpaceDE w:val="0"/>
        <w:autoSpaceDN w:val="0"/>
        <w:adjustRightInd w:val="0"/>
        <w:spacing w:line="276" w:lineRule="auto"/>
        <w:jc w:val="right"/>
        <w:rPr>
          <w:rFonts w:ascii="Arial" w:hAnsi="Arial" w:cs="Arial"/>
          <w:sz w:val="20"/>
          <w:szCs w:val="20"/>
        </w:rPr>
      </w:pPr>
      <w:r w:rsidRPr="00ED1A27">
        <w:rPr>
          <w:rFonts w:ascii="Arial" w:hAnsi="Arial" w:cs="Arial"/>
          <w:sz w:val="20"/>
          <w:szCs w:val="20"/>
        </w:rPr>
        <w:br w:type="page"/>
      </w:r>
      <w:r w:rsidR="00104A6C" w:rsidRPr="00ED1A27">
        <w:rPr>
          <w:rFonts w:ascii="Arial" w:hAnsi="Arial" w:cs="Arial"/>
          <w:sz w:val="20"/>
          <w:szCs w:val="20"/>
        </w:rPr>
        <w:lastRenderedPageBreak/>
        <w:t xml:space="preserve"> </w:t>
      </w:r>
      <w:r w:rsidR="00097307" w:rsidRPr="00ED1A27">
        <w:rPr>
          <w:rFonts w:ascii="Arial" w:hAnsi="Arial" w:cs="Arial"/>
          <w:sz w:val="20"/>
          <w:szCs w:val="20"/>
        </w:rPr>
        <w:t>PREDLOG</w:t>
      </w:r>
    </w:p>
    <w:p w:rsidR="00097307" w:rsidRPr="00ED1A27" w:rsidRDefault="00D51522" w:rsidP="00ED1A27">
      <w:pPr>
        <w:spacing w:line="276" w:lineRule="auto"/>
        <w:jc w:val="right"/>
        <w:rPr>
          <w:rFonts w:ascii="Arial" w:hAnsi="Arial" w:cs="Arial"/>
          <w:sz w:val="20"/>
          <w:szCs w:val="20"/>
        </w:rPr>
      </w:pPr>
      <w:r w:rsidRPr="00ED1A27">
        <w:rPr>
          <w:rFonts w:ascii="Arial" w:hAnsi="Arial" w:cs="Arial"/>
          <w:sz w:val="20"/>
          <w:szCs w:val="20"/>
        </w:rPr>
        <w:t>september</w:t>
      </w:r>
      <w:r w:rsidR="00104A6C" w:rsidRPr="00ED1A27">
        <w:rPr>
          <w:rFonts w:ascii="Arial" w:hAnsi="Arial" w:cs="Arial"/>
          <w:sz w:val="20"/>
          <w:szCs w:val="20"/>
        </w:rPr>
        <w:t xml:space="preserve"> 2020</w:t>
      </w:r>
    </w:p>
    <w:p w:rsidR="00097307" w:rsidRPr="00ED1A27" w:rsidRDefault="00097307" w:rsidP="00ED1A27">
      <w:pPr>
        <w:spacing w:line="276" w:lineRule="auto"/>
        <w:rPr>
          <w:rFonts w:ascii="Arial" w:hAnsi="Arial" w:cs="Arial"/>
          <w:sz w:val="20"/>
          <w:szCs w:val="20"/>
        </w:rPr>
      </w:pPr>
    </w:p>
    <w:p w:rsidR="00C85045" w:rsidRPr="00ED1A27" w:rsidRDefault="003F563C" w:rsidP="00ED1A27">
      <w:pPr>
        <w:spacing w:line="276" w:lineRule="auto"/>
        <w:jc w:val="both"/>
        <w:rPr>
          <w:rFonts w:ascii="Arial" w:hAnsi="Arial" w:cs="Arial"/>
          <w:sz w:val="20"/>
          <w:szCs w:val="20"/>
        </w:rPr>
      </w:pPr>
      <w:r>
        <w:rPr>
          <w:rFonts w:ascii="Arial" w:hAnsi="Arial" w:cs="Arial"/>
          <w:sz w:val="20"/>
          <w:szCs w:val="20"/>
        </w:rPr>
        <w:t>Na podlagi prvega</w:t>
      </w:r>
      <w:r w:rsidR="00C85045" w:rsidRPr="00ED1A27">
        <w:rPr>
          <w:rFonts w:ascii="Arial" w:hAnsi="Arial" w:cs="Arial"/>
          <w:sz w:val="20"/>
          <w:szCs w:val="20"/>
        </w:rPr>
        <w:t xml:space="preserve"> odstavka 8. člena Odloka o proračunu Mestne občine Ptuj za leto </w:t>
      </w:r>
      <w:r w:rsidR="004C5A34" w:rsidRPr="00ED1A27">
        <w:rPr>
          <w:rFonts w:ascii="Arial" w:hAnsi="Arial" w:cs="Arial"/>
          <w:sz w:val="20"/>
          <w:szCs w:val="20"/>
        </w:rPr>
        <w:t>2020</w:t>
      </w:r>
      <w:r w:rsidR="00C85045" w:rsidRPr="00ED1A27">
        <w:rPr>
          <w:rFonts w:ascii="Arial" w:hAnsi="Arial" w:cs="Arial"/>
          <w:sz w:val="20"/>
          <w:szCs w:val="20"/>
        </w:rPr>
        <w:t xml:space="preserve"> (Uradni vestnik Mestne občine Ptuj, št. </w:t>
      </w:r>
      <w:r w:rsidR="004C5A34" w:rsidRPr="00ED1A27">
        <w:rPr>
          <w:rFonts w:ascii="Arial" w:hAnsi="Arial" w:cs="Arial"/>
          <w:sz w:val="20"/>
          <w:szCs w:val="20"/>
        </w:rPr>
        <w:t>16/19 in 6/20</w:t>
      </w:r>
      <w:r w:rsidR="00C85045" w:rsidRPr="00ED1A27">
        <w:rPr>
          <w:rFonts w:ascii="Arial" w:hAnsi="Arial" w:cs="Arial"/>
          <w:sz w:val="20"/>
          <w:szCs w:val="20"/>
        </w:rPr>
        <w:t>) in 12. člena Statuta Mestne občine Ptuj (Uradni vestnik Mestne občine Ptuj, št. 9/07) je Mestni svet Mestne občine Ptuj na ___ seji, dne ___________, sprejel naslednji</w:t>
      </w:r>
    </w:p>
    <w:p w:rsidR="00A115CA" w:rsidRPr="00ED1A27" w:rsidRDefault="00A115CA" w:rsidP="00ED1A27">
      <w:pPr>
        <w:spacing w:line="276" w:lineRule="auto"/>
        <w:jc w:val="right"/>
        <w:rPr>
          <w:rFonts w:ascii="Arial" w:hAnsi="Arial" w:cs="Arial"/>
          <w:sz w:val="20"/>
          <w:szCs w:val="20"/>
        </w:rPr>
      </w:pPr>
    </w:p>
    <w:p w:rsidR="00D55337" w:rsidRPr="00ED1A27" w:rsidRDefault="00D55337" w:rsidP="00ED1A27">
      <w:pPr>
        <w:spacing w:line="276" w:lineRule="auto"/>
        <w:jc w:val="center"/>
        <w:rPr>
          <w:rFonts w:ascii="Arial" w:hAnsi="Arial" w:cs="Arial"/>
          <w:b/>
          <w:caps/>
          <w:sz w:val="20"/>
          <w:szCs w:val="20"/>
        </w:rPr>
      </w:pPr>
      <w:r w:rsidRPr="00ED1A27">
        <w:rPr>
          <w:rFonts w:ascii="Arial" w:hAnsi="Arial" w:cs="Arial"/>
          <w:b/>
          <w:sz w:val="20"/>
          <w:szCs w:val="20"/>
        </w:rPr>
        <w:t>SKLEP</w:t>
      </w:r>
    </w:p>
    <w:p w:rsidR="00D55337" w:rsidRPr="00ED1A27" w:rsidRDefault="00D55337" w:rsidP="00ED1A27">
      <w:pPr>
        <w:spacing w:line="276" w:lineRule="auto"/>
        <w:jc w:val="center"/>
        <w:rPr>
          <w:rFonts w:ascii="Arial" w:hAnsi="Arial" w:cs="Arial"/>
          <w:b/>
          <w:sz w:val="20"/>
          <w:szCs w:val="20"/>
        </w:rPr>
      </w:pPr>
      <w:r w:rsidRPr="00ED1A27">
        <w:rPr>
          <w:rFonts w:ascii="Arial" w:hAnsi="Arial" w:cs="Arial"/>
          <w:b/>
          <w:sz w:val="20"/>
          <w:szCs w:val="20"/>
        </w:rPr>
        <w:t xml:space="preserve">O POTRDITVI </w:t>
      </w:r>
      <w:r w:rsidR="003F563C">
        <w:rPr>
          <w:rFonts w:ascii="Arial" w:hAnsi="Arial" w:cs="Arial"/>
          <w:b/>
          <w:sz w:val="20"/>
          <w:szCs w:val="20"/>
        </w:rPr>
        <w:t xml:space="preserve">SPREMEMBE </w:t>
      </w:r>
      <w:r w:rsidRPr="00ED1A27">
        <w:rPr>
          <w:rFonts w:ascii="Arial" w:hAnsi="Arial" w:cs="Arial"/>
          <w:b/>
          <w:sz w:val="20"/>
          <w:szCs w:val="20"/>
        </w:rPr>
        <w:t>NAČRTA RAZVOJNEGA PROGRAMA (NRP) »GRADNJA REGIONALNIH KOLESARSKIH POVEZAV ZA ZAGOTAVLJANJE TRAJNOSTNE MOBILNOSTI V SPODNJEM PODRAVJU – ODSEK 1 PTUJ – HAJDINA – KIDRIČEVO – MAJŠPERK«</w:t>
      </w:r>
    </w:p>
    <w:p w:rsidR="001825F8" w:rsidRPr="00ED1A27" w:rsidRDefault="001825F8" w:rsidP="00ED1A27">
      <w:pPr>
        <w:spacing w:line="276" w:lineRule="auto"/>
        <w:jc w:val="center"/>
        <w:rPr>
          <w:rFonts w:ascii="Arial" w:hAnsi="Arial" w:cs="Arial"/>
          <w:b/>
          <w:caps/>
          <w:sz w:val="20"/>
          <w:szCs w:val="20"/>
        </w:rPr>
      </w:pPr>
    </w:p>
    <w:p w:rsidR="001825F8" w:rsidRPr="00ED1A27" w:rsidRDefault="001825F8" w:rsidP="00ED1A27">
      <w:pPr>
        <w:spacing w:line="276" w:lineRule="auto"/>
        <w:jc w:val="center"/>
        <w:rPr>
          <w:rFonts w:ascii="Arial" w:hAnsi="Arial" w:cs="Arial"/>
          <w:b/>
          <w:sz w:val="20"/>
          <w:szCs w:val="20"/>
        </w:rPr>
      </w:pPr>
      <w:r w:rsidRPr="00ED1A27">
        <w:rPr>
          <w:rFonts w:ascii="Arial" w:hAnsi="Arial" w:cs="Arial"/>
          <w:b/>
          <w:sz w:val="20"/>
          <w:szCs w:val="20"/>
        </w:rPr>
        <w:t>1.</w:t>
      </w:r>
    </w:p>
    <w:p w:rsidR="001825F8" w:rsidRPr="00ED1A27" w:rsidRDefault="001825F8" w:rsidP="00ED1A27">
      <w:pPr>
        <w:autoSpaceDE w:val="0"/>
        <w:autoSpaceDN w:val="0"/>
        <w:adjustRightInd w:val="0"/>
        <w:spacing w:line="276" w:lineRule="auto"/>
        <w:jc w:val="both"/>
        <w:rPr>
          <w:rFonts w:ascii="Arial" w:hAnsi="Arial" w:cs="Arial"/>
          <w:bCs/>
          <w:sz w:val="20"/>
          <w:szCs w:val="20"/>
        </w:rPr>
      </w:pPr>
      <w:r w:rsidRPr="00ED1A27">
        <w:rPr>
          <w:rFonts w:ascii="Arial" w:hAnsi="Arial" w:cs="Arial"/>
          <w:sz w:val="20"/>
          <w:szCs w:val="20"/>
        </w:rPr>
        <w:t xml:space="preserve">Mestni svet Mestne občine Ptuj potrjuje </w:t>
      </w:r>
      <w:r w:rsidR="003F563C">
        <w:rPr>
          <w:rFonts w:ascii="Arial" w:hAnsi="Arial" w:cs="Arial"/>
          <w:sz w:val="20"/>
          <w:szCs w:val="20"/>
        </w:rPr>
        <w:t xml:space="preserve">spremembo </w:t>
      </w:r>
      <w:r w:rsidR="00587422" w:rsidRPr="00ED1A27">
        <w:rPr>
          <w:rFonts w:ascii="Arial" w:hAnsi="Arial" w:cs="Arial"/>
          <w:sz w:val="20"/>
          <w:szCs w:val="20"/>
        </w:rPr>
        <w:t>Načrt</w:t>
      </w:r>
      <w:r w:rsidR="003F563C">
        <w:rPr>
          <w:rFonts w:ascii="Arial" w:hAnsi="Arial" w:cs="Arial"/>
          <w:sz w:val="20"/>
          <w:szCs w:val="20"/>
        </w:rPr>
        <w:t>a</w:t>
      </w:r>
      <w:r w:rsidR="00587422" w:rsidRPr="00ED1A27">
        <w:rPr>
          <w:rFonts w:ascii="Arial" w:hAnsi="Arial" w:cs="Arial"/>
          <w:sz w:val="20"/>
          <w:szCs w:val="20"/>
        </w:rPr>
        <w:t xml:space="preserve"> razvojnega programa</w:t>
      </w:r>
      <w:r w:rsidRPr="00ED1A27">
        <w:rPr>
          <w:rFonts w:ascii="Arial" w:hAnsi="Arial" w:cs="Arial"/>
          <w:sz w:val="20"/>
          <w:szCs w:val="20"/>
        </w:rPr>
        <w:t xml:space="preserve"> (</w:t>
      </w:r>
      <w:r w:rsidR="00587422" w:rsidRPr="00ED1A27">
        <w:rPr>
          <w:rFonts w:ascii="Arial" w:hAnsi="Arial" w:cs="Arial"/>
          <w:sz w:val="20"/>
          <w:szCs w:val="20"/>
        </w:rPr>
        <w:t>NRP</w:t>
      </w:r>
      <w:r w:rsidRPr="00ED1A27">
        <w:rPr>
          <w:rFonts w:ascii="Arial" w:hAnsi="Arial" w:cs="Arial"/>
          <w:sz w:val="20"/>
          <w:szCs w:val="20"/>
        </w:rPr>
        <w:t xml:space="preserve">) </w:t>
      </w:r>
      <w:r w:rsidR="00D55337" w:rsidRPr="00ED1A27">
        <w:rPr>
          <w:rFonts w:ascii="Arial" w:hAnsi="Arial" w:cs="Arial"/>
          <w:sz w:val="20"/>
          <w:szCs w:val="20"/>
        </w:rPr>
        <w:t>»Gradnja regionalnih kolesarskih povezav za zagotavljanje trajnostne mobilnosti v Spodnjem Podravju – odsek 1 Ptuj – Hajdina – Kidričevo – Majšperk«</w:t>
      </w:r>
      <w:r w:rsidRPr="00ED1A27">
        <w:rPr>
          <w:rFonts w:ascii="Arial" w:hAnsi="Arial" w:cs="Arial"/>
          <w:bCs/>
          <w:sz w:val="20"/>
          <w:szCs w:val="20"/>
        </w:rPr>
        <w:t>.</w:t>
      </w:r>
    </w:p>
    <w:p w:rsidR="001825F8" w:rsidRPr="00ED1A27" w:rsidRDefault="001825F8" w:rsidP="00ED1A27">
      <w:pPr>
        <w:tabs>
          <w:tab w:val="left" w:pos="3402"/>
        </w:tabs>
        <w:spacing w:line="276" w:lineRule="auto"/>
        <w:jc w:val="both"/>
        <w:rPr>
          <w:rFonts w:ascii="Arial" w:hAnsi="Arial" w:cs="Arial"/>
          <w:sz w:val="20"/>
          <w:szCs w:val="20"/>
        </w:rPr>
      </w:pPr>
    </w:p>
    <w:p w:rsidR="00D55337" w:rsidRPr="00ED1A27" w:rsidRDefault="00D55337" w:rsidP="00ED1A27">
      <w:pPr>
        <w:spacing w:line="276" w:lineRule="auto"/>
        <w:jc w:val="center"/>
        <w:rPr>
          <w:rFonts w:ascii="Arial" w:hAnsi="Arial" w:cs="Arial"/>
          <w:b/>
          <w:sz w:val="20"/>
          <w:szCs w:val="20"/>
        </w:rPr>
      </w:pPr>
      <w:r w:rsidRPr="00ED1A27">
        <w:rPr>
          <w:rFonts w:ascii="Arial" w:hAnsi="Arial" w:cs="Arial"/>
          <w:b/>
          <w:sz w:val="20"/>
          <w:szCs w:val="20"/>
        </w:rPr>
        <w:t>2.</w:t>
      </w:r>
    </w:p>
    <w:p w:rsidR="00D55337" w:rsidRPr="00ED1A27" w:rsidRDefault="006F4E9C" w:rsidP="00ED1A27">
      <w:pPr>
        <w:spacing w:line="276" w:lineRule="auto"/>
        <w:jc w:val="both"/>
        <w:rPr>
          <w:rFonts w:ascii="Arial" w:hAnsi="Arial" w:cs="Arial"/>
          <w:sz w:val="20"/>
          <w:szCs w:val="20"/>
        </w:rPr>
      </w:pPr>
      <w:r w:rsidRPr="00ED1A27">
        <w:rPr>
          <w:rFonts w:ascii="Arial" w:hAnsi="Arial" w:cs="Arial"/>
          <w:sz w:val="20"/>
          <w:szCs w:val="20"/>
        </w:rPr>
        <w:t xml:space="preserve">Projekt je </w:t>
      </w:r>
      <w:r w:rsidR="00D55337" w:rsidRPr="00ED1A27">
        <w:rPr>
          <w:rFonts w:ascii="Arial" w:hAnsi="Arial" w:cs="Arial"/>
          <w:sz w:val="20"/>
          <w:szCs w:val="20"/>
        </w:rPr>
        <w:t>financiran s sredstvi Evropskega sklada za regionalni razvoj, Ministrstva za infrastrukturo ter sredstvi proračuna prijaviteljice Mestne občine Ptuj in partnerskih občin.</w:t>
      </w:r>
    </w:p>
    <w:p w:rsidR="00D55337" w:rsidRPr="00ED1A27" w:rsidRDefault="00D55337" w:rsidP="00ED1A27">
      <w:pPr>
        <w:spacing w:line="276" w:lineRule="auto"/>
        <w:jc w:val="both"/>
        <w:rPr>
          <w:rFonts w:ascii="Arial" w:hAnsi="Arial" w:cs="Arial"/>
          <w:sz w:val="20"/>
          <w:szCs w:val="20"/>
        </w:rPr>
      </w:pPr>
    </w:p>
    <w:p w:rsidR="00D55337" w:rsidRPr="00ED1A27" w:rsidRDefault="00D55337" w:rsidP="00ED1A27">
      <w:pPr>
        <w:spacing w:line="276" w:lineRule="auto"/>
        <w:jc w:val="center"/>
        <w:rPr>
          <w:rFonts w:ascii="Arial" w:hAnsi="Arial" w:cs="Arial"/>
          <w:b/>
          <w:sz w:val="20"/>
          <w:szCs w:val="20"/>
        </w:rPr>
      </w:pPr>
      <w:r w:rsidRPr="00ED1A27">
        <w:rPr>
          <w:rFonts w:ascii="Arial" w:hAnsi="Arial" w:cs="Arial"/>
          <w:b/>
          <w:sz w:val="20"/>
          <w:szCs w:val="20"/>
        </w:rPr>
        <w:t>3.</w:t>
      </w:r>
    </w:p>
    <w:p w:rsidR="00D55337" w:rsidRPr="00ED1A27" w:rsidRDefault="00D55337" w:rsidP="00ED1A27">
      <w:pPr>
        <w:spacing w:line="276" w:lineRule="auto"/>
        <w:rPr>
          <w:rFonts w:ascii="Arial" w:hAnsi="Arial" w:cs="Arial"/>
          <w:sz w:val="20"/>
          <w:szCs w:val="20"/>
        </w:rPr>
      </w:pPr>
      <w:r w:rsidRPr="00ED1A27">
        <w:rPr>
          <w:rFonts w:ascii="Arial" w:hAnsi="Arial" w:cs="Arial"/>
          <w:sz w:val="20"/>
          <w:szCs w:val="20"/>
        </w:rPr>
        <w:t>Ta sklep začne veljati z dnem sprejema na Mestnem svetu Mestne občine Ptuj.</w:t>
      </w:r>
    </w:p>
    <w:p w:rsidR="00D55337" w:rsidRPr="00ED1A27" w:rsidRDefault="00D55337" w:rsidP="00ED1A27">
      <w:pPr>
        <w:spacing w:line="276" w:lineRule="auto"/>
        <w:jc w:val="both"/>
        <w:rPr>
          <w:rFonts w:ascii="Arial" w:hAnsi="Arial" w:cs="Arial"/>
          <w:sz w:val="20"/>
          <w:szCs w:val="20"/>
        </w:rPr>
      </w:pPr>
    </w:p>
    <w:p w:rsidR="00D55337" w:rsidRPr="00ED1A27" w:rsidRDefault="00D55337" w:rsidP="00ED1A27">
      <w:pPr>
        <w:spacing w:line="276" w:lineRule="auto"/>
        <w:jc w:val="both"/>
        <w:rPr>
          <w:rFonts w:ascii="Arial" w:hAnsi="Arial" w:cs="Arial"/>
          <w:sz w:val="20"/>
          <w:szCs w:val="20"/>
        </w:rPr>
      </w:pPr>
    </w:p>
    <w:p w:rsidR="00D55337" w:rsidRPr="00ED1A27" w:rsidRDefault="00D55337" w:rsidP="00ED1A27">
      <w:pPr>
        <w:spacing w:line="276" w:lineRule="auto"/>
        <w:rPr>
          <w:rFonts w:ascii="Arial" w:hAnsi="Arial" w:cs="Arial"/>
          <w:sz w:val="20"/>
          <w:szCs w:val="20"/>
        </w:rPr>
      </w:pPr>
      <w:r w:rsidRPr="00ED1A27">
        <w:rPr>
          <w:rFonts w:ascii="Arial" w:hAnsi="Arial" w:cs="Arial"/>
          <w:sz w:val="20"/>
          <w:szCs w:val="20"/>
        </w:rPr>
        <w:t>Številka: 410-669/2020</w:t>
      </w:r>
    </w:p>
    <w:p w:rsidR="00D55337" w:rsidRPr="00ED1A27" w:rsidRDefault="00D55337" w:rsidP="00ED1A27">
      <w:pPr>
        <w:spacing w:line="276" w:lineRule="auto"/>
        <w:rPr>
          <w:rFonts w:ascii="Arial" w:hAnsi="Arial" w:cs="Arial"/>
          <w:sz w:val="20"/>
          <w:szCs w:val="20"/>
        </w:rPr>
      </w:pPr>
      <w:r w:rsidRPr="00ED1A27">
        <w:rPr>
          <w:rFonts w:ascii="Arial" w:hAnsi="Arial" w:cs="Arial"/>
          <w:sz w:val="20"/>
          <w:szCs w:val="20"/>
        </w:rPr>
        <w:t xml:space="preserve">Datum: </w:t>
      </w:r>
    </w:p>
    <w:p w:rsidR="001825F8" w:rsidRPr="00ED1A27" w:rsidRDefault="001825F8" w:rsidP="00ED1A27">
      <w:pPr>
        <w:pBdr>
          <w:bottom w:val="single" w:sz="4" w:space="1" w:color="auto"/>
        </w:pBdr>
        <w:spacing w:line="276" w:lineRule="auto"/>
        <w:rPr>
          <w:rFonts w:ascii="Arial" w:hAnsi="Arial" w:cs="Arial"/>
          <w:sz w:val="20"/>
          <w:szCs w:val="20"/>
        </w:rPr>
      </w:pPr>
    </w:p>
    <w:p w:rsidR="001825F8" w:rsidRPr="00ED1A27" w:rsidRDefault="001825F8" w:rsidP="00ED1A27">
      <w:pPr>
        <w:spacing w:line="276" w:lineRule="auto"/>
        <w:rPr>
          <w:rFonts w:ascii="Arial" w:hAnsi="Arial" w:cs="Arial"/>
          <w:sz w:val="20"/>
          <w:szCs w:val="20"/>
        </w:rPr>
      </w:pPr>
    </w:p>
    <w:p w:rsidR="001825F8" w:rsidRPr="00ED1A27" w:rsidRDefault="001825F8" w:rsidP="00ED1A27">
      <w:pPr>
        <w:spacing w:line="276" w:lineRule="auto"/>
        <w:jc w:val="center"/>
        <w:rPr>
          <w:rFonts w:ascii="Arial" w:hAnsi="Arial" w:cs="Arial"/>
          <w:b/>
          <w:sz w:val="20"/>
          <w:szCs w:val="20"/>
        </w:rPr>
      </w:pPr>
      <w:r w:rsidRPr="00ED1A27">
        <w:rPr>
          <w:rFonts w:ascii="Arial" w:hAnsi="Arial" w:cs="Arial"/>
          <w:b/>
          <w:sz w:val="20"/>
          <w:szCs w:val="20"/>
        </w:rPr>
        <w:t>Obrazložitev:</w:t>
      </w:r>
    </w:p>
    <w:p w:rsidR="00D71949" w:rsidRPr="00ED1A27" w:rsidRDefault="00D71949" w:rsidP="00ED1A27">
      <w:pPr>
        <w:spacing w:line="276" w:lineRule="auto"/>
        <w:jc w:val="center"/>
        <w:rPr>
          <w:rFonts w:ascii="Arial" w:hAnsi="Arial" w:cs="Arial"/>
          <w:b/>
          <w:sz w:val="20"/>
          <w:szCs w:val="20"/>
        </w:rPr>
      </w:pPr>
    </w:p>
    <w:p w:rsidR="00EA6B00" w:rsidRPr="00ED1A27" w:rsidRDefault="00EA6B00" w:rsidP="00ED1A27">
      <w:pPr>
        <w:spacing w:line="276" w:lineRule="auto"/>
        <w:contextualSpacing/>
        <w:jc w:val="both"/>
        <w:rPr>
          <w:rFonts w:ascii="Arial" w:hAnsi="Arial" w:cs="Arial"/>
          <w:sz w:val="20"/>
        </w:rPr>
      </w:pPr>
      <w:r w:rsidRPr="00ED1A27">
        <w:rPr>
          <w:rFonts w:ascii="Arial" w:hAnsi="Arial" w:cs="Arial"/>
          <w:sz w:val="20"/>
        </w:rPr>
        <w:t xml:space="preserve">Na podlagi drugega povabila v okviru Dogovora za razvoj regij je osem občin iz Spodnjega Podravja (Hajdina, Kidričevo, Majšperk, Dornava, Juršinci, Markovci, Gorišnica in Ptuj) pristopilo k pripravi projekta Gradnja regionalnih kolesarskih povezav za zagotavljanje trajnostne mobilnosti v Spodnjem Podravju. V mesecu februarju 2018 so vsi občinski sveti  partnerskih občin in Mestni svet Mestne občine Ptuj sprejeli dokument identifikacije investicijskega projekta, kjer so bili obravnavani štirje odseki kolesarskih povezav (odsek 1: Ptuj – Hajdina – Kidričevo – Majšperk, odsek 2: Ptuj –  Dornava – Juršinci, odsek 3: Ptuj – Markovci –  Gorišnica, odsek 4: Ptuj – Dornava). Projekt Gradnja regionalnih kolesarskih povezav za zagotavljanje trajnostne mobilnosti v Spodnjem Podravju je bi uvrščen v Dogovor za razvoj regije v okviru  prednostne naložbe 4.4 Spodbujanje </w:t>
      </w:r>
      <w:proofErr w:type="spellStart"/>
      <w:r w:rsidRPr="00ED1A27">
        <w:rPr>
          <w:rFonts w:ascii="Arial" w:hAnsi="Arial" w:cs="Arial"/>
          <w:sz w:val="20"/>
        </w:rPr>
        <w:t>multimodalne</w:t>
      </w:r>
      <w:proofErr w:type="spellEnd"/>
      <w:r w:rsidRPr="00ED1A27">
        <w:rPr>
          <w:rFonts w:ascii="Arial" w:hAnsi="Arial" w:cs="Arial"/>
          <w:sz w:val="20"/>
        </w:rPr>
        <w:t xml:space="preserve"> urbane mobilnosti. Za celoten projekt so bila odobrena evropska sredstva za regionalni razvoj v višini 7.438.026,26 EUR in sredstva Ministrstva za infrastrukturo v višini 2.053.471,91 EUR.  </w:t>
      </w:r>
    </w:p>
    <w:p w:rsidR="00EA6B00" w:rsidRPr="00ED1A27" w:rsidRDefault="00EA6B00" w:rsidP="00ED1A27">
      <w:pPr>
        <w:spacing w:line="276" w:lineRule="auto"/>
        <w:contextualSpacing/>
        <w:jc w:val="both"/>
        <w:rPr>
          <w:rFonts w:ascii="Arial" w:hAnsi="Arial" w:cs="Arial"/>
          <w:sz w:val="20"/>
        </w:rPr>
      </w:pPr>
    </w:p>
    <w:p w:rsidR="00EA6B00" w:rsidRPr="00ED1A27" w:rsidRDefault="00EA6B00" w:rsidP="00ED1A27">
      <w:pPr>
        <w:spacing w:line="276" w:lineRule="auto"/>
        <w:contextualSpacing/>
        <w:jc w:val="both"/>
        <w:rPr>
          <w:rFonts w:ascii="Arial" w:hAnsi="Arial" w:cs="Arial"/>
        </w:rPr>
      </w:pPr>
      <w:r w:rsidRPr="00ED1A27">
        <w:rPr>
          <w:rFonts w:ascii="Arial" w:hAnsi="Arial" w:cs="Arial"/>
          <w:sz w:val="20"/>
        </w:rPr>
        <w:t xml:space="preserve">V 2. fazi prijave za neposredno potrditev operacij na Ministrstvo za infrastrukturo posamezni odsek predstavlja  samostojen projekt. Rok za oddajo projektov je 30. 9. 2020. V okviru skupnega javnega naročila za projektiranje štirih odsekov je bila dne 12. 6. 2019 podpisana pogodba za projektiranje odseka 1 Ptuj – Hajdina – Kidričevo - Majšperk. Trenutno je projekt v zaključni fazi pridobivanja soglasij k projektu. Aktivno pa poteka tudi pridobivanje zemljišč na terenu. </w:t>
      </w:r>
    </w:p>
    <w:p w:rsidR="00EA6B00" w:rsidRPr="00ED1A27" w:rsidRDefault="00EA6B00" w:rsidP="00ED1A27">
      <w:pPr>
        <w:spacing w:line="276" w:lineRule="auto"/>
        <w:jc w:val="both"/>
        <w:rPr>
          <w:rFonts w:ascii="Arial" w:hAnsi="Arial" w:cs="Arial"/>
          <w:sz w:val="20"/>
          <w:szCs w:val="20"/>
        </w:rPr>
      </w:pPr>
      <w:r w:rsidRPr="00ED1A27">
        <w:rPr>
          <w:rFonts w:ascii="Arial" w:hAnsi="Arial" w:cs="Arial"/>
          <w:sz w:val="20"/>
          <w:szCs w:val="20"/>
        </w:rPr>
        <w:t xml:space="preserve">   </w:t>
      </w:r>
    </w:p>
    <w:p w:rsidR="00EA6B00" w:rsidRPr="00ED1A27" w:rsidRDefault="00EA6B00" w:rsidP="00ED1A27">
      <w:pPr>
        <w:spacing w:line="276" w:lineRule="auto"/>
        <w:jc w:val="both"/>
        <w:rPr>
          <w:rFonts w:ascii="Arial" w:hAnsi="Arial" w:cs="Arial"/>
          <w:sz w:val="20"/>
          <w:szCs w:val="20"/>
        </w:rPr>
      </w:pPr>
      <w:r w:rsidRPr="00ED1A27">
        <w:rPr>
          <w:rFonts w:ascii="Arial" w:hAnsi="Arial" w:cs="Arial"/>
          <w:sz w:val="20"/>
          <w:szCs w:val="20"/>
        </w:rPr>
        <w:t>Namen projekta je izgradnja regionalne kolesarske po</w:t>
      </w:r>
      <w:r w:rsidR="003F563C">
        <w:rPr>
          <w:rFonts w:ascii="Arial" w:hAnsi="Arial" w:cs="Arial"/>
          <w:sz w:val="20"/>
          <w:szCs w:val="20"/>
        </w:rPr>
        <w:t>vezave med Mestno občino Ptuj, Občino Hajdina, Občino Kidričevo in O</w:t>
      </w:r>
      <w:r w:rsidRPr="00ED1A27">
        <w:rPr>
          <w:rFonts w:ascii="Arial" w:hAnsi="Arial" w:cs="Arial"/>
          <w:sz w:val="20"/>
          <w:szCs w:val="20"/>
        </w:rPr>
        <w:t xml:space="preserve">bčino Majšperk za zagotavljanje dnevne mobilnosti med Ptujem kot regijskim </w:t>
      </w:r>
      <w:r w:rsidRPr="00ED1A27">
        <w:rPr>
          <w:rFonts w:ascii="Arial" w:hAnsi="Arial" w:cs="Arial"/>
          <w:sz w:val="20"/>
          <w:szCs w:val="20"/>
        </w:rPr>
        <w:lastRenderedPageBreak/>
        <w:t xml:space="preserve">središčem z izobraževalnimi, upravnimi, storitvenimi dejavnostmi z zalednimi gravitacijskimi naselji in sosednjimi občinami. V okviru projekta bo vzpostavljenih 26,85 km kolesarske povezave. Trasa poteka pretežno ob regionalni cesti R2-432 in po obstoječih poljskih poteh. Zaradi značilnosti trase in omejitev na posameznih odsekih trase, ni mogoče na celotni trasi zagotoviti ločene kolesarske infrastrukture, zato bo ponekod umeščena mešana raba ali skupna raba na cestišču.   </w:t>
      </w:r>
    </w:p>
    <w:p w:rsidR="00EA6B00" w:rsidRPr="00ED1A27" w:rsidRDefault="00EA6B00" w:rsidP="00ED1A27">
      <w:pPr>
        <w:spacing w:line="276" w:lineRule="auto"/>
        <w:jc w:val="both"/>
        <w:rPr>
          <w:rFonts w:ascii="Arial" w:hAnsi="Arial" w:cs="Arial"/>
          <w:sz w:val="20"/>
          <w:szCs w:val="20"/>
        </w:rPr>
      </w:pPr>
    </w:p>
    <w:p w:rsidR="00EA6B00" w:rsidRPr="00ED1A27" w:rsidRDefault="00EA6B00" w:rsidP="00ED1A27">
      <w:pPr>
        <w:spacing w:line="276" w:lineRule="auto"/>
        <w:jc w:val="both"/>
        <w:rPr>
          <w:rFonts w:ascii="Arial" w:hAnsi="Arial" w:cs="Arial"/>
          <w:sz w:val="20"/>
          <w:szCs w:val="20"/>
        </w:rPr>
      </w:pPr>
      <w:r w:rsidRPr="00ED1A27">
        <w:rPr>
          <w:rFonts w:ascii="Arial" w:hAnsi="Arial" w:cs="Arial"/>
          <w:sz w:val="20"/>
          <w:szCs w:val="20"/>
        </w:rPr>
        <w:t xml:space="preserve">Strokovna podlaga za oceno vrednosti investicije je projekt za izvedbo – PZI, ki ga je izdelalo podjetje </w:t>
      </w:r>
      <w:proofErr w:type="spellStart"/>
      <w:r w:rsidRPr="00ED1A27">
        <w:rPr>
          <w:rFonts w:ascii="Arial" w:hAnsi="Arial" w:cs="Arial"/>
          <w:sz w:val="20"/>
          <w:szCs w:val="20"/>
        </w:rPr>
        <w:t>Lineal</w:t>
      </w:r>
      <w:proofErr w:type="spellEnd"/>
      <w:r w:rsidRPr="00ED1A27">
        <w:rPr>
          <w:rFonts w:ascii="Arial" w:hAnsi="Arial" w:cs="Arial"/>
          <w:sz w:val="20"/>
          <w:szCs w:val="20"/>
        </w:rPr>
        <w:t>.</w:t>
      </w:r>
    </w:p>
    <w:p w:rsidR="00EA6B00" w:rsidRPr="00ED1A27" w:rsidRDefault="00EA6B00" w:rsidP="00ED1A27">
      <w:pPr>
        <w:spacing w:line="276" w:lineRule="auto"/>
        <w:jc w:val="both"/>
        <w:rPr>
          <w:rFonts w:ascii="Arial" w:hAnsi="Arial" w:cs="Arial"/>
          <w:sz w:val="20"/>
          <w:szCs w:val="20"/>
        </w:rPr>
      </w:pPr>
      <w:r w:rsidRPr="00ED1A27">
        <w:rPr>
          <w:rFonts w:ascii="Arial" w:hAnsi="Arial" w:cs="Arial"/>
          <w:sz w:val="20"/>
          <w:szCs w:val="20"/>
        </w:rPr>
        <w:t>Skupna vrednost projekta Gradnja regionalnih kolesarskih povezav za zagotavljanje trajnostne mobilnosti v Spodnjem Podravju – odsek 1 Ptuj – Hajdina- Kidričevo – Majšperk znaša po projektantski oceni 8.782.477,29 EUR, kar je za 3.735.841,19 EUR več kot je bilo predvideno v DIIP. Višina sofinanciranja znaša 4.130.017,54 EUR.</w:t>
      </w:r>
    </w:p>
    <w:p w:rsidR="00EA6B00" w:rsidRPr="00ED1A27" w:rsidRDefault="00EA6B00" w:rsidP="00ED1A27">
      <w:pPr>
        <w:spacing w:line="276" w:lineRule="auto"/>
        <w:jc w:val="both"/>
        <w:rPr>
          <w:rFonts w:ascii="Arial" w:hAnsi="Arial" w:cs="Arial"/>
          <w:sz w:val="20"/>
          <w:szCs w:val="20"/>
        </w:rPr>
      </w:pPr>
    </w:p>
    <w:p w:rsidR="00EA6B00" w:rsidRPr="00ED1A27" w:rsidRDefault="00EA6B00" w:rsidP="00ED1A27">
      <w:pPr>
        <w:spacing w:line="276" w:lineRule="auto"/>
        <w:jc w:val="both"/>
        <w:rPr>
          <w:rFonts w:ascii="Arial" w:hAnsi="Arial" w:cs="Arial"/>
          <w:sz w:val="20"/>
          <w:szCs w:val="20"/>
        </w:rPr>
      </w:pPr>
      <w:r w:rsidRPr="00ED1A27">
        <w:rPr>
          <w:rFonts w:ascii="Arial" w:hAnsi="Arial" w:cs="Arial"/>
          <w:sz w:val="20"/>
          <w:szCs w:val="20"/>
        </w:rPr>
        <w:t>V nadaljevanju v tabelah podajamo oceno vrednosti in vire financiranja samo za traso, ki poteka po Mestni občini Ptuj.</w:t>
      </w:r>
    </w:p>
    <w:p w:rsidR="00EA6B00" w:rsidRPr="00ED1A27" w:rsidRDefault="00EA6B00" w:rsidP="00ED1A27">
      <w:pPr>
        <w:spacing w:line="276" w:lineRule="auto"/>
        <w:rPr>
          <w:rFonts w:ascii="Arial" w:hAnsi="Arial" w:cs="Arial"/>
          <w:sz w:val="20"/>
          <w:szCs w:val="20"/>
        </w:rPr>
      </w:pPr>
    </w:p>
    <w:p w:rsidR="00EA6B00" w:rsidRPr="00ED1A27" w:rsidRDefault="00EA6B00" w:rsidP="00ED1A27">
      <w:pPr>
        <w:spacing w:line="276" w:lineRule="auto"/>
        <w:rPr>
          <w:rFonts w:ascii="Arial" w:hAnsi="Arial" w:cs="Arial"/>
          <w:sz w:val="20"/>
          <w:szCs w:val="20"/>
        </w:rPr>
      </w:pPr>
      <w:r w:rsidRPr="00ED1A27">
        <w:rPr>
          <w:rFonts w:ascii="Arial" w:hAnsi="Arial" w:cs="Arial"/>
          <w:sz w:val="20"/>
          <w:szCs w:val="20"/>
        </w:rPr>
        <w:t xml:space="preserve"> </w:t>
      </w:r>
      <w:r w:rsidRPr="00ED1A27">
        <w:rPr>
          <w:rFonts w:ascii="Arial" w:hAnsi="Arial" w:cs="Arial"/>
          <w:b/>
          <w:sz w:val="20"/>
          <w:szCs w:val="20"/>
        </w:rPr>
        <w:t>Ocena celotnih investicijskih stroškov projekta – Mestna občina Ptuj</w:t>
      </w:r>
    </w:p>
    <w:tbl>
      <w:tblPr>
        <w:tblW w:w="9940" w:type="dxa"/>
        <w:tblCellMar>
          <w:left w:w="70" w:type="dxa"/>
          <w:right w:w="70" w:type="dxa"/>
        </w:tblCellMar>
        <w:tblLook w:val="04A0" w:firstRow="1" w:lastRow="0" w:firstColumn="1" w:lastColumn="0" w:noHBand="0" w:noVBand="1"/>
      </w:tblPr>
      <w:tblGrid>
        <w:gridCol w:w="400"/>
        <w:gridCol w:w="4720"/>
        <w:gridCol w:w="2388"/>
        <w:gridCol w:w="2432"/>
      </w:tblGrid>
      <w:tr w:rsidR="00EA6B00" w:rsidRPr="00ED1A27" w:rsidTr="00261F0C">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 </w:t>
            </w:r>
          </w:p>
        </w:tc>
        <w:tc>
          <w:tcPr>
            <w:tcW w:w="47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 </w:t>
            </w:r>
          </w:p>
        </w:tc>
        <w:tc>
          <w:tcPr>
            <w:tcW w:w="238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jc w:val="center"/>
              <w:rPr>
                <w:rFonts w:ascii="Arial" w:hAnsi="Arial" w:cs="Arial"/>
                <w:b/>
                <w:bCs/>
                <w:color w:val="000000"/>
                <w:sz w:val="20"/>
                <w:szCs w:val="20"/>
              </w:rPr>
            </w:pPr>
            <w:r w:rsidRPr="00ED1A27">
              <w:rPr>
                <w:rFonts w:ascii="Arial" w:hAnsi="Arial" w:cs="Arial"/>
                <w:b/>
                <w:bCs/>
                <w:color w:val="000000"/>
                <w:sz w:val="20"/>
                <w:szCs w:val="20"/>
              </w:rPr>
              <w:t>Brez DDV</w:t>
            </w:r>
          </w:p>
        </w:tc>
        <w:tc>
          <w:tcPr>
            <w:tcW w:w="243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jc w:val="center"/>
              <w:rPr>
                <w:rFonts w:ascii="Arial" w:hAnsi="Arial" w:cs="Arial"/>
                <w:b/>
                <w:bCs/>
                <w:color w:val="000000"/>
                <w:sz w:val="20"/>
                <w:szCs w:val="20"/>
              </w:rPr>
            </w:pPr>
            <w:r w:rsidRPr="00ED1A27">
              <w:rPr>
                <w:rFonts w:ascii="Arial" w:hAnsi="Arial" w:cs="Arial"/>
                <w:b/>
                <w:bCs/>
                <w:color w:val="000000"/>
                <w:sz w:val="20"/>
                <w:szCs w:val="20"/>
              </w:rPr>
              <w:t>Z DDV in drugimi davki</w:t>
            </w:r>
          </w:p>
        </w:tc>
      </w:tr>
      <w:tr w:rsidR="00EA6B00" w:rsidRPr="00ED1A27" w:rsidTr="00261F0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1</w:t>
            </w:r>
          </w:p>
        </w:tc>
        <w:tc>
          <w:tcPr>
            <w:tcW w:w="4720"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Investicijska dokumentacija (IP, PIZ, vloga)</w:t>
            </w:r>
          </w:p>
        </w:tc>
        <w:tc>
          <w:tcPr>
            <w:tcW w:w="2388"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315,31</w:t>
            </w:r>
          </w:p>
        </w:tc>
        <w:tc>
          <w:tcPr>
            <w:tcW w:w="2432"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384,68</w:t>
            </w:r>
          </w:p>
        </w:tc>
      </w:tr>
      <w:tr w:rsidR="00EA6B00" w:rsidRPr="00ED1A27" w:rsidTr="00261F0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2</w:t>
            </w:r>
          </w:p>
        </w:tc>
        <w:tc>
          <w:tcPr>
            <w:tcW w:w="4720"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Projektna dokumentacija</w:t>
            </w:r>
          </w:p>
        </w:tc>
        <w:tc>
          <w:tcPr>
            <w:tcW w:w="2388"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29.611,38</w:t>
            </w:r>
          </w:p>
        </w:tc>
        <w:tc>
          <w:tcPr>
            <w:tcW w:w="2432"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36.916,61</w:t>
            </w:r>
          </w:p>
        </w:tc>
      </w:tr>
      <w:tr w:rsidR="00EA6B00" w:rsidRPr="00ED1A27" w:rsidTr="00261F0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3</w:t>
            </w:r>
          </w:p>
        </w:tc>
        <w:tc>
          <w:tcPr>
            <w:tcW w:w="4720"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Zemljišča</w:t>
            </w:r>
          </w:p>
        </w:tc>
        <w:tc>
          <w:tcPr>
            <w:tcW w:w="2388"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62.375,61</w:t>
            </w:r>
          </w:p>
        </w:tc>
        <w:tc>
          <w:tcPr>
            <w:tcW w:w="2432"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66.926,48</w:t>
            </w:r>
          </w:p>
        </w:tc>
      </w:tr>
      <w:tr w:rsidR="00EA6B00" w:rsidRPr="00ED1A27" w:rsidTr="00261F0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4</w:t>
            </w:r>
          </w:p>
        </w:tc>
        <w:tc>
          <w:tcPr>
            <w:tcW w:w="4720"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Gradnja</w:t>
            </w:r>
          </w:p>
        </w:tc>
        <w:tc>
          <w:tcPr>
            <w:tcW w:w="2388"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768.999,97</w:t>
            </w:r>
          </w:p>
        </w:tc>
        <w:tc>
          <w:tcPr>
            <w:tcW w:w="2432"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938.179,96</w:t>
            </w:r>
          </w:p>
        </w:tc>
      </w:tr>
      <w:tr w:rsidR="00EA6B00" w:rsidRPr="00ED1A27" w:rsidTr="00261F0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5</w:t>
            </w:r>
          </w:p>
        </w:tc>
        <w:tc>
          <w:tcPr>
            <w:tcW w:w="4720"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Nadzor</w:t>
            </w:r>
          </w:p>
        </w:tc>
        <w:tc>
          <w:tcPr>
            <w:tcW w:w="2388"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14.988,67</w:t>
            </w:r>
          </w:p>
        </w:tc>
        <w:tc>
          <w:tcPr>
            <w:tcW w:w="2432"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18.286,18</w:t>
            </w:r>
          </w:p>
        </w:tc>
      </w:tr>
      <w:tr w:rsidR="00EA6B00" w:rsidRPr="00ED1A27" w:rsidTr="00261F0C">
        <w:trPr>
          <w:trHeight w:val="300"/>
        </w:trPr>
        <w:tc>
          <w:tcPr>
            <w:tcW w:w="400" w:type="dxa"/>
            <w:tcBorders>
              <w:top w:val="nil"/>
              <w:left w:val="single" w:sz="4"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6</w:t>
            </w:r>
          </w:p>
        </w:tc>
        <w:tc>
          <w:tcPr>
            <w:tcW w:w="4720"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Informiranje in obveščanje</w:t>
            </w:r>
          </w:p>
        </w:tc>
        <w:tc>
          <w:tcPr>
            <w:tcW w:w="2388"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420,35</w:t>
            </w:r>
          </w:p>
        </w:tc>
        <w:tc>
          <w:tcPr>
            <w:tcW w:w="2432"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sz w:val="20"/>
                <w:szCs w:val="20"/>
              </w:rPr>
            </w:pPr>
            <w:r w:rsidRPr="00ED1A27">
              <w:rPr>
                <w:rFonts w:ascii="Arial" w:hAnsi="Arial" w:cs="Arial"/>
                <w:sz w:val="20"/>
                <w:szCs w:val="20"/>
              </w:rPr>
              <w:t>512,83</w:t>
            </w:r>
          </w:p>
        </w:tc>
      </w:tr>
      <w:tr w:rsidR="00EA6B00" w:rsidRPr="00ED1A27" w:rsidTr="00261F0C">
        <w:trPr>
          <w:trHeight w:val="300"/>
        </w:trPr>
        <w:tc>
          <w:tcPr>
            <w:tcW w:w="40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jc w:val="right"/>
              <w:rPr>
                <w:rFonts w:ascii="Arial" w:hAnsi="Arial" w:cs="Arial"/>
                <w:b/>
                <w:bCs/>
                <w:color w:val="000000"/>
                <w:sz w:val="20"/>
                <w:szCs w:val="20"/>
              </w:rPr>
            </w:pPr>
            <w:r w:rsidRPr="00ED1A27">
              <w:rPr>
                <w:rFonts w:ascii="Arial" w:hAnsi="Arial" w:cs="Arial"/>
                <w:b/>
                <w:bCs/>
                <w:color w:val="000000"/>
                <w:sz w:val="20"/>
                <w:szCs w:val="20"/>
              </w:rPr>
              <w:t>7</w:t>
            </w:r>
          </w:p>
        </w:tc>
        <w:tc>
          <w:tcPr>
            <w:tcW w:w="4720" w:type="dxa"/>
            <w:tcBorders>
              <w:top w:val="nil"/>
              <w:left w:val="nil"/>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rPr>
                <w:rFonts w:ascii="Arial" w:hAnsi="Arial" w:cs="Arial"/>
                <w:b/>
                <w:bCs/>
                <w:color w:val="000000"/>
                <w:sz w:val="20"/>
                <w:szCs w:val="20"/>
              </w:rPr>
            </w:pPr>
            <w:r w:rsidRPr="00ED1A27">
              <w:rPr>
                <w:rFonts w:ascii="Arial" w:hAnsi="Arial" w:cs="Arial"/>
                <w:b/>
                <w:bCs/>
                <w:color w:val="000000"/>
                <w:sz w:val="20"/>
                <w:szCs w:val="20"/>
              </w:rPr>
              <w:t>Skupaj</w:t>
            </w:r>
          </w:p>
        </w:tc>
        <w:tc>
          <w:tcPr>
            <w:tcW w:w="2388" w:type="dxa"/>
            <w:tcBorders>
              <w:top w:val="nil"/>
              <w:left w:val="nil"/>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jc w:val="right"/>
              <w:rPr>
                <w:rFonts w:ascii="Arial" w:hAnsi="Arial" w:cs="Arial"/>
                <w:b/>
                <w:bCs/>
                <w:sz w:val="20"/>
                <w:szCs w:val="20"/>
              </w:rPr>
            </w:pPr>
            <w:r w:rsidRPr="00ED1A27">
              <w:rPr>
                <w:rFonts w:ascii="Arial" w:hAnsi="Arial" w:cs="Arial"/>
                <w:b/>
                <w:bCs/>
                <w:sz w:val="20"/>
                <w:szCs w:val="20"/>
              </w:rPr>
              <w:t>876.711,29</w:t>
            </w:r>
          </w:p>
        </w:tc>
        <w:tc>
          <w:tcPr>
            <w:tcW w:w="2432" w:type="dxa"/>
            <w:tcBorders>
              <w:top w:val="nil"/>
              <w:left w:val="nil"/>
              <w:bottom w:val="single" w:sz="4" w:space="0" w:color="auto"/>
              <w:right w:val="single" w:sz="4" w:space="0" w:color="auto"/>
            </w:tcBorders>
            <w:shd w:val="clear" w:color="auto" w:fill="D9D9D9" w:themeFill="background1" w:themeFillShade="D9"/>
            <w:noWrap/>
            <w:vAlign w:val="bottom"/>
            <w:hideMark/>
          </w:tcPr>
          <w:p w:rsidR="00EA6B00" w:rsidRPr="00ED1A27" w:rsidRDefault="00EA6B00" w:rsidP="00ED1A27">
            <w:pPr>
              <w:spacing w:line="276" w:lineRule="auto"/>
              <w:jc w:val="right"/>
              <w:rPr>
                <w:rFonts w:ascii="Arial" w:hAnsi="Arial" w:cs="Arial"/>
                <w:b/>
                <w:bCs/>
                <w:sz w:val="20"/>
                <w:szCs w:val="20"/>
              </w:rPr>
            </w:pPr>
            <w:r w:rsidRPr="00ED1A27">
              <w:rPr>
                <w:rFonts w:ascii="Arial" w:hAnsi="Arial" w:cs="Arial"/>
                <w:b/>
                <w:bCs/>
                <w:sz w:val="20"/>
                <w:szCs w:val="20"/>
              </w:rPr>
              <w:t>1.061.206,74</w:t>
            </w:r>
          </w:p>
        </w:tc>
      </w:tr>
    </w:tbl>
    <w:p w:rsidR="00EA6B00" w:rsidRPr="00ED1A27" w:rsidRDefault="00EA6B00" w:rsidP="00ED1A27">
      <w:pPr>
        <w:spacing w:line="276" w:lineRule="auto"/>
        <w:rPr>
          <w:rFonts w:ascii="Arial" w:hAnsi="Arial" w:cs="Arial"/>
          <w:b/>
          <w:sz w:val="20"/>
          <w:szCs w:val="20"/>
        </w:rPr>
      </w:pPr>
    </w:p>
    <w:p w:rsidR="00EA6B00" w:rsidRPr="00ED1A27" w:rsidRDefault="00EA6B00" w:rsidP="00ED1A27">
      <w:pPr>
        <w:spacing w:line="276" w:lineRule="auto"/>
        <w:rPr>
          <w:rFonts w:ascii="Arial" w:hAnsi="Arial" w:cs="Arial"/>
          <w:b/>
          <w:sz w:val="20"/>
          <w:szCs w:val="20"/>
        </w:rPr>
      </w:pPr>
    </w:p>
    <w:p w:rsidR="00EA6B00" w:rsidRPr="00ED1A27" w:rsidRDefault="00EA6B00" w:rsidP="00ED1A27">
      <w:pPr>
        <w:spacing w:line="276" w:lineRule="auto"/>
        <w:rPr>
          <w:rFonts w:ascii="Arial" w:hAnsi="Arial" w:cs="Arial"/>
          <w:b/>
          <w:sz w:val="20"/>
          <w:szCs w:val="20"/>
        </w:rPr>
      </w:pPr>
      <w:r w:rsidRPr="00ED1A27">
        <w:rPr>
          <w:rFonts w:ascii="Arial" w:hAnsi="Arial" w:cs="Arial"/>
          <w:b/>
          <w:sz w:val="20"/>
          <w:szCs w:val="20"/>
        </w:rPr>
        <w:t>Viri financiranja – Mestna občina Ptuj</w:t>
      </w:r>
    </w:p>
    <w:tbl>
      <w:tblPr>
        <w:tblW w:w="9913" w:type="dxa"/>
        <w:tblCellMar>
          <w:left w:w="70" w:type="dxa"/>
          <w:right w:w="70" w:type="dxa"/>
        </w:tblCellMar>
        <w:tblLook w:val="04A0" w:firstRow="1" w:lastRow="0" w:firstColumn="1" w:lastColumn="0" w:noHBand="0" w:noVBand="1"/>
      </w:tblPr>
      <w:tblGrid>
        <w:gridCol w:w="3251"/>
        <w:gridCol w:w="1417"/>
        <w:gridCol w:w="1276"/>
        <w:gridCol w:w="1417"/>
        <w:gridCol w:w="1418"/>
        <w:gridCol w:w="1134"/>
      </w:tblGrid>
      <w:tr w:rsidR="00EA6B00" w:rsidRPr="00ED1A27" w:rsidTr="00261F0C">
        <w:trPr>
          <w:trHeight w:val="268"/>
        </w:trPr>
        <w:tc>
          <w:tcPr>
            <w:tcW w:w="3251"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EA6B00" w:rsidRPr="00ED1A27" w:rsidRDefault="00EA6B00" w:rsidP="00ED1A27">
            <w:pPr>
              <w:spacing w:line="276" w:lineRule="auto"/>
              <w:rPr>
                <w:rFonts w:ascii="Arial" w:hAnsi="Arial" w:cs="Arial"/>
                <w:b/>
                <w:bCs/>
                <w:color w:val="000000"/>
                <w:sz w:val="20"/>
                <w:szCs w:val="20"/>
              </w:rPr>
            </w:pPr>
            <w:r w:rsidRPr="00ED1A27">
              <w:rPr>
                <w:rFonts w:ascii="Arial" w:hAnsi="Arial" w:cs="Arial"/>
                <w:b/>
                <w:bCs/>
                <w:color w:val="000000"/>
                <w:sz w:val="20"/>
                <w:szCs w:val="20"/>
              </w:rPr>
              <w:t>Viri financiranja</w:t>
            </w:r>
          </w:p>
        </w:tc>
        <w:tc>
          <w:tcPr>
            <w:tcW w:w="1417" w:type="dxa"/>
            <w:tcBorders>
              <w:top w:val="single" w:sz="8" w:space="0" w:color="auto"/>
              <w:left w:val="nil"/>
              <w:bottom w:val="single" w:sz="4" w:space="0" w:color="auto"/>
              <w:right w:val="single" w:sz="4" w:space="0" w:color="auto"/>
            </w:tcBorders>
            <w:shd w:val="clear" w:color="000000" w:fill="D9D9D9"/>
            <w:noWrap/>
            <w:vAlign w:val="bottom"/>
            <w:hideMark/>
          </w:tcPr>
          <w:p w:rsidR="00EA6B00" w:rsidRPr="00ED1A27" w:rsidRDefault="00EA6B00" w:rsidP="00ED1A27">
            <w:pPr>
              <w:spacing w:line="276" w:lineRule="auto"/>
              <w:jc w:val="center"/>
              <w:rPr>
                <w:rFonts w:ascii="Arial" w:hAnsi="Arial" w:cs="Arial"/>
                <w:color w:val="000000"/>
                <w:sz w:val="20"/>
                <w:szCs w:val="20"/>
              </w:rPr>
            </w:pPr>
            <w:r w:rsidRPr="00ED1A27">
              <w:rPr>
                <w:rFonts w:ascii="Arial" w:hAnsi="Arial" w:cs="Arial"/>
                <w:color w:val="000000"/>
                <w:sz w:val="20"/>
                <w:szCs w:val="20"/>
              </w:rPr>
              <w:t>2020</w:t>
            </w:r>
          </w:p>
        </w:tc>
        <w:tc>
          <w:tcPr>
            <w:tcW w:w="1276" w:type="dxa"/>
            <w:tcBorders>
              <w:top w:val="single" w:sz="8" w:space="0" w:color="auto"/>
              <w:left w:val="nil"/>
              <w:bottom w:val="single" w:sz="4" w:space="0" w:color="auto"/>
              <w:right w:val="single" w:sz="4" w:space="0" w:color="auto"/>
            </w:tcBorders>
            <w:shd w:val="clear" w:color="000000" w:fill="D9D9D9"/>
            <w:noWrap/>
            <w:vAlign w:val="bottom"/>
            <w:hideMark/>
          </w:tcPr>
          <w:p w:rsidR="00EA6B00" w:rsidRPr="00ED1A27" w:rsidRDefault="00EA6B00" w:rsidP="00ED1A27">
            <w:pPr>
              <w:spacing w:line="276" w:lineRule="auto"/>
              <w:jc w:val="center"/>
              <w:rPr>
                <w:rFonts w:ascii="Arial" w:hAnsi="Arial" w:cs="Arial"/>
                <w:color w:val="000000"/>
                <w:sz w:val="20"/>
                <w:szCs w:val="20"/>
              </w:rPr>
            </w:pPr>
            <w:r w:rsidRPr="00ED1A27">
              <w:rPr>
                <w:rFonts w:ascii="Arial" w:hAnsi="Arial" w:cs="Arial"/>
                <w:color w:val="000000"/>
                <w:sz w:val="20"/>
                <w:szCs w:val="20"/>
              </w:rPr>
              <w:t>2021</w:t>
            </w:r>
          </w:p>
        </w:tc>
        <w:tc>
          <w:tcPr>
            <w:tcW w:w="1417" w:type="dxa"/>
            <w:tcBorders>
              <w:top w:val="single" w:sz="8" w:space="0" w:color="auto"/>
              <w:left w:val="nil"/>
              <w:bottom w:val="single" w:sz="4" w:space="0" w:color="auto"/>
              <w:right w:val="single" w:sz="4" w:space="0" w:color="auto"/>
            </w:tcBorders>
            <w:shd w:val="clear" w:color="000000" w:fill="D9D9D9"/>
            <w:noWrap/>
            <w:vAlign w:val="bottom"/>
            <w:hideMark/>
          </w:tcPr>
          <w:p w:rsidR="00EA6B00" w:rsidRPr="00ED1A27" w:rsidRDefault="00EA6B00" w:rsidP="00ED1A27">
            <w:pPr>
              <w:spacing w:line="276" w:lineRule="auto"/>
              <w:jc w:val="center"/>
              <w:rPr>
                <w:rFonts w:ascii="Arial" w:hAnsi="Arial" w:cs="Arial"/>
                <w:color w:val="000000"/>
                <w:sz w:val="20"/>
                <w:szCs w:val="20"/>
              </w:rPr>
            </w:pPr>
            <w:r w:rsidRPr="00ED1A27">
              <w:rPr>
                <w:rFonts w:ascii="Arial" w:hAnsi="Arial" w:cs="Arial"/>
                <w:color w:val="000000"/>
                <w:sz w:val="20"/>
                <w:szCs w:val="20"/>
              </w:rPr>
              <w:t>2022</w:t>
            </w:r>
          </w:p>
        </w:tc>
        <w:tc>
          <w:tcPr>
            <w:tcW w:w="1418" w:type="dxa"/>
            <w:tcBorders>
              <w:top w:val="single" w:sz="8" w:space="0" w:color="auto"/>
              <w:left w:val="nil"/>
              <w:bottom w:val="single" w:sz="4" w:space="0" w:color="auto"/>
              <w:right w:val="single" w:sz="4" w:space="0" w:color="auto"/>
            </w:tcBorders>
            <w:shd w:val="clear" w:color="000000" w:fill="D9D9D9"/>
            <w:noWrap/>
            <w:vAlign w:val="bottom"/>
            <w:hideMark/>
          </w:tcPr>
          <w:p w:rsidR="00EA6B00" w:rsidRPr="00ED1A27" w:rsidRDefault="00EA6B00" w:rsidP="00ED1A27">
            <w:pPr>
              <w:spacing w:line="276" w:lineRule="auto"/>
              <w:jc w:val="center"/>
              <w:rPr>
                <w:rFonts w:ascii="Arial" w:hAnsi="Arial" w:cs="Arial"/>
                <w:color w:val="000000"/>
                <w:sz w:val="20"/>
                <w:szCs w:val="20"/>
              </w:rPr>
            </w:pPr>
            <w:r w:rsidRPr="00ED1A27">
              <w:rPr>
                <w:rFonts w:ascii="Arial" w:hAnsi="Arial" w:cs="Arial"/>
                <w:color w:val="000000"/>
                <w:sz w:val="20"/>
                <w:szCs w:val="20"/>
              </w:rPr>
              <w:t xml:space="preserve">Skupaj </w:t>
            </w:r>
          </w:p>
        </w:tc>
        <w:tc>
          <w:tcPr>
            <w:tcW w:w="1134" w:type="dxa"/>
            <w:tcBorders>
              <w:top w:val="single" w:sz="8" w:space="0" w:color="auto"/>
              <w:left w:val="nil"/>
              <w:bottom w:val="single" w:sz="4" w:space="0" w:color="auto"/>
              <w:right w:val="single" w:sz="8" w:space="0" w:color="auto"/>
            </w:tcBorders>
            <w:shd w:val="clear" w:color="000000" w:fill="D9D9D9"/>
            <w:noWrap/>
            <w:vAlign w:val="bottom"/>
            <w:hideMark/>
          </w:tcPr>
          <w:p w:rsidR="00EA6B00" w:rsidRPr="00ED1A27" w:rsidRDefault="00EA6B00" w:rsidP="00ED1A27">
            <w:pPr>
              <w:spacing w:line="276" w:lineRule="auto"/>
              <w:jc w:val="center"/>
              <w:rPr>
                <w:rFonts w:ascii="Arial" w:hAnsi="Arial" w:cs="Arial"/>
                <w:color w:val="000000"/>
                <w:sz w:val="20"/>
                <w:szCs w:val="20"/>
              </w:rPr>
            </w:pPr>
            <w:r w:rsidRPr="00ED1A27">
              <w:rPr>
                <w:rFonts w:ascii="Arial" w:hAnsi="Arial" w:cs="Arial"/>
                <w:color w:val="000000"/>
                <w:sz w:val="20"/>
                <w:szCs w:val="20"/>
              </w:rPr>
              <w:t xml:space="preserve">Delež </w:t>
            </w:r>
          </w:p>
        </w:tc>
      </w:tr>
      <w:tr w:rsidR="00EA6B00" w:rsidRPr="00ED1A27" w:rsidTr="00261F0C">
        <w:trPr>
          <w:trHeight w:val="26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Evropski sklad za regionalni razvoj</w:t>
            </w:r>
          </w:p>
        </w:tc>
        <w:tc>
          <w:tcPr>
            <w:tcW w:w="1417"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101.834,27</w:t>
            </w:r>
          </w:p>
        </w:tc>
        <w:tc>
          <w:tcPr>
            <w:tcW w:w="1417"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237.613,28</w:t>
            </w:r>
          </w:p>
        </w:tc>
        <w:tc>
          <w:tcPr>
            <w:tcW w:w="1418"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339.447,55</w:t>
            </w:r>
          </w:p>
        </w:tc>
        <w:tc>
          <w:tcPr>
            <w:tcW w:w="1134" w:type="dxa"/>
            <w:tcBorders>
              <w:top w:val="nil"/>
              <w:left w:val="nil"/>
              <w:bottom w:val="single" w:sz="4" w:space="0" w:color="auto"/>
              <w:right w:val="single" w:sz="8"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31,99%</w:t>
            </w:r>
          </w:p>
        </w:tc>
      </w:tr>
      <w:tr w:rsidR="00EA6B00" w:rsidRPr="00ED1A27" w:rsidTr="00261F0C">
        <w:trPr>
          <w:trHeight w:val="26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Ministrstvo za infrastrukturo</w:t>
            </w:r>
          </w:p>
        </w:tc>
        <w:tc>
          <w:tcPr>
            <w:tcW w:w="1417"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25.458,56</w:t>
            </w:r>
          </w:p>
        </w:tc>
        <w:tc>
          <w:tcPr>
            <w:tcW w:w="1417"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59.403,32</w:t>
            </w:r>
          </w:p>
        </w:tc>
        <w:tc>
          <w:tcPr>
            <w:tcW w:w="1418"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84.861,88</w:t>
            </w:r>
          </w:p>
        </w:tc>
        <w:tc>
          <w:tcPr>
            <w:tcW w:w="1134" w:type="dxa"/>
            <w:tcBorders>
              <w:top w:val="nil"/>
              <w:left w:val="nil"/>
              <w:bottom w:val="single" w:sz="4" w:space="0" w:color="auto"/>
              <w:right w:val="single" w:sz="8"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8,00%</w:t>
            </w:r>
          </w:p>
        </w:tc>
      </w:tr>
      <w:tr w:rsidR="00EA6B00" w:rsidRPr="00ED1A27" w:rsidTr="00261F0C">
        <w:trPr>
          <w:trHeight w:val="268"/>
        </w:trPr>
        <w:tc>
          <w:tcPr>
            <w:tcW w:w="3251" w:type="dxa"/>
            <w:tcBorders>
              <w:top w:val="nil"/>
              <w:left w:val="single" w:sz="8" w:space="0" w:color="auto"/>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rPr>
                <w:rFonts w:ascii="Arial" w:hAnsi="Arial" w:cs="Arial"/>
                <w:color w:val="000000"/>
                <w:sz w:val="20"/>
                <w:szCs w:val="20"/>
              </w:rPr>
            </w:pPr>
            <w:r w:rsidRPr="00ED1A27">
              <w:rPr>
                <w:rFonts w:ascii="Arial" w:hAnsi="Arial" w:cs="Arial"/>
                <w:color w:val="000000"/>
                <w:sz w:val="20"/>
                <w:szCs w:val="20"/>
              </w:rPr>
              <w:t>Mestna občina Ptuj</w:t>
            </w:r>
          </w:p>
        </w:tc>
        <w:tc>
          <w:tcPr>
            <w:tcW w:w="1417" w:type="dxa"/>
            <w:tcBorders>
              <w:top w:val="nil"/>
              <w:left w:val="nil"/>
              <w:bottom w:val="single" w:sz="4" w:space="0" w:color="auto"/>
              <w:right w:val="single" w:sz="4" w:space="0" w:color="auto"/>
            </w:tcBorders>
            <w:shd w:val="clear" w:color="000000" w:fill="FFFFFF"/>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37.301,29</w:t>
            </w:r>
          </w:p>
        </w:tc>
        <w:tc>
          <w:tcPr>
            <w:tcW w:w="1276"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159.903,43</w:t>
            </w:r>
          </w:p>
        </w:tc>
        <w:tc>
          <w:tcPr>
            <w:tcW w:w="1417"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439.692,59</w:t>
            </w:r>
          </w:p>
        </w:tc>
        <w:tc>
          <w:tcPr>
            <w:tcW w:w="1418" w:type="dxa"/>
            <w:tcBorders>
              <w:top w:val="nil"/>
              <w:left w:val="nil"/>
              <w:bottom w:val="single" w:sz="4" w:space="0" w:color="auto"/>
              <w:right w:val="single" w:sz="4"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636.897,31</w:t>
            </w:r>
          </w:p>
        </w:tc>
        <w:tc>
          <w:tcPr>
            <w:tcW w:w="1134" w:type="dxa"/>
            <w:tcBorders>
              <w:top w:val="nil"/>
              <w:left w:val="nil"/>
              <w:bottom w:val="single" w:sz="4" w:space="0" w:color="auto"/>
              <w:right w:val="single" w:sz="8" w:space="0" w:color="auto"/>
            </w:tcBorders>
            <w:shd w:val="clear" w:color="auto" w:fill="auto"/>
            <w:noWrap/>
            <w:vAlign w:val="bottom"/>
            <w:hideMark/>
          </w:tcPr>
          <w:p w:rsidR="00EA6B00" w:rsidRPr="00ED1A27" w:rsidRDefault="00EA6B00" w:rsidP="00ED1A27">
            <w:pPr>
              <w:spacing w:line="276" w:lineRule="auto"/>
              <w:jc w:val="right"/>
              <w:rPr>
                <w:rFonts w:ascii="Arial" w:hAnsi="Arial" w:cs="Arial"/>
                <w:color w:val="000000"/>
                <w:sz w:val="20"/>
                <w:szCs w:val="20"/>
              </w:rPr>
            </w:pPr>
            <w:r w:rsidRPr="00ED1A27">
              <w:rPr>
                <w:rFonts w:ascii="Arial" w:hAnsi="Arial" w:cs="Arial"/>
                <w:color w:val="000000"/>
                <w:sz w:val="20"/>
                <w:szCs w:val="20"/>
              </w:rPr>
              <w:t>60,02%</w:t>
            </w:r>
          </w:p>
        </w:tc>
      </w:tr>
      <w:tr w:rsidR="00EA6B00" w:rsidRPr="00ED1A27" w:rsidTr="00261F0C">
        <w:trPr>
          <w:trHeight w:val="282"/>
        </w:trPr>
        <w:tc>
          <w:tcPr>
            <w:tcW w:w="3251"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rsidR="00EA6B00" w:rsidRPr="00ED1A27" w:rsidRDefault="00EA6B00" w:rsidP="00ED1A27">
            <w:pPr>
              <w:spacing w:line="276" w:lineRule="auto"/>
              <w:rPr>
                <w:rFonts w:ascii="Arial" w:hAnsi="Arial" w:cs="Arial"/>
                <w:b/>
                <w:bCs/>
                <w:color w:val="000000"/>
                <w:sz w:val="20"/>
                <w:szCs w:val="20"/>
              </w:rPr>
            </w:pPr>
            <w:r w:rsidRPr="00ED1A27">
              <w:rPr>
                <w:rFonts w:ascii="Arial" w:hAnsi="Arial" w:cs="Arial"/>
                <w:b/>
                <w:bCs/>
                <w:color w:val="000000"/>
                <w:sz w:val="20"/>
                <w:szCs w:val="20"/>
              </w:rPr>
              <w:t>Skupaj</w:t>
            </w:r>
          </w:p>
        </w:tc>
        <w:tc>
          <w:tcPr>
            <w:tcW w:w="1417" w:type="dxa"/>
            <w:tcBorders>
              <w:top w:val="nil"/>
              <w:left w:val="nil"/>
              <w:bottom w:val="single" w:sz="8" w:space="0" w:color="auto"/>
              <w:right w:val="single" w:sz="4" w:space="0" w:color="auto"/>
            </w:tcBorders>
            <w:shd w:val="clear" w:color="auto" w:fill="BFBFBF" w:themeFill="background1" w:themeFillShade="BF"/>
            <w:noWrap/>
            <w:vAlign w:val="bottom"/>
            <w:hideMark/>
          </w:tcPr>
          <w:p w:rsidR="00EA6B00" w:rsidRPr="00ED1A27" w:rsidRDefault="00EA6B00" w:rsidP="00ED1A27">
            <w:pPr>
              <w:spacing w:line="276" w:lineRule="auto"/>
              <w:jc w:val="right"/>
              <w:rPr>
                <w:rFonts w:ascii="Arial" w:hAnsi="Arial" w:cs="Arial"/>
                <w:b/>
                <w:bCs/>
                <w:color w:val="000000"/>
                <w:sz w:val="20"/>
                <w:szCs w:val="20"/>
              </w:rPr>
            </w:pPr>
            <w:r w:rsidRPr="00ED1A27">
              <w:rPr>
                <w:rFonts w:ascii="Arial" w:hAnsi="Arial" w:cs="Arial"/>
                <w:b/>
                <w:bCs/>
                <w:color w:val="000000"/>
                <w:sz w:val="20"/>
                <w:szCs w:val="20"/>
              </w:rPr>
              <w:t>37.301,29</w:t>
            </w:r>
          </w:p>
        </w:tc>
        <w:tc>
          <w:tcPr>
            <w:tcW w:w="1276" w:type="dxa"/>
            <w:tcBorders>
              <w:top w:val="nil"/>
              <w:left w:val="nil"/>
              <w:bottom w:val="single" w:sz="8" w:space="0" w:color="auto"/>
              <w:right w:val="single" w:sz="4" w:space="0" w:color="auto"/>
            </w:tcBorders>
            <w:shd w:val="clear" w:color="auto" w:fill="BFBFBF" w:themeFill="background1" w:themeFillShade="BF"/>
            <w:noWrap/>
            <w:vAlign w:val="bottom"/>
            <w:hideMark/>
          </w:tcPr>
          <w:p w:rsidR="00EA6B00" w:rsidRPr="00ED1A27" w:rsidRDefault="00EA6B00" w:rsidP="00ED1A27">
            <w:pPr>
              <w:spacing w:line="276" w:lineRule="auto"/>
              <w:jc w:val="right"/>
              <w:rPr>
                <w:rFonts w:ascii="Arial" w:hAnsi="Arial" w:cs="Arial"/>
                <w:b/>
                <w:bCs/>
                <w:color w:val="000000"/>
                <w:sz w:val="20"/>
                <w:szCs w:val="20"/>
              </w:rPr>
            </w:pPr>
            <w:r w:rsidRPr="00ED1A27">
              <w:rPr>
                <w:rFonts w:ascii="Arial" w:hAnsi="Arial" w:cs="Arial"/>
                <w:b/>
                <w:bCs/>
                <w:color w:val="000000"/>
                <w:sz w:val="20"/>
                <w:szCs w:val="20"/>
              </w:rPr>
              <w:t>287.196,26</w:t>
            </w:r>
          </w:p>
        </w:tc>
        <w:tc>
          <w:tcPr>
            <w:tcW w:w="1417" w:type="dxa"/>
            <w:tcBorders>
              <w:top w:val="nil"/>
              <w:left w:val="nil"/>
              <w:bottom w:val="single" w:sz="8" w:space="0" w:color="auto"/>
              <w:right w:val="single" w:sz="4" w:space="0" w:color="auto"/>
            </w:tcBorders>
            <w:shd w:val="clear" w:color="auto" w:fill="BFBFBF" w:themeFill="background1" w:themeFillShade="BF"/>
            <w:noWrap/>
            <w:vAlign w:val="bottom"/>
            <w:hideMark/>
          </w:tcPr>
          <w:p w:rsidR="00EA6B00" w:rsidRPr="00ED1A27" w:rsidRDefault="00EA6B00" w:rsidP="00ED1A27">
            <w:pPr>
              <w:spacing w:line="276" w:lineRule="auto"/>
              <w:jc w:val="right"/>
              <w:rPr>
                <w:rFonts w:ascii="Arial" w:hAnsi="Arial" w:cs="Arial"/>
                <w:b/>
                <w:bCs/>
                <w:color w:val="000000"/>
                <w:sz w:val="20"/>
                <w:szCs w:val="20"/>
              </w:rPr>
            </w:pPr>
            <w:r w:rsidRPr="00ED1A27">
              <w:rPr>
                <w:rFonts w:ascii="Arial" w:hAnsi="Arial" w:cs="Arial"/>
                <w:b/>
                <w:bCs/>
                <w:color w:val="000000"/>
                <w:sz w:val="20"/>
                <w:szCs w:val="20"/>
              </w:rPr>
              <w:t>736.709,19</w:t>
            </w:r>
          </w:p>
        </w:tc>
        <w:tc>
          <w:tcPr>
            <w:tcW w:w="1418" w:type="dxa"/>
            <w:tcBorders>
              <w:top w:val="nil"/>
              <w:left w:val="nil"/>
              <w:bottom w:val="single" w:sz="8" w:space="0" w:color="auto"/>
              <w:right w:val="single" w:sz="4" w:space="0" w:color="auto"/>
            </w:tcBorders>
            <w:shd w:val="clear" w:color="auto" w:fill="BFBFBF" w:themeFill="background1" w:themeFillShade="BF"/>
            <w:noWrap/>
            <w:vAlign w:val="bottom"/>
            <w:hideMark/>
          </w:tcPr>
          <w:p w:rsidR="00EA6B00" w:rsidRPr="00ED1A27" w:rsidRDefault="00EA6B00" w:rsidP="00ED1A27">
            <w:pPr>
              <w:spacing w:line="276" w:lineRule="auto"/>
              <w:jc w:val="right"/>
              <w:rPr>
                <w:rFonts w:ascii="Arial" w:hAnsi="Arial" w:cs="Arial"/>
                <w:b/>
                <w:bCs/>
                <w:color w:val="000000"/>
                <w:sz w:val="20"/>
                <w:szCs w:val="20"/>
              </w:rPr>
            </w:pPr>
            <w:r w:rsidRPr="00ED1A27">
              <w:rPr>
                <w:rFonts w:ascii="Arial" w:hAnsi="Arial" w:cs="Arial"/>
                <w:b/>
                <w:bCs/>
                <w:color w:val="000000"/>
                <w:sz w:val="20"/>
                <w:szCs w:val="20"/>
              </w:rPr>
              <w:t>1.061.206,74</w:t>
            </w:r>
          </w:p>
        </w:tc>
        <w:tc>
          <w:tcPr>
            <w:tcW w:w="1134" w:type="dxa"/>
            <w:tcBorders>
              <w:top w:val="nil"/>
              <w:left w:val="nil"/>
              <w:bottom w:val="single" w:sz="8" w:space="0" w:color="auto"/>
              <w:right w:val="single" w:sz="8" w:space="0" w:color="auto"/>
            </w:tcBorders>
            <w:shd w:val="clear" w:color="auto" w:fill="BFBFBF" w:themeFill="background1" w:themeFillShade="BF"/>
            <w:noWrap/>
            <w:vAlign w:val="bottom"/>
            <w:hideMark/>
          </w:tcPr>
          <w:p w:rsidR="00EA6B00" w:rsidRPr="00ED1A27" w:rsidRDefault="00EA6B00" w:rsidP="00ED1A27">
            <w:pPr>
              <w:spacing w:line="276" w:lineRule="auto"/>
              <w:jc w:val="right"/>
              <w:rPr>
                <w:rFonts w:ascii="Arial" w:hAnsi="Arial" w:cs="Arial"/>
                <w:b/>
                <w:bCs/>
                <w:color w:val="000000"/>
                <w:sz w:val="20"/>
                <w:szCs w:val="20"/>
              </w:rPr>
            </w:pPr>
            <w:r w:rsidRPr="00ED1A27">
              <w:rPr>
                <w:rFonts w:ascii="Arial" w:hAnsi="Arial" w:cs="Arial"/>
                <w:b/>
                <w:bCs/>
                <w:color w:val="000000"/>
                <w:sz w:val="20"/>
                <w:szCs w:val="20"/>
              </w:rPr>
              <w:t>100,00%</w:t>
            </w:r>
          </w:p>
        </w:tc>
      </w:tr>
    </w:tbl>
    <w:p w:rsidR="00EA6B00" w:rsidRPr="00ED1A27" w:rsidRDefault="00EA6B00" w:rsidP="00ED1A27">
      <w:pPr>
        <w:spacing w:line="276" w:lineRule="auto"/>
        <w:jc w:val="both"/>
        <w:rPr>
          <w:rFonts w:ascii="Arial" w:hAnsi="Arial" w:cs="Arial"/>
          <w:sz w:val="20"/>
          <w:szCs w:val="20"/>
        </w:rPr>
      </w:pPr>
    </w:p>
    <w:p w:rsidR="00EA6B00" w:rsidRPr="00ED1A27" w:rsidRDefault="00EA6B00" w:rsidP="00ED1A27">
      <w:pPr>
        <w:spacing w:line="276" w:lineRule="auto"/>
        <w:jc w:val="both"/>
        <w:rPr>
          <w:rFonts w:ascii="Arial" w:hAnsi="Arial" w:cs="Arial"/>
          <w:sz w:val="20"/>
          <w:szCs w:val="20"/>
        </w:rPr>
      </w:pPr>
      <w:r w:rsidRPr="00ED1A27">
        <w:rPr>
          <w:rFonts w:ascii="Arial" w:hAnsi="Arial" w:cs="Arial"/>
          <w:sz w:val="20"/>
          <w:szCs w:val="20"/>
        </w:rPr>
        <w:t xml:space="preserve">Del projekta, ki se nanaša na Mestno občino Ptuj je sofinanciran v višini 424.309,43 EUR, od tega 339.447,55 EUR iz Evropskega sklada za regionalni razvoj,  </w:t>
      </w:r>
      <w:r w:rsidRPr="00ED1A27">
        <w:rPr>
          <w:rFonts w:ascii="Arial" w:hAnsi="Arial" w:cs="Arial"/>
          <w:color w:val="000000"/>
          <w:sz w:val="20"/>
          <w:szCs w:val="20"/>
        </w:rPr>
        <w:t xml:space="preserve">84.861,88 EUR </w:t>
      </w:r>
      <w:r w:rsidRPr="00ED1A27">
        <w:rPr>
          <w:rFonts w:ascii="Arial" w:hAnsi="Arial" w:cs="Arial"/>
          <w:sz w:val="20"/>
          <w:szCs w:val="20"/>
        </w:rPr>
        <w:t>s sredstvi Ministrstva za infrastrukturo. Lastna udeležba znaša 636.897,31 EUR. Vrednost projekta, ki smo jo predvideli v DIIP in je bila osnova za dodelitev sredstev iz Dogovora za razvoj regij je bila bistveno nižja in sicer za 543.549,25 EUR. Posledično je za toliko višja lastna udeležba na projektu. Neupravičen strošek na projektu predstavlja davek na dodano vrednost. Ostali stroški so upravičeni, vendar kvota dodeljenih sredstev, ki zaenkrat še velja, ne zadošča za pokritje le teh.</w:t>
      </w:r>
    </w:p>
    <w:p w:rsidR="00EA6B00" w:rsidRPr="00ED1A27" w:rsidRDefault="00EA6B00" w:rsidP="00ED1A27">
      <w:pPr>
        <w:spacing w:line="276" w:lineRule="auto"/>
        <w:jc w:val="both"/>
        <w:rPr>
          <w:rFonts w:ascii="Arial" w:hAnsi="Arial" w:cs="Arial"/>
          <w:sz w:val="20"/>
          <w:szCs w:val="20"/>
        </w:rPr>
      </w:pPr>
    </w:p>
    <w:p w:rsidR="00966DBC" w:rsidRPr="00ED1A27" w:rsidRDefault="00765B49" w:rsidP="00ED1A27">
      <w:pPr>
        <w:spacing w:line="276" w:lineRule="auto"/>
        <w:jc w:val="both"/>
        <w:rPr>
          <w:rFonts w:ascii="Arial" w:hAnsi="Arial" w:cs="Arial"/>
          <w:sz w:val="20"/>
          <w:szCs w:val="20"/>
        </w:rPr>
      </w:pPr>
      <w:r w:rsidRPr="00ED1A27">
        <w:rPr>
          <w:rFonts w:ascii="Arial" w:hAnsi="Arial" w:cs="Arial"/>
          <w:sz w:val="20"/>
          <w:szCs w:val="20"/>
        </w:rPr>
        <w:t xml:space="preserve">Investicija je vodena v </w:t>
      </w:r>
      <w:r w:rsidR="003F563C">
        <w:rPr>
          <w:rFonts w:ascii="Arial" w:hAnsi="Arial" w:cs="Arial"/>
          <w:sz w:val="20"/>
          <w:szCs w:val="20"/>
        </w:rPr>
        <w:t>N</w:t>
      </w:r>
      <w:r w:rsidR="00A93518" w:rsidRPr="00ED1A27">
        <w:rPr>
          <w:rFonts w:ascii="Arial" w:hAnsi="Arial" w:cs="Arial"/>
          <w:sz w:val="20"/>
          <w:szCs w:val="20"/>
        </w:rPr>
        <w:t>ačrtu razvojnih programov</w:t>
      </w:r>
      <w:r w:rsidRPr="00ED1A27">
        <w:rPr>
          <w:rFonts w:ascii="Arial" w:hAnsi="Arial" w:cs="Arial"/>
          <w:sz w:val="20"/>
          <w:szCs w:val="20"/>
        </w:rPr>
        <w:t xml:space="preserve"> 2020-2023</w:t>
      </w:r>
      <w:r w:rsidR="00A93518" w:rsidRPr="00ED1A27">
        <w:rPr>
          <w:rFonts w:ascii="Arial" w:hAnsi="Arial" w:cs="Arial"/>
          <w:sz w:val="20"/>
          <w:szCs w:val="20"/>
        </w:rPr>
        <w:t xml:space="preserve"> </w:t>
      </w:r>
      <w:r w:rsidR="003F563C">
        <w:rPr>
          <w:rFonts w:ascii="Arial" w:hAnsi="Arial" w:cs="Arial"/>
          <w:sz w:val="20"/>
          <w:szCs w:val="20"/>
        </w:rPr>
        <w:t xml:space="preserve">pod </w:t>
      </w:r>
      <w:r w:rsidR="00A93518" w:rsidRPr="00ED1A27">
        <w:rPr>
          <w:rFonts w:ascii="Arial" w:hAnsi="Arial" w:cs="Arial"/>
          <w:sz w:val="20"/>
          <w:szCs w:val="20"/>
        </w:rPr>
        <w:t xml:space="preserve">OB096-19-0001 RKP odsek 1 Ptuj – Hajdina – Kidričevo </w:t>
      </w:r>
      <w:r w:rsidRPr="00ED1A27">
        <w:rPr>
          <w:rFonts w:ascii="Arial" w:hAnsi="Arial" w:cs="Arial"/>
          <w:sz w:val="20"/>
          <w:szCs w:val="20"/>
        </w:rPr>
        <w:t>–</w:t>
      </w:r>
      <w:r w:rsidR="00A93518" w:rsidRPr="00ED1A27">
        <w:rPr>
          <w:rFonts w:ascii="Arial" w:hAnsi="Arial" w:cs="Arial"/>
          <w:sz w:val="20"/>
          <w:szCs w:val="20"/>
        </w:rPr>
        <w:t xml:space="preserve"> Majšperk</w:t>
      </w:r>
      <w:r w:rsidRPr="00ED1A27">
        <w:rPr>
          <w:rFonts w:ascii="Arial" w:hAnsi="Arial" w:cs="Arial"/>
          <w:sz w:val="20"/>
          <w:szCs w:val="20"/>
        </w:rPr>
        <w:t>. Sredstva so zagotovljena na proračunski postavki 6583.</w:t>
      </w:r>
      <w:r w:rsidR="00A93518" w:rsidRPr="00ED1A27">
        <w:rPr>
          <w:rFonts w:ascii="Arial" w:hAnsi="Arial" w:cs="Arial"/>
          <w:sz w:val="20"/>
          <w:szCs w:val="20"/>
        </w:rPr>
        <w:t xml:space="preserve"> </w:t>
      </w:r>
      <w:r w:rsidR="00966DBC" w:rsidRPr="00ED1A27">
        <w:rPr>
          <w:rFonts w:ascii="Arial" w:hAnsi="Arial" w:cs="Arial"/>
          <w:sz w:val="20"/>
          <w:szCs w:val="20"/>
        </w:rPr>
        <w:t xml:space="preserve">Projekte, katerih vrednost se spremeni za več kot 15 % mora predhodno potrditi mestni svet. </w:t>
      </w:r>
      <w:bookmarkStart w:id="0" w:name="_GoBack"/>
      <w:r w:rsidR="00966DBC" w:rsidRPr="00ED1A27">
        <w:rPr>
          <w:rFonts w:ascii="Arial" w:hAnsi="Arial" w:cs="Arial"/>
          <w:sz w:val="20"/>
          <w:szCs w:val="20"/>
        </w:rPr>
        <w:t xml:space="preserve">Skladno s prijavljenim projektom bomo ob rebalansu proračuna 2020 Načrt razvojnih programom uskladili z viri in višino prijavljenega projekta. </w:t>
      </w:r>
      <w:bookmarkEnd w:id="0"/>
    </w:p>
    <w:p w:rsidR="00A93518" w:rsidRPr="00ED1A27" w:rsidRDefault="00A93518" w:rsidP="00ED1A27">
      <w:pPr>
        <w:spacing w:line="276" w:lineRule="auto"/>
        <w:jc w:val="both"/>
        <w:rPr>
          <w:rFonts w:ascii="Arial" w:hAnsi="Arial" w:cs="Arial"/>
          <w:sz w:val="20"/>
          <w:szCs w:val="20"/>
        </w:rPr>
      </w:pPr>
    </w:p>
    <w:p w:rsidR="00644C80" w:rsidRPr="00ED1A27" w:rsidRDefault="00644C80" w:rsidP="00ED1A27">
      <w:pPr>
        <w:spacing w:line="276" w:lineRule="auto"/>
        <w:jc w:val="both"/>
        <w:rPr>
          <w:rFonts w:ascii="Arial" w:hAnsi="Arial" w:cs="Arial"/>
          <w:sz w:val="20"/>
          <w:szCs w:val="20"/>
        </w:rPr>
      </w:pPr>
    </w:p>
    <w:p w:rsidR="00C9392E" w:rsidRPr="00ED1A27" w:rsidRDefault="00C9392E" w:rsidP="00ED1A27">
      <w:pPr>
        <w:spacing w:line="276" w:lineRule="auto"/>
        <w:jc w:val="both"/>
        <w:rPr>
          <w:rFonts w:ascii="Arial" w:hAnsi="Arial" w:cs="Arial"/>
          <w:sz w:val="20"/>
          <w:szCs w:val="20"/>
        </w:rPr>
      </w:pPr>
    </w:p>
    <w:p w:rsidR="00C9392E" w:rsidRPr="00ED1A27" w:rsidRDefault="00C9392E" w:rsidP="00ED1A27">
      <w:pPr>
        <w:spacing w:line="276" w:lineRule="auto"/>
        <w:jc w:val="both"/>
        <w:rPr>
          <w:rFonts w:ascii="Arial" w:hAnsi="Arial" w:cs="Arial"/>
          <w:sz w:val="20"/>
          <w:szCs w:val="20"/>
        </w:rPr>
      </w:pPr>
    </w:p>
    <w:p w:rsidR="001825F8" w:rsidRPr="00ED1A27" w:rsidRDefault="001825F8" w:rsidP="00ED1A27">
      <w:pPr>
        <w:spacing w:line="276" w:lineRule="auto"/>
        <w:jc w:val="both"/>
        <w:rPr>
          <w:rFonts w:ascii="Arial" w:hAnsi="Arial" w:cs="Arial"/>
          <w:sz w:val="20"/>
          <w:szCs w:val="20"/>
        </w:rPr>
      </w:pPr>
      <w:r w:rsidRPr="00ED1A27">
        <w:rPr>
          <w:rFonts w:ascii="Arial" w:hAnsi="Arial" w:cs="Arial"/>
          <w:sz w:val="20"/>
          <w:szCs w:val="20"/>
        </w:rPr>
        <w:t>Mestnemu svetu Mestne občine Ptuj predlagam, da predloženi dokument obravnava in sprejme predlagani sklep.</w:t>
      </w:r>
    </w:p>
    <w:p w:rsidR="001825F8" w:rsidRPr="00ED1A27" w:rsidRDefault="001825F8" w:rsidP="00ED1A27">
      <w:pPr>
        <w:spacing w:line="276" w:lineRule="auto"/>
        <w:jc w:val="both"/>
        <w:rPr>
          <w:rFonts w:ascii="Arial" w:hAnsi="Arial" w:cs="Arial"/>
          <w:sz w:val="20"/>
          <w:szCs w:val="20"/>
        </w:rPr>
      </w:pPr>
    </w:p>
    <w:p w:rsidR="001825F8" w:rsidRPr="00ED1A27" w:rsidRDefault="001825F8" w:rsidP="00ED1A27">
      <w:pPr>
        <w:spacing w:line="276" w:lineRule="auto"/>
        <w:jc w:val="both"/>
        <w:rPr>
          <w:rFonts w:ascii="Arial" w:hAnsi="Arial" w:cs="Arial"/>
          <w:sz w:val="20"/>
          <w:szCs w:val="20"/>
        </w:rPr>
      </w:pPr>
      <w:r w:rsidRPr="00ED1A27">
        <w:rPr>
          <w:rFonts w:ascii="Arial" w:hAnsi="Arial" w:cs="Arial"/>
          <w:sz w:val="20"/>
          <w:szCs w:val="20"/>
        </w:rPr>
        <w:t xml:space="preserve">Pripravila: </w:t>
      </w:r>
    </w:p>
    <w:p w:rsidR="00DC5EC5" w:rsidRPr="00ED1A27" w:rsidRDefault="001825F8" w:rsidP="00ED1A27">
      <w:pPr>
        <w:spacing w:line="276" w:lineRule="auto"/>
        <w:jc w:val="both"/>
        <w:rPr>
          <w:rFonts w:ascii="Arial" w:hAnsi="Arial" w:cs="Arial"/>
          <w:sz w:val="20"/>
          <w:szCs w:val="20"/>
        </w:rPr>
      </w:pPr>
      <w:r w:rsidRPr="00ED1A27">
        <w:rPr>
          <w:rFonts w:ascii="Arial" w:hAnsi="Arial" w:cs="Arial"/>
          <w:sz w:val="20"/>
          <w:szCs w:val="20"/>
        </w:rPr>
        <w:t>Tina Zamuda</w:t>
      </w:r>
    </w:p>
    <w:p w:rsidR="001825F8" w:rsidRPr="00ED1A27" w:rsidRDefault="001825F8" w:rsidP="00ED1A27">
      <w:pPr>
        <w:spacing w:line="276" w:lineRule="auto"/>
        <w:jc w:val="both"/>
        <w:rPr>
          <w:rFonts w:ascii="Arial" w:hAnsi="Arial" w:cs="Arial"/>
          <w:sz w:val="20"/>
          <w:szCs w:val="20"/>
        </w:rPr>
      </w:pPr>
      <w:r w:rsidRPr="00ED1A27">
        <w:rPr>
          <w:rFonts w:ascii="Arial" w:hAnsi="Arial" w:cs="Arial"/>
          <w:b/>
          <w:sz w:val="20"/>
          <w:szCs w:val="20"/>
        </w:rPr>
        <w:tab/>
      </w:r>
      <w:r w:rsidRPr="00ED1A27">
        <w:rPr>
          <w:rFonts w:ascii="Arial" w:hAnsi="Arial" w:cs="Arial"/>
          <w:b/>
          <w:sz w:val="20"/>
          <w:szCs w:val="20"/>
        </w:rPr>
        <w:tab/>
      </w:r>
      <w:r w:rsidRPr="00ED1A27">
        <w:rPr>
          <w:rFonts w:ascii="Arial" w:hAnsi="Arial" w:cs="Arial"/>
          <w:b/>
          <w:sz w:val="20"/>
          <w:szCs w:val="20"/>
        </w:rPr>
        <w:tab/>
      </w:r>
      <w:r w:rsidRPr="00ED1A27">
        <w:rPr>
          <w:rFonts w:ascii="Arial" w:hAnsi="Arial" w:cs="Arial"/>
          <w:b/>
          <w:sz w:val="20"/>
          <w:szCs w:val="20"/>
        </w:rPr>
        <w:tab/>
      </w:r>
      <w:r w:rsidRPr="00ED1A27">
        <w:rPr>
          <w:rFonts w:ascii="Arial" w:hAnsi="Arial" w:cs="Arial"/>
          <w:b/>
          <w:sz w:val="20"/>
          <w:szCs w:val="20"/>
        </w:rPr>
        <w:tab/>
      </w:r>
      <w:r w:rsidRPr="00ED1A27">
        <w:rPr>
          <w:rFonts w:ascii="Arial" w:hAnsi="Arial" w:cs="Arial"/>
          <w:b/>
          <w:sz w:val="20"/>
          <w:szCs w:val="20"/>
        </w:rPr>
        <w:tab/>
      </w:r>
      <w:r w:rsidRPr="00ED1A27">
        <w:rPr>
          <w:rFonts w:ascii="Arial" w:hAnsi="Arial" w:cs="Arial"/>
          <w:b/>
          <w:sz w:val="20"/>
          <w:szCs w:val="20"/>
        </w:rPr>
        <w:tab/>
      </w:r>
      <w:r w:rsidRPr="00ED1A27">
        <w:rPr>
          <w:rFonts w:ascii="Arial" w:hAnsi="Arial" w:cs="Arial"/>
          <w:b/>
          <w:sz w:val="20"/>
          <w:szCs w:val="20"/>
        </w:rPr>
        <w:tab/>
        <w:t xml:space="preserve">                 </w:t>
      </w:r>
      <w:r w:rsidRPr="00ED1A27">
        <w:rPr>
          <w:rFonts w:ascii="Arial" w:hAnsi="Arial" w:cs="Arial"/>
          <w:sz w:val="20"/>
          <w:szCs w:val="20"/>
        </w:rPr>
        <w:t xml:space="preserve">Nuška </w:t>
      </w:r>
      <w:r w:rsidR="004C5A34" w:rsidRPr="00ED1A27">
        <w:rPr>
          <w:rFonts w:ascii="Arial" w:hAnsi="Arial" w:cs="Arial"/>
          <w:sz w:val="20"/>
          <w:szCs w:val="20"/>
        </w:rPr>
        <w:t>Gajšek</w:t>
      </w:r>
    </w:p>
    <w:p w:rsidR="001825F8" w:rsidRPr="00ED1A27" w:rsidRDefault="001825F8" w:rsidP="00ED1A27">
      <w:pPr>
        <w:spacing w:line="276" w:lineRule="auto"/>
        <w:jc w:val="both"/>
        <w:rPr>
          <w:rFonts w:ascii="Arial" w:hAnsi="Arial" w:cs="Arial"/>
          <w:sz w:val="20"/>
          <w:szCs w:val="20"/>
        </w:rPr>
      </w:pPr>
      <w:r w:rsidRPr="00ED1A27">
        <w:rPr>
          <w:rFonts w:ascii="Arial" w:hAnsi="Arial" w:cs="Arial"/>
          <w:sz w:val="20"/>
          <w:szCs w:val="20"/>
        </w:rPr>
        <w:tab/>
      </w:r>
      <w:r w:rsidRPr="00ED1A27">
        <w:rPr>
          <w:rFonts w:ascii="Arial" w:hAnsi="Arial" w:cs="Arial"/>
          <w:sz w:val="20"/>
          <w:szCs w:val="20"/>
        </w:rPr>
        <w:tab/>
      </w:r>
      <w:r w:rsidRPr="00ED1A27">
        <w:rPr>
          <w:rFonts w:ascii="Arial" w:hAnsi="Arial" w:cs="Arial"/>
          <w:sz w:val="20"/>
          <w:szCs w:val="20"/>
        </w:rPr>
        <w:tab/>
      </w:r>
      <w:r w:rsidRPr="00ED1A27">
        <w:rPr>
          <w:rFonts w:ascii="Arial" w:hAnsi="Arial" w:cs="Arial"/>
          <w:sz w:val="20"/>
          <w:szCs w:val="20"/>
        </w:rPr>
        <w:tab/>
      </w:r>
      <w:r w:rsidRPr="00ED1A27">
        <w:rPr>
          <w:rFonts w:ascii="Arial" w:hAnsi="Arial" w:cs="Arial"/>
          <w:sz w:val="20"/>
          <w:szCs w:val="20"/>
        </w:rPr>
        <w:tab/>
      </w:r>
      <w:r w:rsidRPr="00ED1A27">
        <w:rPr>
          <w:rFonts w:ascii="Arial" w:hAnsi="Arial" w:cs="Arial"/>
          <w:sz w:val="20"/>
          <w:szCs w:val="20"/>
        </w:rPr>
        <w:tab/>
        <w:t xml:space="preserve">                    </w:t>
      </w:r>
      <w:r w:rsidR="004C5A34" w:rsidRPr="00ED1A27">
        <w:rPr>
          <w:rFonts w:ascii="Arial" w:hAnsi="Arial" w:cs="Arial"/>
          <w:sz w:val="20"/>
          <w:szCs w:val="20"/>
        </w:rPr>
        <w:t xml:space="preserve">                             </w:t>
      </w:r>
      <w:r w:rsidRPr="00ED1A27">
        <w:rPr>
          <w:rFonts w:ascii="Arial" w:hAnsi="Arial" w:cs="Arial"/>
          <w:sz w:val="20"/>
          <w:szCs w:val="20"/>
        </w:rPr>
        <w:t xml:space="preserve">županja </w:t>
      </w:r>
    </w:p>
    <w:p w:rsidR="001825F8" w:rsidRPr="00ED1A27" w:rsidRDefault="001825F8" w:rsidP="00ED1A27">
      <w:pPr>
        <w:autoSpaceDE w:val="0"/>
        <w:autoSpaceDN w:val="0"/>
        <w:adjustRightInd w:val="0"/>
        <w:spacing w:line="276" w:lineRule="auto"/>
        <w:rPr>
          <w:rFonts w:ascii="Arial" w:hAnsi="Arial" w:cs="Arial"/>
          <w:sz w:val="20"/>
          <w:szCs w:val="20"/>
        </w:rPr>
      </w:pPr>
    </w:p>
    <w:p w:rsidR="00894E5A" w:rsidRPr="00ED1A27" w:rsidRDefault="00894E5A" w:rsidP="00ED1A27">
      <w:pPr>
        <w:spacing w:line="276" w:lineRule="auto"/>
        <w:jc w:val="both"/>
        <w:rPr>
          <w:rFonts w:ascii="Arial" w:hAnsi="Arial" w:cs="Arial"/>
          <w:sz w:val="20"/>
          <w:szCs w:val="20"/>
        </w:rPr>
      </w:pPr>
    </w:p>
    <w:p w:rsidR="008B0EAD" w:rsidRPr="00ED1A27" w:rsidRDefault="008B0EAD" w:rsidP="00ED1A27">
      <w:pPr>
        <w:spacing w:line="276" w:lineRule="auto"/>
        <w:jc w:val="both"/>
        <w:rPr>
          <w:rFonts w:ascii="Arial" w:hAnsi="Arial" w:cs="Arial"/>
          <w:sz w:val="20"/>
          <w:szCs w:val="20"/>
        </w:rPr>
      </w:pPr>
    </w:p>
    <w:p w:rsidR="00D87A41" w:rsidRPr="00ED1A27" w:rsidRDefault="00D87A41" w:rsidP="00ED1A27">
      <w:pPr>
        <w:spacing w:line="276" w:lineRule="auto"/>
        <w:jc w:val="both"/>
        <w:rPr>
          <w:rFonts w:ascii="Arial" w:hAnsi="Arial" w:cs="Arial"/>
          <w:sz w:val="20"/>
          <w:szCs w:val="20"/>
        </w:rPr>
      </w:pPr>
    </w:p>
    <w:p w:rsidR="00ED1A27" w:rsidRPr="00ED1A27" w:rsidRDefault="00ED1A27">
      <w:pPr>
        <w:spacing w:line="276" w:lineRule="auto"/>
        <w:jc w:val="both"/>
        <w:rPr>
          <w:rFonts w:ascii="Arial" w:hAnsi="Arial" w:cs="Arial"/>
          <w:sz w:val="20"/>
          <w:szCs w:val="20"/>
        </w:rPr>
      </w:pPr>
    </w:p>
    <w:sectPr w:rsidR="00ED1A27" w:rsidRPr="00ED1A27"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047" w:rsidRDefault="00F27047">
      <w:r>
        <w:separator/>
      </w:r>
    </w:p>
  </w:endnote>
  <w:endnote w:type="continuationSeparator" w:id="0">
    <w:p w:rsidR="00F27047" w:rsidRDefault="00F2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85" w:rsidRDefault="00D75085"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85" w:rsidRDefault="00D75085"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047" w:rsidRDefault="00F27047">
      <w:r>
        <w:separator/>
      </w:r>
    </w:p>
  </w:footnote>
  <w:footnote w:type="continuationSeparator" w:id="0">
    <w:p w:rsidR="00F27047" w:rsidRDefault="00F2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74"/>
      <w:gridCol w:w="6230"/>
    </w:tblGrid>
    <w:tr w:rsidR="00D75085" w:rsidTr="00AA1F51">
      <w:tc>
        <w:tcPr>
          <w:tcW w:w="3228" w:type="dxa"/>
        </w:tcPr>
        <w:p w:rsidR="00D75085" w:rsidRPr="00AA1F51" w:rsidRDefault="00342EFD"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D75085" w:rsidRDefault="00D75085" w:rsidP="00AA1F51">
          <w:pPr>
            <w:pBdr>
              <w:bottom w:val="single" w:sz="12" w:space="1" w:color="999999"/>
            </w:pBdr>
          </w:pPr>
        </w:p>
        <w:p w:rsidR="00D75085" w:rsidRPr="00AA1F51" w:rsidRDefault="00D75085" w:rsidP="00AA1F51">
          <w:pPr>
            <w:pBdr>
              <w:bottom w:val="single" w:sz="12" w:space="1" w:color="999999"/>
            </w:pBdr>
            <w:jc w:val="center"/>
            <w:rPr>
              <w:b/>
              <w:sz w:val="22"/>
            </w:rPr>
          </w:pPr>
          <w:r w:rsidRPr="00AA1F51">
            <w:rPr>
              <w:b/>
              <w:sz w:val="22"/>
            </w:rPr>
            <w:t>MESTNA OBČINA PTUJ</w:t>
          </w:r>
        </w:p>
        <w:p w:rsidR="00D75085" w:rsidRPr="00AA1F51" w:rsidRDefault="00D75085" w:rsidP="00AA1F51">
          <w:pPr>
            <w:pBdr>
              <w:bottom w:val="single" w:sz="12" w:space="1" w:color="999999"/>
            </w:pBdr>
            <w:jc w:val="center"/>
            <w:rPr>
              <w:sz w:val="22"/>
            </w:rPr>
          </w:pPr>
          <w:r w:rsidRPr="00AA1F51">
            <w:rPr>
              <w:sz w:val="22"/>
            </w:rPr>
            <w:t xml:space="preserve"> ŽUPAN</w:t>
          </w:r>
          <w:r w:rsidR="00D85A2F">
            <w:rPr>
              <w:sz w:val="22"/>
            </w:rPr>
            <w:t>JA</w:t>
          </w:r>
        </w:p>
        <w:p w:rsidR="00D75085" w:rsidRPr="00AA1F51" w:rsidRDefault="00D75085" w:rsidP="00AA1F51">
          <w:pPr>
            <w:pBdr>
              <w:bottom w:val="single" w:sz="12" w:space="1" w:color="999999"/>
            </w:pBdr>
            <w:rPr>
              <w:sz w:val="22"/>
            </w:rPr>
          </w:pPr>
        </w:p>
        <w:p w:rsidR="00D75085" w:rsidRPr="00AA1F51" w:rsidRDefault="00D75085" w:rsidP="00AA1F51">
          <w:pPr>
            <w:jc w:val="center"/>
            <w:rPr>
              <w:sz w:val="22"/>
            </w:rPr>
          </w:pPr>
        </w:p>
      </w:tc>
      <w:tc>
        <w:tcPr>
          <w:tcW w:w="6394" w:type="dxa"/>
        </w:tcPr>
        <w:p w:rsidR="00D85A2F" w:rsidRDefault="00D85A2F" w:rsidP="006D3DCC">
          <w:pPr>
            <w:pStyle w:val="Glava"/>
          </w:pPr>
        </w:p>
        <w:p w:rsidR="00D85A2F" w:rsidRPr="00D85A2F" w:rsidRDefault="00D85A2F" w:rsidP="00D85A2F"/>
        <w:p w:rsidR="00D85A2F" w:rsidRPr="00D85A2F" w:rsidRDefault="00D85A2F" w:rsidP="00D85A2F"/>
        <w:p w:rsidR="00D85A2F" w:rsidRPr="00D85A2F" w:rsidRDefault="00D85A2F" w:rsidP="00D85A2F"/>
        <w:p w:rsidR="00D85A2F" w:rsidRDefault="00D85A2F" w:rsidP="00D85A2F"/>
        <w:p w:rsidR="00D85A2F" w:rsidRDefault="00D85A2F" w:rsidP="00D85A2F"/>
        <w:p w:rsidR="00D75085" w:rsidRPr="00D85A2F" w:rsidRDefault="00D75085" w:rsidP="00D85A2F">
          <w:pPr>
            <w:ind w:firstLine="720"/>
          </w:pPr>
        </w:p>
      </w:tc>
    </w:tr>
  </w:tbl>
  <w:p w:rsidR="00D75085" w:rsidRDefault="00D750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484139"/>
    <w:multiLevelType w:val="hybridMultilevel"/>
    <w:tmpl w:val="A222A1A4"/>
    <w:lvl w:ilvl="0" w:tplc="EFBE0232">
      <w:start w:val="5"/>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804813"/>
    <w:multiLevelType w:val="hybridMultilevel"/>
    <w:tmpl w:val="7F5ED138"/>
    <w:lvl w:ilvl="0" w:tplc="CCEC03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7592D07"/>
    <w:multiLevelType w:val="hybridMultilevel"/>
    <w:tmpl w:val="20748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766735"/>
    <w:multiLevelType w:val="hybridMultilevel"/>
    <w:tmpl w:val="6AA4A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2F978C2"/>
    <w:multiLevelType w:val="hybridMultilevel"/>
    <w:tmpl w:val="015C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9"/>
  </w:num>
  <w:num w:numId="7">
    <w:abstractNumId w:val="3"/>
  </w:num>
  <w:num w:numId="8">
    <w:abstractNumId w:val="8"/>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9E"/>
    <w:rsid w:val="0000509C"/>
    <w:rsid w:val="00005C43"/>
    <w:rsid w:val="00005D12"/>
    <w:rsid w:val="000068E2"/>
    <w:rsid w:val="000073D0"/>
    <w:rsid w:val="00037924"/>
    <w:rsid w:val="00046752"/>
    <w:rsid w:val="00051DBC"/>
    <w:rsid w:val="000544C1"/>
    <w:rsid w:val="00054B0C"/>
    <w:rsid w:val="000560DD"/>
    <w:rsid w:val="0007190B"/>
    <w:rsid w:val="0007513B"/>
    <w:rsid w:val="00085317"/>
    <w:rsid w:val="00094385"/>
    <w:rsid w:val="00097029"/>
    <w:rsid w:val="00097293"/>
    <w:rsid w:val="00097307"/>
    <w:rsid w:val="000C1E72"/>
    <w:rsid w:val="000C4106"/>
    <w:rsid w:val="000D6253"/>
    <w:rsid w:val="000E3F5F"/>
    <w:rsid w:val="000E42C3"/>
    <w:rsid w:val="000F0493"/>
    <w:rsid w:val="000F2984"/>
    <w:rsid w:val="00104A6C"/>
    <w:rsid w:val="00105339"/>
    <w:rsid w:val="00117608"/>
    <w:rsid w:val="00122378"/>
    <w:rsid w:val="001225E9"/>
    <w:rsid w:val="001235D0"/>
    <w:rsid w:val="001277E6"/>
    <w:rsid w:val="00134E16"/>
    <w:rsid w:val="00136704"/>
    <w:rsid w:val="0014287A"/>
    <w:rsid w:val="0014457D"/>
    <w:rsid w:val="00161F10"/>
    <w:rsid w:val="00162D3E"/>
    <w:rsid w:val="00174A7E"/>
    <w:rsid w:val="00177755"/>
    <w:rsid w:val="00181AD2"/>
    <w:rsid w:val="001825F8"/>
    <w:rsid w:val="00183B2B"/>
    <w:rsid w:val="0018762D"/>
    <w:rsid w:val="00190782"/>
    <w:rsid w:val="00194894"/>
    <w:rsid w:val="0019517D"/>
    <w:rsid w:val="001B5A8F"/>
    <w:rsid w:val="001B7D57"/>
    <w:rsid w:val="001C0EC7"/>
    <w:rsid w:val="001C1E60"/>
    <w:rsid w:val="001D32E4"/>
    <w:rsid w:val="001E246C"/>
    <w:rsid w:val="001E6B9C"/>
    <w:rsid w:val="001F2DE3"/>
    <w:rsid w:val="00200405"/>
    <w:rsid w:val="00203B6D"/>
    <w:rsid w:val="002043ED"/>
    <w:rsid w:val="00213ADB"/>
    <w:rsid w:val="00223A8A"/>
    <w:rsid w:val="00227047"/>
    <w:rsid w:val="002349EE"/>
    <w:rsid w:val="00235DAA"/>
    <w:rsid w:val="00242B7A"/>
    <w:rsid w:val="002550D0"/>
    <w:rsid w:val="00256574"/>
    <w:rsid w:val="00257031"/>
    <w:rsid w:val="002611D3"/>
    <w:rsid w:val="002639D8"/>
    <w:rsid w:val="00265E35"/>
    <w:rsid w:val="002669DE"/>
    <w:rsid w:val="00266B26"/>
    <w:rsid w:val="002C0275"/>
    <w:rsid w:val="002C7616"/>
    <w:rsid w:val="002D0071"/>
    <w:rsid w:val="002D2ED1"/>
    <w:rsid w:val="002E56EB"/>
    <w:rsid w:val="002F36AD"/>
    <w:rsid w:val="002F68A3"/>
    <w:rsid w:val="00302680"/>
    <w:rsid w:val="00303202"/>
    <w:rsid w:val="00307FDA"/>
    <w:rsid w:val="00313442"/>
    <w:rsid w:val="00313CEC"/>
    <w:rsid w:val="0031476F"/>
    <w:rsid w:val="00316F25"/>
    <w:rsid w:val="00317551"/>
    <w:rsid w:val="003225DC"/>
    <w:rsid w:val="00327E05"/>
    <w:rsid w:val="00331B19"/>
    <w:rsid w:val="00331CA1"/>
    <w:rsid w:val="00342EFD"/>
    <w:rsid w:val="00354BFF"/>
    <w:rsid w:val="003560AB"/>
    <w:rsid w:val="003628CB"/>
    <w:rsid w:val="003659EF"/>
    <w:rsid w:val="00365E89"/>
    <w:rsid w:val="0036683C"/>
    <w:rsid w:val="003739BA"/>
    <w:rsid w:val="00376518"/>
    <w:rsid w:val="00377723"/>
    <w:rsid w:val="003810A7"/>
    <w:rsid w:val="00387834"/>
    <w:rsid w:val="00396438"/>
    <w:rsid w:val="003A2C72"/>
    <w:rsid w:val="003B0D4B"/>
    <w:rsid w:val="003B18A0"/>
    <w:rsid w:val="003B5516"/>
    <w:rsid w:val="003C2196"/>
    <w:rsid w:val="003C433E"/>
    <w:rsid w:val="003C4A3B"/>
    <w:rsid w:val="003D185D"/>
    <w:rsid w:val="003E0150"/>
    <w:rsid w:val="003E291F"/>
    <w:rsid w:val="003E7FED"/>
    <w:rsid w:val="003F563C"/>
    <w:rsid w:val="00400A3F"/>
    <w:rsid w:val="0041370A"/>
    <w:rsid w:val="00426A14"/>
    <w:rsid w:val="0043041D"/>
    <w:rsid w:val="004374BD"/>
    <w:rsid w:val="004538C1"/>
    <w:rsid w:val="00460AD0"/>
    <w:rsid w:val="00460C93"/>
    <w:rsid w:val="004632D1"/>
    <w:rsid w:val="004653CD"/>
    <w:rsid w:val="00487DF4"/>
    <w:rsid w:val="00492CE7"/>
    <w:rsid w:val="004948CB"/>
    <w:rsid w:val="004A6E70"/>
    <w:rsid w:val="004B340B"/>
    <w:rsid w:val="004B5193"/>
    <w:rsid w:val="004C1AA7"/>
    <w:rsid w:val="004C5A34"/>
    <w:rsid w:val="004D502B"/>
    <w:rsid w:val="004D50B1"/>
    <w:rsid w:val="004E07B1"/>
    <w:rsid w:val="004E368E"/>
    <w:rsid w:val="004F3077"/>
    <w:rsid w:val="004F5251"/>
    <w:rsid w:val="004F6500"/>
    <w:rsid w:val="004F71C3"/>
    <w:rsid w:val="00506F2F"/>
    <w:rsid w:val="005107D2"/>
    <w:rsid w:val="00513BEE"/>
    <w:rsid w:val="005156DD"/>
    <w:rsid w:val="0052092B"/>
    <w:rsid w:val="00525B5B"/>
    <w:rsid w:val="00525B8A"/>
    <w:rsid w:val="005268DA"/>
    <w:rsid w:val="00542613"/>
    <w:rsid w:val="00550D51"/>
    <w:rsid w:val="00552CBD"/>
    <w:rsid w:val="00553F16"/>
    <w:rsid w:val="00575584"/>
    <w:rsid w:val="00580C87"/>
    <w:rsid w:val="005856EC"/>
    <w:rsid w:val="005873FD"/>
    <w:rsid w:val="00587422"/>
    <w:rsid w:val="00587562"/>
    <w:rsid w:val="00590651"/>
    <w:rsid w:val="00590C9A"/>
    <w:rsid w:val="00594126"/>
    <w:rsid w:val="005A6480"/>
    <w:rsid w:val="005A6D0D"/>
    <w:rsid w:val="005B66F0"/>
    <w:rsid w:val="005D6B9A"/>
    <w:rsid w:val="005D728C"/>
    <w:rsid w:val="005E28F2"/>
    <w:rsid w:val="005E2CED"/>
    <w:rsid w:val="005E47D9"/>
    <w:rsid w:val="005E527D"/>
    <w:rsid w:val="005E592B"/>
    <w:rsid w:val="005E5D9E"/>
    <w:rsid w:val="005F2B81"/>
    <w:rsid w:val="005F2BEC"/>
    <w:rsid w:val="00611E0D"/>
    <w:rsid w:val="0061559A"/>
    <w:rsid w:val="006225BF"/>
    <w:rsid w:val="00637998"/>
    <w:rsid w:val="00644C80"/>
    <w:rsid w:val="0066495D"/>
    <w:rsid w:val="00667688"/>
    <w:rsid w:val="00670FFD"/>
    <w:rsid w:val="006766B5"/>
    <w:rsid w:val="00683434"/>
    <w:rsid w:val="00686FEB"/>
    <w:rsid w:val="0069113E"/>
    <w:rsid w:val="006913F2"/>
    <w:rsid w:val="00693846"/>
    <w:rsid w:val="006A0503"/>
    <w:rsid w:val="006A5C07"/>
    <w:rsid w:val="006B5360"/>
    <w:rsid w:val="006B6268"/>
    <w:rsid w:val="006C2349"/>
    <w:rsid w:val="006C2D66"/>
    <w:rsid w:val="006D3188"/>
    <w:rsid w:val="006D3DCC"/>
    <w:rsid w:val="006E2A00"/>
    <w:rsid w:val="006E3DB0"/>
    <w:rsid w:val="006E734E"/>
    <w:rsid w:val="006F3BB7"/>
    <w:rsid w:val="006F40A4"/>
    <w:rsid w:val="006F4E9C"/>
    <w:rsid w:val="006F7ADD"/>
    <w:rsid w:val="00701425"/>
    <w:rsid w:val="00703BF6"/>
    <w:rsid w:val="00705D2D"/>
    <w:rsid w:val="007067CB"/>
    <w:rsid w:val="00710694"/>
    <w:rsid w:val="007232CE"/>
    <w:rsid w:val="00733A9D"/>
    <w:rsid w:val="00733C03"/>
    <w:rsid w:val="00734465"/>
    <w:rsid w:val="00735585"/>
    <w:rsid w:val="007358BF"/>
    <w:rsid w:val="00750A33"/>
    <w:rsid w:val="00753E9F"/>
    <w:rsid w:val="00765B49"/>
    <w:rsid w:val="00766124"/>
    <w:rsid w:val="00766F3E"/>
    <w:rsid w:val="00780F14"/>
    <w:rsid w:val="00793A88"/>
    <w:rsid w:val="00795E84"/>
    <w:rsid w:val="007A7DF0"/>
    <w:rsid w:val="007B1FC8"/>
    <w:rsid w:val="007B7B2D"/>
    <w:rsid w:val="007C0352"/>
    <w:rsid w:val="007C1A3D"/>
    <w:rsid w:val="007C2F2C"/>
    <w:rsid w:val="007D276D"/>
    <w:rsid w:val="007E04E4"/>
    <w:rsid w:val="007E34AA"/>
    <w:rsid w:val="007E3519"/>
    <w:rsid w:val="007E50AA"/>
    <w:rsid w:val="007E6B04"/>
    <w:rsid w:val="007F02B6"/>
    <w:rsid w:val="00811E6B"/>
    <w:rsid w:val="008130D9"/>
    <w:rsid w:val="008134F6"/>
    <w:rsid w:val="00820D01"/>
    <w:rsid w:val="00820E31"/>
    <w:rsid w:val="0082485C"/>
    <w:rsid w:val="00825CE4"/>
    <w:rsid w:val="00826685"/>
    <w:rsid w:val="00833AE7"/>
    <w:rsid w:val="0083758C"/>
    <w:rsid w:val="00840B74"/>
    <w:rsid w:val="00840C2F"/>
    <w:rsid w:val="00846C59"/>
    <w:rsid w:val="00846DF2"/>
    <w:rsid w:val="00851636"/>
    <w:rsid w:val="00852A3C"/>
    <w:rsid w:val="00854D79"/>
    <w:rsid w:val="00855B35"/>
    <w:rsid w:val="00864E64"/>
    <w:rsid w:val="008769E2"/>
    <w:rsid w:val="00877A10"/>
    <w:rsid w:val="008821B8"/>
    <w:rsid w:val="0088526C"/>
    <w:rsid w:val="0089035A"/>
    <w:rsid w:val="00892492"/>
    <w:rsid w:val="008924D6"/>
    <w:rsid w:val="00894E5A"/>
    <w:rsid w:val="0089724D"/>
    <w:rsid w:val="008A48D0"/>
    <w:rsid w:val="008A57C6"/>
    <w:rsid w:val="008A6166"/>
    <w:rsid w:val="008B0EAD"/>
    <w:rsid w:val="008B2761"/>
    <w:rsid w:val="008B71E2"/>
    <w:rsid w:val="008C7258"/>
    <w:rsid w:val="008C7A1B"/>
    <w:rsid w:val="008D536A"/>
    <w:rsid w:val="008E418C"/>
    <w:rsid w:val="008F6D47"/>
    <w:rsid w:val="008F760E"/>
    <w:rsid w:val="008F78CE"/>
    <w:rsid w:val="00904FD3"/>
    <w:rsid w:val="00914C7E"/>
    <w:rsid w:val="00916990"/>
    <w:rsid w:val="00924E13"/>
    <w:rsid w:val="00946867"/>
    <w:rsid w:val="00950060"/>
    <w:rsid w:val="00952ABA"/>
    <w:rsid w:val="00955A88"/>
    <w:rsid w:val="00964897"/>
    <w:rsid w:val="00965D9F"/>
    <w:rsid w:val="00966DBC"/>
    <w:rsid w:val="00967143"/>
    <w:rsid w:val="009768AF"/>
    <w:rsid w:val="00997AD5"/>
    <w:rsid w:val="009A4258"/>
    <w:rsid w:val="009A6B9F"/>
    <w:rsid w:val="009B3911"/>
    <w:rsid w:val="009C1614"/>
    <w:rsid w:val="009C2636"/>
    <w:rsid w:val="009D34B5"/>
    <w:rsid w:val="009D60C5"/>
    <w:rsid w:val="009D79A8"/>
    <w:rsid w:val="009F099C"/>
    <w:rsid w:val="009F4E96"/>
    <w:rsid w:val="009F64F2"/>
    <w:rsid w:val="009F7D2C"/>
    <w:rsid w:val="00A1151C"/>
    <w:rsid w:val="00A115CA"/>
    <w:rsid w:val="00A12866"/>
    <w:rsid w:val="00A17D4A"/>
    <w:rsid w:val="00A30CDE"/>
    <w:rsid w:val="00A3359B"/>
    <w:rsid w:val="00A33CE3"/>
    <w:rsid w:val="00A37610"/>
    <w:rsid w:val="00A3799E"/>
    <w:rsid w:val="00A453E5"/>
    <w:rsid w:val="00A51AA4"/>
    <w:rsid w:val="00A533EB"/>
    <w:rsid w:val="00A5712B"/>
    <w:rsid w:val="00A71A96"/>
    <w:rsid w:val="00A77EE9"/>
    <w:rsid w:val="00A8186A"/>
    <w:rsid w:val="00A93518"/>
    <w:rsid w:val="00A958EA"/>
    <w:rsid w:val="00A95A0D"/>
    <w:rsid w:val="00AA0776"/>
    <w:rsid w:val="00AA192A"/>
    <w:rsid w:val="00AA1F51"/>
    <w:rsid w:val="00AB15D8"/>
    <w:rsid w:val="00AC2784"/>
    <w:rsid w:val="00AD194A"/>
    <w:rsid w:val="00AD50F0"/>
    <w:rsid w:val="00AE0886"/>
    <w:rsid w:val="00AE26E8"/>
    <w:rsid w:val="00AE2CFF"/>
    <w:rsid w:val="00AE3567"/>
    <w:rsid w:val="00AE697F"/>
    <w:rsid w:val="00AF4D15"/>
    <w:rsid w:val="00AF5E77"/>
    <w:rsid w:val="00AF7C94"/>
    <w:rsid w:val="00B026B8"/>
    <w:rsid w:val="00B06019"/>
    <w:rsid w:val="00B2418B"/>
    <w:rsid w:val="00B321AC"/>
    <w:rsid w:val="00B35565"/>
    <w:rsid w:val="00B5283C"/>
    <w:rsid w:val="00B564E3"/>
    <w:rsid w:val="00B61013"/>
    <w:rsid w:val="00B71195"/>
    <w:rsid w:val="00B84472"/>
    <w:rsid w:val="00B93F44"/>
    <w:rsid w:val="00B97FB8"/>
    <w:rsid w:val="00BA21D2"/>
    <w:rsid w:val="00BC6813"/>
    <w:rsid w:val="00BD4B4D"/>
    <w:rsid w:val="00BD7797"/>
    <w:rsid w:val="00BE4610"/>
    <w:rsid w:val="00BE67F7"/>
    <w:rsid w:val="00BF246E"/>
    <w:rsid w:val="00C0275B"/>
    <w:rsid w:val="00C06FF4"/>
    <w:rsid w:val="00C10993"/>
    <w:rsid w:val="00C14FC2"/>
    <w:rsid w:val="00C1558F"/>
    <w:rsid w:val="00C21AA9"/>
    <w:rsid w:val="00C26598"/>
    <w:rsid w:val="00C323C4"/>
    <w:rsid w:val="00C32809"/>
    <w:rsid w:val="00C37782"/>
    <w:rsid w:val="00C66C98"/>
    <w:rsid w:val="00C705ED"/>
    <w:rsid w:val="00C7249C"/>
    <w:rsid w:val="00C85045"/>
    <w:rsid w:val="00C87456"/>
    <w:rsid w:val="00C901F1"/>
    <w:rsid w:val="00C9392E"/>
    <w:rsid w:val="00C94BC7"/>
    <w:rsid w:val="00C959AE"/>
    <w:rsid w:val="00CE04DA"/>
    <w:rsid w:val="00CE373F"/>
    <w:rsid w:val="00CE4436"/>
    <w:rsid w:val="00CF1AF8"/>
    <w:rsid w:val="00CF6330"/>
    <w:rsid w:val="00D00229"/>
    <w:rsid w:val="00D00DA1"/>
    <w:rsid w:val="00D04F89"/>
    <w:rsid w:val="00D06B21"/>
    <w:rsid w:val="00D115FB"/>
    <w:rsid w:val="00D131B1"/>
    <w:rsid w:val="00D15798"/>
    <w:rsid w:val="00D15968"/>
    <w:rsid w:val="00D51522"/>
    <w:rsid w:val="00D5171F"/>
    <w:rsid w:val="00D52478"/>
    <w:rsid w:val="00D55337"/>
    <w:rsid w:val="00D67023"/>
    <w:rsid w:val="00D70F6F"/>
    <w:rsid w:val="00D71949"/>
    <w:rsid w:val="00D7459C"/>
    <w:rsid w:val="00D75085"/>
    <w:rsid w:val="00D7649A"/>
    <w:rsid w:val="00D82A2D"/>
    <w:rsid w:val="00D82D00"/>
    <w:rsid w:val="00D850AA"/>
    <w:rsid w:val="00D85A2F"/>
    <w:rsid w:val="00D8690E"/>
    <w:rsid w:val="00D87A41"/>
    <w:rsid w:val="00D952C7"/>
    <w:rsid w:val="00D9704D"/>
    <w:rsid w:val="00DA0DDA"/>
    <w:rsid w:val="00DA2DE1"/>
    <w:rsid w:val="00DB18E1"/>
    <w:rsid w:val="00DB3819"/>
    <w:rsid w:val="00DB4931"/>
    <w:rsid w:val="00DC5EC5"/>
    <w:rsid w:val="00DD30BD"/>
    <w:rsid w:val="00DD53F8"/>
    <w:rsid w:val="00DE174E"/>
    <w:rsid w:val="00DF6E7E"/>
    <w:rsid w:val="00E154DD"/>
    <w:rsid w:val="00E20930"/>
    <w:rsid w:val="00E212F4"/>
    <w:rsid w:val="00E25CCD"/>
    <w:rsid w:val="00E32A92"/>
    <w:rsid w:val="00E44389"/>
    <w:rsid w:val="00E470C3"/>
    <w:rsid w:val="00E479F1"/>
    <w:rsid w:val="00E50ECF"/>
    <w:rsid w:val="00E61273"/>
    <w:rsid w:val="00E63038"/>
    <w:rsid w:val="00E6682F"/>
    <w:rsid w:val="00E67CD4"/>
    <w:rsid w:val="00E722E1"/>
    <w:rsid w:val="00E74A15"/>
    <w:rsid w:val="00E80517"/>
    <w:rsid w:val="00E82561"/>
    <w:rsid w:val="00E83A61"/>
    <w:rsid w:val="00E90D29"/>
    <w:rsid w:val="00E92947"/>
    <w:rsid w:val="00E95313"/>
    <w:rsid w:val="00E96B86"/>
    <w:rsid w:val="00EA3BF9"/>
    <w:rsid w:val="00EA4E1D"/>
    <w:rsid w:val="00EA6465"/>
    <w:rsid w:val="00EA6B00"/>
    <w:rsid w:val="00EB4758"/>
    <w:rsid w:val="00EB7E57"/>
    <w:rsid w:val="00EC3D24"/>
    <w:rsid w:val="00ED1A27"/>
    <w:rsid w:val="00ED4424"/>
    <w:rsid w:val="00ED5138"/>
    <w:rsid w:val="00EE0ED1"/>
    <w:rsid w:val="00EF7B66"/>
    <w:rsid w:val="00F001DB"/>
    <w:rsid w:val="00F06E94"/>
    <w:rsid w:val="00F103EE"/>
    <w:rsid w:val="00F13CCB"/>
    <w:rsid w:val="00F14F1E"/>
    <w:rsid w:val="00F20CA9"/>
    <w:rsid w:val="00F27047"/>
    <w:rsid w:val="00F32F3D"/>
    <w:rsid w:val="00F42FB9"/>
    <w:rsid w:val="00F606C5"/>
    <w:rsid w:val="00F64257"/>
    <w:rsid w:val="00F71F49"/>
    <w:rsid w:val="00F76B7F"/>
    <w:rsid w:val="00F81D49"/>
    <w:rsid w:val="00F85F12"/>
    <w:rsid w:val="00F911A8"/>
    <w:rsid w:val="00F95934"/>
    <w:rsid w:val="00FA3E61"/>
    <w:rsid w:val="00FB689B"/>
    <w:rsid w:val="00FB792F"/>
    <w:rsid w:val="00FC338D"/>
    <w:rsid w:val="00FC5126"/>
    <w:rsid w:val="00FE0C23"/>
    <w:rsid w:val="00FE3598"/>
    <w:rsid w:val="00FE402B"/>
    <w:rsid w:val="00FE4F06"/>
    <w:rsid w:val="00FE6824"/>
    <w:rsid w:val="00FF0C64"/>
    <w:rsid w:val="00FF1E9C"/>
    <w:rsid w:val="00FF4AF9"/>
    <w:rsid w:val="00FF515B"/>
    <w:rsid w:val="00FF6CC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126C8"/>
  <w15:docId w15:val="{CB895CED-DD23-4EBA-8F11-DF32BE4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2">
    <w:name w:val="heading 2"/>
    <w:basedOn w:val="Navaden"/>
    <w:next w:val="Navaden"/>
    <w:link w:val="Naslov2Znak"/>
    <w:uiPriority w:val="9"/>
    <w:unhideWhenUsed/>
    <w:qFormat/>
    <w:rsid w:val="00CF6330"/>
    <w:pPr>
      <w:keepNext/>
      <w:spacing w:before="240" w:after="60" w:line="276" w:lineRule="auto"/>
      <w:outlineLvl w:val="1"/>
    </w:pPr>
    <w:rPr>
      <w:rFonts w:ascii="Cambria" w:hAnsi="Cambria"/>
      <w:b/>
      <w:bCs/>
      <w:i/>
      <w:i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39"/>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6D3DCC"/>
    <w:rPr>
      <w:color w:val="0000FF"/>
      <w:u w:val="single"/>
    </w:rPr>
  </w:style>
  <w:style w:type="paragraph" w:styleId="Besedilooblaka">
    <w:name w:val="Balloon Text"/>
    <w:basedOn w:val="Navaden"/>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rsid w:val="00AA192A"/>
    <w:pPr>
      <w:spacing w:after="210"/>
    </w:pPr>
    <w:rPr>
      <w:color w:val="333333"/>
      <w:sz w:val="18"/>
      <w:szCs w:val="18"/>
    </w:rPr>
  </w:style>
  <w:style w:type="character" w:styleId="Pripombasklic">
    <w:name w:val="annotation reference"/>
    <w:basedOn w:val="Privzetapisavaodstavka"/>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uiPriority w:val="99"/>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uiPriority w:val="99"/>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aliases w:val="naslov 1,Odstavek seznama_IP,Seznam_IP_1"/>
    <w:basedOn w:val="Navaden"/>
    <w:link w:val="OdstavekseznamaZnak"/>
    <w:uiPriority w:val="34"/>
    <w:qFormat/>
    <w:rsid w:val="00FE4F06"/>
    <w:pPr>
      <w:ind w:left="708"/>
    </w:pPr>
    <w:rPr>
      <w:szCs w:val="20"/>
    </w:rPr>
  </w:style>
  <w:style w:type="character" w:styleId="Krepko">
    <w:name w:val="Strong"/>
    <w:qFormat/>
    <w:rsid w:val="00FE4F06"/>
    <w:rPr>
      <w:rFonts w:cs="Times New Roman"/>
      <w:b/>
      <w:bCs/>
    </w:rPr>
  </w:style>
  <w:style w:type="character" w:customStyle="1" w:styleId="Naslov2Znak">
    <w:name w:val="Naslov 2 Znak"/>
    <w:basedOn w:val="Privzetapisavaodstavka"/>
    <w:link w:val="Naslov2"/>
    <w:uiPriority w:val="9"/>
    <w:rsid w:val="00CF6330"/>
    <w:rPr>
      <w:rFonts w:ascii="Cambria" w:hAnsi="Cambria"/>
      <w:b/>
      <w:bCs/>
      <w:i/>
      <w:iCs/>
      <w:sz w:val="28"/>
      <w:szCs w:val="28"/>
      <w:lang w:eastAsia="en-US"/>
    </w:rPr>
  </w:style>
  <w:style w:type="character" w:customStyle="1" w:styleId="GlavaZnak">
    <w:name w:val="Glava Znak"/>
    <w:link w:val="Glava"/>
    <w:rsid w:val="00D85A2F"/>
    <w:rPr>
      <w:sz w:val="24"/>
      <w:szCs w:val="24"/>
    </w:rPr>
  </w:style>
  <w:style w:type="character" w:customStyle="1" w:styleId="OdstavekseznamaZnak">
    <w:name w:val="Odstavek seznama Znak"/>
    <w:aliases w:val="naslov 1 Znak,Odstavek seznama_IP Znak,Seznam_IP_1 Znak"/>
    <w:basedOn w:val="Privzetapisavaodstavka"/>
    <w:link w:val="Odstavekseznama"/>
    <w:uiPriority w:val="34"/>
    <w:locked/>
    <w:rsid w:val="005E5D9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543251787">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 w:id="21172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8A9CFCD-CE9F-43C4-AB26-352719C7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1012</Words>
  <Characters>6591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36</cp:revision>
  <cp:lastPrinted>2020-06-11T12:03:00Z</cp:lastPrinted>
  <dcterms:created xsi:type="dcterms:W3CDTF">2020-06-11T06:04:00Z</dcterms:created>
  <dcterms:modified xsi:type="dcterms:W3CDTF">2020-09-03T06:24:00Z</dcterms:modified>
</cp:coreProperties>
</file>