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294D9" w14:textId="2E195CD7" w:rsidR="008F4D21" w:rsidRPr="00F37A7A" w:rsidRDefault="00301EC3" w:rsidP="004D014F">
      <w:pPr>
        <w:pStyle w:val="Odstavekseznama"/>
        <w:numPr>
          <w:ilvl w:val="0"/>
          <w:numId w:val="1"/>
        </w:numPr>
        <w:rPr>
          <w:b/>
          <w:bCs/>
        </w:rPr>
      </w:pPr>
      <w:r w:rsidRPr="00F37A7A">
        <w:rPr>
          <w:b/>
          <w:bCs/>
        </w:rPr>
        <w:t>Izračun načrtovanih letnih prihodkov in odhodkov za enoto KO-RA</w:t>
      </w:r>
    </w:p>
    <w:p w14:paraId="1DC8960E" w14:textId="77777777" w:rsidR="005755F1" w:rsidRPr="00F37A7A" w:rsidRDefault="005755F1" w:rsidP="009A66B7">
      <w:pPr>
        <w:pStyle w:val="Odstavekseznama"/>
        <w:spacing w:after="0" w:line="240" w:lineRule="auto"/>
        <w:ind w:left="360"/>
        <w:jc w:val="both"/>
      </w:pPr>
    </w:p>
    <w:p w14:paraId="05F7BD20" w14:textId="7652E357" w:rsidR="005755F1" w:rsidRPr="00F37A7A" w:rsidRDefault="005755F1" w:rsidP="009A66B7">
      <w:pPr>
        <w:pStyle w:val="Odstavekseznama"/>
        <w:spacing w:after="0" w:line="240" w:lineRule="auto"/>
        <w:ind w:left="360"/>
        <w:jc w:val="both"/>
        <w:rPr>
          <w:b/>
          <w:bCs/>
        </w:rPr>
      </w:pPr>
      <w:r w:rsidRPr="00F37A7A">
        <w:rPr>
          <w:b/>
          <w:bCs/>
        </w:rPr>
        <w:t>Upoštevani predpisi:</w:t>
      </w:r>
    </w:p>
    <w:p w14:paraId="068AF33B" w14:textId="75991977" w:rsidR="009A66B7" w:rsidRPr="00F37A7A" w:rsidRDefault="005755F1" w:rsidP="009A66B7">
      <w:pPr>
        <w:pStyle w:val="Odstavekseznama"/>
        <w:spacing w:after="0" w:line="240" w:lineRule="auto"/>
        <w:ind w:left="360"/>
        <w:jc w:val="both"/>
      </w:pPr>
      <w:r w:rsidRPr="00F37A7A">
        <w:t>Za</w:t>
      </w:r>
      <w:r w:rsidR="009A66B7" w:rsidRPr="00F37A7A">
        <w:t xml:space="preserve"> področj</w:t>
      </w:r>
      <w:r w:rsidRPr="00F37A7A">
        <w:t>e</w:t>
      </w:r>
      <w:r w:rsidR="009A66B7" w:rsidRPr="00F37A7A">
        <w:t xml:space="preserve"> socialnega varstva sta bila pri izračunih prihodkov</w:t>
      </w:r>
      <w:r w:rsidRPr="00F37A7A">
        <w:t xml:space="preserve"> oz. odhodkov</w:t>
      </w:r>
      <w:r w:rsidR="009A66B7" w:rsidRPr="00F37A7A">
        <w:t xml:space="preserve"> upoštevana dva osnovna predpisa</w:t>
      </w:r>
      <w:r w:rsidR="006A5F08">
        <w:t>:</w:t>
      </w:r>
    </w:p>
    <w:p w14:paraId="18C5DDE9" w14:textId="19BF8315" w:rsidR="009A66B7" w:rsidRPr="00F37A7A" w:rsidRDefault="009A66B7" w:rsidP="009A66B7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Pravilnik o standardih in normativih socialnovarstvenih storitev (Uradni list RS, št.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45/10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28/11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104/11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111/13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102/15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76/17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54/19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 in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81/19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) </w:t>
      </w:r>
      <w:r w:rsidR="00C5776E" w:rsidRPr="00F37A7A">
        <w:rPr>
          <w:rFonts w:ascii="Calibri" w:eastAsia="Times New Roman" w:hAnsi="Calibri" w:cs="Calibri"/>
          <w:color w:val="000000"/>
          <w:lang w:eastAsia="sl-SI"/>
        </w:rPr>
        <w:t xml:space="preserve">– Pravilnik </w:t>
      </w:r>
    </w:p>
    <w:p w14:paraId="5CCE69F7" w14:textId="77777777" w:rsidR="00CA05CA" w:rsidRPr="00F37A7A" w:rsidRDefault="005755F1" w:rsidP="005755F1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Pravilnik o metodologiji za oblikovanje cen socialno varstvenih storitev (Uradni list RS, št.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87/06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127/06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8/07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51/08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,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5/09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 in </w:t>
      </w:r>
      <w:r w:rsidRPr="00F37A7A">
        <w:rPr>
          <w:rFonts w:ascii="Calibri" w:eastAsia="Times New Roman" w:hAnsi="Calibri" w:cs="Calibri"/>
          <w:color w:val="000000"/>
          <w:u w:val="single"/>
          <w:lang w:eastAsia="sl-SI"/>
        </w:rPr>
        <w:t>6/12</w:t>
      </w:r>
      <w:r w:rsidRPr="00F37A7A">
        <w:rPr>
          <w:rFonts w:ascii="Calibri" w:eastAsia="Times New Roman" w:hAnsi="Calibri" w:cs="Calibri"/>
          <w:color w:val="000000"/>
          <w:lang w:eastAsia="sl-SI"/>
        </w:rPr>
        <w:t>)</w:t>
      </w:r>
      <w:r w:rsidR="00C5776E" w:rsidRPr="00F37A7A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CA05CA" w:rsidRPr="00F37A7A">
        <w:rPr>
          <w:rFonts w:ascii="Calibri" w:eastAsia="Times New Roman" w:hAnsi="Calibri" w:cs="Calibri"/>
          <w:color w:val="000000"/>
          <w:lang w:eastAsia="sl-SI"/>
        </w:rPr>
        <w:t>–</w:t>
      </w:r>
      <w:r w:rsidR="00C5776E" w:rsidRPr="00F37A7A">
        <w:rPr>
          <w:rFonts w:ascii="Calibri" w:eastAsia="Times New Roman" w:hAnsi="Calibri" w:cs="Calibri"/>
          <w:color w:val="000000"/>
          <w:lang w:eastAsia="sl-SI"/>
        </w:rPr>
        <w:t xml:space="preserve"> Pravilnik</w:t>
      </w:r>
      <w:r w:rsidR="00CA05CA" w:rsidRPr="00F37A7A">
        <w:rPr>
          <w:rFonts w:cstheme="minorHAnsi"/>
        </w:rPr>
        <w:t xml:space="preserve"> </w:t>
      </w:r>
    </w:p>
    <w:p w14:paraId="4B9FE6B2" w14:textId="31893BC4" w:rsidR="00DC45AF" w:rsidRPr="00F37A7A" w:rsidRDefault="00333A56" w:rsidP="00E70677">
      <w:pPr>
        <w:pStyle w:val="Odstavekseznam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bookmarkStart w:id="0" w:name="_Hlk46848047"/>
      <w:r w:rsidRPr="00F37A7A">
        <w:rPr>
          <w:rFonts w:ascii="Calibri" w:eastAsia="Times New Roman" w:hAnsi="Calibri" w:cs="Calibri"/>
          <w:color w:val="000000"/>
          <w:lang w:eastAsia="sl-SI"/>
        </w:rPr>
        <w:t>Sklep o določitvi standarda povprečne plače ter stroškov in odhodkov storitev oskrbe institucionalnega varstva (UL RS št. 9/2020)</w:t>
      </w:r>
      <w:r w:rsidR="00766C7B" w:rsidRPr="00F37A7A">
        <w:rPr>
          <w:rFonts w:ascii="Calibri" w:eastAsia="Times New Roman" w:hAnsi="Calibri" w:cs="Calibri"/>
          <w:color w:val="000000"/>
          <w:lang w:eastAsia="sl-SI"/>
        </w:rPr>
        <w:t xml:space="preserve"> - Sklep</w:t>
      </w:r>
    </w:p>
    <w:p w14:paraId="6961E0BC" w14:textId="2638D31D" w:rsidR="00333A56" w:rsidRPr="00F37A7A" w:rsidRDefault="00333A56" w:rsidP="00E70677">
      <w:pPr>
        <w:pStyle w:val="Odstavekseznama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>Rast elementov cen socialno varstvenih storitev za leto 2020 (UL RS št. 9/2020).</w:t>
      </w:r>
    </w:p>
    <w:bookmarkEnd w:id="0"/>
    <w:p w14:paraId="68A07B51" w14:textId="1E1734CB" w:rsidR="009A66B7" w:rsidRPr="00F37A7A" w:rsidRDefault="009A66B7" w:rsidP="009A66B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28815DFE" w14:textId="563B3F92" w:rsidR="005755F1" w:rsidRPr="00F37A7A" w:rsidRDefault="005755F1" w:rsidP="005755F1">
      <w:pPr>
        <w:pStyle w:val="Odstavekseznama"/>
        <w:spacing w:after="0" w:line="240" w:lineRule="auto"/>
        <w:ind w:left="360"/>
        <w:jc w:val="both"/>
      </w:pPr>
      <w:r w:rsidRPr="00F37A7A">
        <w:t xml:space="preserve">Za področje zdravstvenega varstva je  bil pri izračunih prihodkov oz. odhodkov upoštevan: </w:t>
      </w:r>
    </w:p>
    <w:p w14:paraId="4E2D18F4" w14:textId="78C6A8F0" w:rsidR="009A66B7" w:rsidRPr="00F37A7A" w:rsidRDefault="009A66B7" w:rsidP="005755F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>Splošni dogovor ZZZS za pogodbeno leto 2020</w:t>
      </w:r>
      <w:r w:rsidR="00681578">
        <w:rPr>
          <w:rFonts w:ascii="Calibri" w:eastAsia="Times New Roman" w:hAnsi="Calibri" w:cs="Calibri"/>
          <w:color w:val="000000"/>
          <w:lang w:eastAsia="sl-SI"/>
        </w:rPr>
        <w:t>,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 s katerim  partnerji določijo program zdravstvenih storitev in izhodišča za njegovo izvajanje ter oblikovanje cen v Republiki Sloveniji za pogodbeno leto 2020</w:t>
      </w:r>
      <w:r w:rsidR="008B25CA" w:rsidRPr="00F37A7A">
        <w:rPr>
          <w:rFonts w:ascii="Calibri" w:eastAsia="Times New Roman" w:hAnsi="Calibri" w:cs="Calibri"/>
          <w:color w:val="000000"/>
          <w:lang w:eastAsia="sl-SI"/>
        </w:rPr>
        <w:t xml:space="preserve"> (v nadaljevanju Splošni dogovor</w:t>
      </w:r>
      <w:r w:rsidR="00890DD0" w:rsidRPr="00F37A7A">
        <w:rPr>
          <w:rFonts w:ascii="Calibri" w:eastAsia="Times New Roman" w:hAnsi="Calibri" w:cs="Calibri"/>
          <w:color w:val="000000"/>
          <w:lang w:eastAsia="sl-SI"/>
        </w:rPr>
        <w:t xml:space="preserve"> za zdravstvo</w:t>
      </w:r>
      <w:r w:rsidR="008B25CA" w:rsidRPr="00F37A7A">
        <w:rPr>
          <w:rFonts w:ascii="Calibri" w:eastAsia="Times New Roman" w:hAnsi="Calibri" w:cs="Calibri"/>
          <w:color w:val="000000"/>
          <w:lang w:eastAsia="sl-SI"/>
        </w:rPr>
        <w:t>).</w:t>
      </w:r>
    </w:p>
    <w:p w14:paraId="7205AE82" w14:textId="6A71A2D6" w:rsidR="00301EC3" w:rsidRPr="00F37A7A" w:rsidRDefault="00301EC3" w:rsidP="0094311A">
      <w:pPr>
        <w:pStyle w:val="Odstavekseznama"/>
        <w:spacing w:after="0"/>
        <w:ind w:left="357"/>
      </w:pPr>
    </w:p>
    <w:p w14:paraId="24776956" w14:textId="497999F5" w:rsidR="009A66B7" w:rsidRPr="00F37A7A" w:rsidRDefault="00986949" w:rsidP="00621502">
      <w:pPr>
        <w:pStyle w:val="Odstavekseznama"/>
        <w:spacing w:after="0" w:line="240" w:lineRule="auto"/>
        <w:ind w:left="357"/>
        <w:jc w:val="both"/>
        <w:rPr>
          <w:b/>
          <w:bCs/>
        </w:rPr>
      </w:pPr>
      <w:r w:rsidRPr="00F37A7A">
        <w:rPr>
          <w:b/>
          <w:bCs/>
        </w:rPr>
        <w:t xml:space="preserve">Kapacitete in število storitev: </w:t>
      </w:r>
    </w:p>
    <w:p w14:paraId="2480DDDC" w14:textId="00216162" w:rsidR="00BF4C07" w:rsidRPr="00F37A7A" w:rsidRDefault="00BF4C07" w:rsidP="0094311A">
      <w:pPr>
        <w:pStyle w:val="Odstavekseznama"/>
        <w:spacing w:after="0" w:line="240" w:lineRule="auto"/>
        <w:ind w:left="357"/>
        <w:jc w:val="both"/>
      </w:pPr>
      <w:r w:rsidRPr="00F37A7A">
        <w:t>Kot osnovno izhodišče za izračun skupnih prihodkov so načrtovane kapacitete</w:t>
      </w:r>
      <w:r w:rsidR="00410012" w:rsidRPr="00F37A7A">
        <w:t xml:space="preserve"> po izdelanih projektih za enoto KO-RA. Predvidenih je </w:t>
      </w:r>
      <w:r w:rsidRPr="00F37A7A">
        <w:t xml:space="preserve">18 mest za kratkotrajne namestitve in 14 mest za dnevno varstvo.  </w:t>
      </w:r>
      <w:r w:rsidR="00410012" w:rsidRPr="00F37A7A">
        <w:t xml:space="preserve">Skladno </w:t>
      </w:r>
      <w:r w:rsidR="00621502" w:rsidRPr="00F37A7A">
        <w:t>z navedenim</w:t>
      </w:r>
      <w:r w:rsidR="00883605">
        <w:t>i</w:t>
      </w:r>
      <w:r w:rsidR="00621502" w:rsidRPr="00F37A7A">
        <w:t xml:space="preserve"> pravilniki</w:t>
      </w:r>
      <w:r w:rsidR="00410012" w:rsidRPr="00F37A7A">
        <w:t xml:space="preserve"> </w:t>
      </w:r>
      <w:r w:rsidR="00883605">
        <w:t>je predvideno</w:t>
      </w:r>
      <w:r w:rsidR="00410012" w:rsidRPr="00F37A7A">
        <w:t xml:space="preserve">, da bodo storitve kratkotrajnih namestitev na letni ravni realizirane v višin 90 % od vseh kapacitet in za dnevno varstvo v višini 98%.  S tem bi na letni ravni bilo izvedenih 5.913 dni storitev kratkotrajnih namestitev in 5.008 dni dnevnega varstva.  </w:t>
      </w:r>
    </w:p>
    <w:p w14:paraId="5AA7553B" w14:textId="77777777" w:rsidR="009E2B33" w:rsidRPr="00F37A7A" w:rsidRDefault="009E2B33" w:rsidP="0094311A">
      <w:pPr>
        <w:pStyle w:val="Odstavekseznama"/>
        <w:spacing w:after="0" w:line="240" w:lineRule="auto"/>
        <w:ind w:left="357"/>
        <w:jc w:val="both"/>
      </w:pPr>
    </w:p>
    <w:p w14:paraId="0FAE027A" w14:textId="4F47EEFC" w:rsidR="00621502" w:rsidRPr="00F37A7A" w:rsidRDefault="00621502" w:rsidP="0094311A">
      <w:pPr>
        <w:pStyle w:val="Odstavekseznama"/>
        <w:spacing w:after="0" w:line="240" w:lineRule="auto"/>
        <w:ind w:left="357"/>
        <w:jc w:val="both"/>
      </w:pPr>
      <w:r w:rsidRPr="00F37A7A">
        <w:t xml:space="preserve">Za zdravstveno dejavnost bo skupno realiziranih 10.922 dni zdravstvene nege in 1.634 točk pri izvajanju ambulantne dejavnosti za uporabnike kratkotrajnih namestitev. </w:t>
      </w:r>
    </w:p>
    <w:p w14:paraId="15A80A66" w14:textId="6AA39E27" w:rsidR="000B6C59" w:rsidRPr="00F37A7A" w:rsidRDefault="000B6C59" w:rsidP="0094311A">
      <w:pPr>
        <w:pStyle w:val="Odstavekseznama"/>
        <w:spacing w:after="0" w:line="240" w:lineRule="auto"/>
        <w:ind w:left="357"/>
        <w:jc w:val="both"/>
      </w:pPr>
    </w:p>
    <w:p w14:paraId="30D0B36D" w14:textId="559A6278" w:rsidR="009E2B33" w:rsidRPr="00047F9F" w:rsidRDefault="009E2B33" w:rsidP="00047F9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047F9F">
        <w:rPr>
          <w:b/>
          <w:bCs/>
        </w:rPr>
        <w:t>Izračun prihodkov na letni ravni:</w:t>
      </w:r>
    </w:p>
    <w:p w14:paraId="427A1449" w14:textId="33C0D2EA" w:rsidR="00883605" w:rsidRDefault="009E2B33" w:rsidP="0094311A">
      <w:pPr>
        <w:pStyle w:val="Odstavekseznama"/>
        <w:spacing w:after="0" w:line="240" w:lineRule="auto"/>
        <w:ind w:left="357"/>
        <w:jc w:val="both"/>
      </w:pPr>
      <w:r w:rsidRPr="00F37A7A">
        <w:t xml:space="preserve">Pri izračunu cen </w:t>
      </w:r>
      <w:r w:rsidR="008B25CA" w:rsidRPr="00F37A7A">
        <w:t xml:space="preserve">socialnovarstvenih storitev in zdravstvenih storitev </w:t>
      </w:r>
      <w:r w:rsidR="00681578">
        <w:t>je</w:t>
      </w:r>
      <w:r w:rsidRPr="00F37A7A">
        <w:t xml:space="preserve"> upor</w:t>
      </w:r>
      <w:r w:rsidR="00681578">
        <w:t>abljena</w:t>
      </w:r>
      <w:r w:rsidRPr="00F37A7A">
        <w:t xml:space="preserve"> predpisan</w:t>
      </w:r>
      <w:r w:rsidR="00681578">
        <w:t>a</w:t>
      </w:r>
      <w:r w:rsidRPr="00F37A7A">
        <w:t xml:space="preserve"> metodologijo iz navedenih pravilnikov</w:t>
      </w:r>
      <w:r w:rsidR="008B25CA" w:rsidRPr="00F37A7A">
        <w:t xml:space="preserve"> ter Splošni dogovor</w:t>
      </w:r>
      <w:r w:rsidR="00890DD0" w:rsidRPr="00F37A7A">
        <w:t xml:space="preserve"> za zdravstvo.</w:t>
      </w:r>
      <w:r w:rsidR="008B25CA" w:rsidRPr="00F37A7A">
        <w:t xml:space="preserve"> Izračun cen socialno varstvenih storitev temelji  na predpisanih znanih </w:t>
      </w:r>
      <w:proofErr w:type="spellStart"/>
      <w:r w:rsidR="0033710C" w:rsidRPr="00F37A7A">
        <w:t>kalkulativnih</w:t>
      </w:r>
      <w:proofErr w:type="spellEnd"/>
      <w:r w:rsidR="0033710C" w:rsidRPr="00F37A7A">
        <w:t xml:space="preserve"> elementih (stroški materiala in storitev, stroški plač in drugi stroški v povezavi z delom in stroški amortizacije ter ostali stroški</w:t>
      </w:r>
      <w:r w:rsidR="00883605">
        <w:t>).</w:t>
      </w:r>
    </w:p>
    <w:p w14:paraId="0385DFAC" w14:textId="076829B0" w:rsidR="00883605" w:rsidRPr="00F37A7A" w:rsidRDefault="00883605" w:rsidP="0088360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>Sklep o določitvi standarda povprečne plače ter stroškov in odhodkov storitev oskrbe institucionalnega varstva (UL RS št. 9/2020) - Sklep</w:t>
      </w:r>
    </w:p>
    <w:p w14:paraId="41E28667" w14:textId="77777777" w:rsidR="00883605" w:rsidRPr="00F37A7A" w:rsidRDefault="00883605" w:rsidP="0088360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>Rast elementov cen socialno varstvenih storitev za leto 2020 (UL RS št. 9/2020).</w:t>
      </w:r>
    </w:p>
    <w:p w14:paraId="6117C039" w14:textId="77777777" w:rsidR="00883605" w:rsidRDefault="00883605" w:rsidP="0094311A">
      <w:pPr>
        <w:pStyle w:val="Odstavekseznama"/>
        <w:spacing w:after="0" w:line="240" w:lineRule="auto"/>
        <w:ind w:left="357"/>
        <w:jc w:val="both"/>
      </w:pPr>
    </w:p>
    <w:p w14:paraId="261E8229" w14:textId="67363A20" w:rsidR="009E2B33" w:rsidRPr="00F37A7A" w:rsidRDefault="000B6C59" w:rsidP="0094311A">
      <w:pPr>
        <w:pStyle w:val="Odstavekseznama"/>
        <w:spacing w:after="0" w:line="240" w:lineRule="auto"/>
        <w:ind w:left="357"/>
        <w:jc w:val="both"/>
      </w:pPr>
      <w:r w:rsidRPr="00F37A7A">
        <w:t xml:space="preserve">Cene storitev zdravstvene nege in ambulantnih storitev so bile določene v višini kot jih določa Splošni dogovor za zdravstvo za leto 2020. </w:t>
      </w:r>
    </w:p>
    <w:p w14:paraId="39831B50" w14:textId="77777777" w:rsidR="000B6C59" w:rsidRPr="00F37A7A" w:rsidRDefault="000B6C59" w:rsidP="000B6C59">
      <w:pPr>
        <w:spacing w:after="0" w:line="240" w:lineRule="auto"/>
        <w:jc w:val="both"/>
      </w:pPr>
    </w:p>
    <w:p w14:paraId="420B16C9" w14:textId="28EF3A28" w:rsidR="000B6C59" w:rsidRPr="00F37A7A" w:rsidRDefault="000B6C59" w:rsidP="000B6C59">
      <w:pPr>
        <w:spacing w:after="0" w:line="240" w:lineRule="auto"/>
        <w:ind w:left="357"/>
        <w:jc w:val="both"/>
      </w:pPr>
      <w:r w:rsidRPr="00F37A7A">
        <w:t xml:space="preserve">Na osnovi </w:t>
      </w:r>
      <w:r w:rsidR="00883605">
        <w:t xml:space="preserve">števila </w:t>
      </w:r>
      <w:r w:rsidRPr="00F37A7A">
        <w:t xml:space="preserve">storitev in </w:t>
      </w:r>
      <w:r w:rsidR="00883605">
        <w:t xml:space="preserve">določenih </w:t>
      </w:r>
      <w:r w:rsidRPr="00F37A7A">
        <w:t>cen</w:t>
      </w:r>
      <w:r w:rsidR="00EF1DAD">
        <w:t xml:space="preserve"> je</w:t>
      </w:r>
      <w:r w:rsidRPr="00F37A7A">
        <w:t xml:space="preserve"> izračun</w:t>
      </w:r>
      <w:r w:rsidR="00EF1DAD">
        <w:t>an</w:t>
      </w:r>
      <w:r w:rsidRPr="00F37A7A">
        <w:t xml:space="preserve"> skupn</w:t>
      </w:r>
      <w:r w:rsidR="00EF1DAD">
        <w:t>i</w:t>
      </w:r>
      <w:r w:rsidRPr="00F37A7A">
        <w:t xml:space="preserve"> prihod</w:t>
      </w:r>
      <w:r w:rsidR="00EF1DAD">
        <w:t>e</w:t>
      </w:r>
      <w:r w:rsidRPr="00F37A7A">
        <w:t xml:space="preserve">k na letni ravni v skupni višin  </w:t>
      </w:r>
      <w:r w:rsidRPr="00F37A7A">
        <w:rPr>
          <w:b/>
          <w:bCs/>
        </w:rPr>
        <w:t>489.188,45 EUR.</w:t>
      </w:r>
      <w:r w:rsidRPr="00F37A7A">
        <w:t xml:space="preserve"> Od tega 328.502,04 EUR od </w:t>
      </w:r>
      <w:r w:rsidR="00444F9D" w:rsidRPr="00F37A7A">
        <w:t xml:space="preserve">storitev </w:t>
      </w:r>
      <w:r w:rsidRPr="00F37A7A">
        <w:t>socialn</w:t>
      </w:r>
      <w:r w:rsidR="00444F9D" w:rsidRPr="00F37A7A">
        <w:t>ega</w:t>
      </w:r>
      <w:r w:rsidRPr="00F37A7A">
        <w:t xml:space="preserve"> varst</w:t>
      </w:r>
      <w:r w:rsidR="00444F9D" w:rsidRPr="00F37A7A">
        <w:t>va</w:t>
      </w:r>
      <w:r w:rsidRPr="00F37A7A">
        <w:t xml:space="preserve"> in 160.686,41 EUR od storitev zdravstvene dejavnosti. </w:t>
      </w:r>
      <w:r w:rsidR="00D06677" w:rsidRPr="00F37A7A">
        <w:t>Podrobnejša členitev prihodkov je razvidna v priloženi tabeli</w:t>
      </w:r>
      <w:r w:rsidR="002313EB" w:rsidRPr="00F37A7A">
        <w:t xml:space="preserve"> 1</w:t>
      </w:r>
      <w:r w:rsidR="00D06677" w:rsidRPr="00F37A7A">
        <w:t xml:space="preserve">. </w:t>
      </w:r>
    </w:p>
    <w:p w14:paraId="12D1E54E" w14:textId="385048C1" w:rsidR="009A66B7" w:rsidRPr="00F37A7A" w:rsidRDefault="009A66B7" w:rsidP="0094311A">
      <w:pPr>
        <w:pStyle w:val="Odstavekseznama"/>
        <w:spacing w:after="0" w:line="240" w:lineRule="auto"/>
        <w:ind w:left="357"/>
        <w:jc w:val="both"/>
      </w:pPr>
    </w:p>
    <w:p w14:paraId="7B03DC6A" w14:textId="01E18EC0" w:rsidR="00D06677" w:rsidRPr="00047F9F" w:rsidRDefault="004E40C8" w:rsidP="00047F9F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047F9F">
        <w:rPr>
          <w:b/>
          <w:bCs/>
        </w:rPr>
        <w:t>Izračun stroškov na letni ravni</w:t>
      </w:r>
    </w:p>
    <w:p w14:paraId="54DAD2B5" w14:textId="72CA112C" w:rsidR="00883605" w:rsidRPr="00883605" w:rsidRDefault="00883605" w:rsidP="00883605">
      <w:pPr>
        <w:spacing w:after="0" w:line="240" w:lineRule="auto"/>
        <w:ind w:firstLine="357"/>
        <w:jc w:val="both"/>
        <w:rPr>
          <w:b/>
          <w:bCs/>
        </w:rPr>
      </w:pPr>
      <w:r w:rsidRPr="00883605">
        <w:t>Skupni stroški na letni ravni bodo predvidoma znašali</w:t>
      </w:r>
      <w:r w:rsidRPr="00883605">
        <w:rPr>
          <w:b/>
          <w:bCs/>
        </w:rPr>
        <w:t xml:space="preserve"> 489.188,45 EUR.</w:t>
      </w:r>
    </w:p>
    <w:p w14:paraId="1BE339E0" w14:textId="77777777" w:rsidR="00883605" w:rsidRDefault="00883605" w:rsidP="0094311A">
      <w:pPr>
        <w:pStyle w:val="Odstavekseznama"/>
        <w:spacing w:after="0" w:line="240" w:lineRule="auto"/>
        <w:ind w:left="357"/>
        <w:jc w:val="both"/>
        <w:rPr>
          <w:b/>
          <w:bCs/>
        </w:rPr>
      </w:pPr>
    </w:p>
    <w:p w14:paraId="75914947" w14:textId="44AF808B" w:rsidR="00750CE8" w:rsidRPr="00F37A7A" w:rsidRDefault="00750CE8" w:rsidP="0094311A">
      <w:pPr>
        <w:pStyle w:val="Odstavekseznama"/>
        <w:spacing w:after="0" w:line="240" w:lineRule="auto"/>
        <w:ind w:left="357"/>
        <w:jc w:val="both"/>
        <w:rPr>
          <w:b/>
          <w:bCs/>
        </w:rPr>
      </w:pPr>
      <w:r w:rsidRPr="00F37A7A">
        <w:rPr>
          <w:b/>
          <w:bCs/>
        </w:rPr>
        <w:t>Stroški plač in kadri:</w:t>
      </w:r>
    </w:p>
    <w:p w14:paraId="21867520" w14:textId="056F2B1B" w:rsidR="000B6C59" w:rsidRPr="00F37A7A" w:rsidRDefault="004E40C8" w:rsidP="0094311A">
      <w:pPr>
        <w:pStyle w:val="Odstavekseznama"/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F37A7A">
        <w:t>Najvišji strošek predstavlja strošek dela (7</w:t>
      </w:r>
      <w:r w:rsidR="00286BC4">
        <w:t>2</w:t>
      </w:r>
      <w:r w:rsidRPr="00F37A7A">
        <w:t>,</w:t>
      </w:r>
      <w:r w:rsidR="00286BC4">
        <w:t>9</w:t>
      </w:r>
      <w:r w:rsidRPr="00F37A7A">
        <w:t xml:space="preserve"> %).  Predvidoma bo </w:t>
      </w:r>
      <w:r w:rsidR="00883605">
        <w:t xml:space="preserve">celotni </w:t>
      </w:r>
      <w:r w:rsidRPr="00F37A7A">
        <w:t>strošek dela na delavca mesečno znašal 1.6</w:t>
      </w:r>
      <w:r w:rsidR="00E106C8">
        <w:t>5</w:t>
      </w:r>
      <w:r w:rsidRPr="00F37A7A">
        <w:t xml:space="preserve">0,00 EUR. Konkretna višina plač za posamezni profil zaposlenih bo določena  </w:t>
      </w:r>
      <w:r w:rsidRPr="00F37A7A">
        <w:lastRenderedPageBreak/>
        <w:t xml:space="preserve">skladno s  predpisi </w:t>
      </w:r>
      <w:r w:rsidR="00CC487D" w:rsidRPr="00F37A7A">
        <w:t xml:space="preserve">o plačah </w:t>
      </w:r>
      <w:r w:rsidRPr="00F37A7A">
        <w:t>za javni sektor in Kolektivn</w:t>
      </w:r>
      <w:r w:rsidR="00883605">
        <w:t>o</w:t>
      </w:r>
      <w:r w:rsidRPr="00F37A7A">
        <w:t xml:space="preserve"> pogodb</w:t>
      </w:r>
      <w:r w:rsidR="00883605">
        <w:t>o</w:t>
      </w:r>
      <w:r w:rsidRPr="00F37A7A">
        <w:t xml:space="preserve"> z dejavnost zdravstva in socialnega varstva. Osnovno izhodišče je število zaposlenih izračunano na osnovi kadrovskih normativov po Pravilniku </w:t>
      </w:r>
      <w:r w:rsidRPr="00F37A7A">
        <w:rPr>
          <w:rFonts w:ascii="Calibri" w:eastAsia="Times New Roman" w:hAnsi="Calibri" w:cs="Calibri"/>
          <w:color w:val="000000"/>
          <w:lang w:eastAsia="sl-SI"/>
        </w:rPr>
        <w:t>o standardih in normativih socialnovarstvenih storitev. Za enoto KO-RA je po navedenih normativih izračunano 18 zaposlenih</w:t>
      </w:r>
      <w:r w:rsidR="00750CE8" w:rsidRPr="00F37A7A">
        <w:rPr>
          <w:rFonts w:ascii="Calibri" w:eastAsia="Times New Roman" w:hAnsi="Calibri" w:cs="Calibri"/>
          <w:color w:val="000000"/>
          <w:lang w:eastAsia="sl-SI"/>
        </w:rPr>
        <w:t xml:space="preserve"> in sicer 11 za področje socialnega varstva in 7 za področje zdravstva. </w:t>
      </w:r>
    </w:p>
    <w:p w14:paraId="3AD2BDDE" w14:textId="41CABDBF" w:rsidR="007C5ED3" w:rsidRPr="00F37A7A" w:rsidRDefault="007C5ED3" w:rsidP="0094311A">
      <w:pPr>
        <w:pStyle w:val="Odstavekseznama"/>
        <w:spacing w:after="0" w:line="240" w:lineRule="auto"/>
        <w:ind w:left="357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19DE28E6" w14:textId="40A11D27" w:rsidR="007C5ED3" w:rsidRPr="00F37A7A" w:rsidRDefault="007C5ED3" w:rsidP="0094311A">
      <w:pPr>
        <w:pStyle w:val="Odstavekseznama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F37A7A">
        <w:rPr>
          <w:rFonts w:ascii="Calibri" w:eastAsia="Times New Roman" w:hAnsi="Calibri" w:cs="Calibri"/>
          <w:b/>
          <w:bCs/>
          <w:color w:val="000000"/>
          <w:lang w:eastAsia="sl-SI"/>
        </w:rPr>
        <w:t>Stroški amortizacije:</w:t>
      </w:r>
    </w:p>
    <w:p w14:paraId="219F7E7C" w14:textId="58AB4532" w:rsidR="007C5ED3" w:rsidRPr="00F37A7A" w:rsidRDefault="007C5ED3" w:rsidP="007C5ED3">
      <w:pPr>
        <w:spacing w:after="0" w:line="240" w:lineRule="auto"/>
        <w:ind w:left="357"/>
        <w:jc w:val="both"/>
        <w:rPr>
          <w:rFonts w:ascii="Calibri" w:eastAsia="Times New Roman" w:hAnsi="Calibri" w:cs="Calibri"/>
          <w:lang w:eastAsia="sl-SI"/>
        </w:rPr>
      </w:pP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Celotna obračunana amortizacija znaša 62.971,60 EUR in je izračunana na osnovi predpisanih amortizacijskih letnih stopenj - </w:t>
      </w:r>
      <w:bookmarkStart w:id="1" w:name="_Hlk46846513"/>
      <w:r w:rsidRPr="00F37A7A">
        <w:rPr>
          <w:rFonts w:cstheme="minorHAnsi"/>
        </w:rPr>
        <w:t xml:space="preserve">Pravilnik o načinu in stopnjah odpisa neopredmetenih sredstev in opredmetenih osnovnih sredstev (Uradni list RS, št. </w:t>
      </w:r>
      <w:hyperlink r:id="rId5" w:tgtFrame="_blank" w:tooltip="Pravilnik o načinu in stopnjah odpisa neopredmetenih sredstev in opredmetenih osnovnih sredstev" w:history="1">
        <w:r w:rsidRPr="00F37A7A">
          <w:rPr>
            <w:rFonts w:cstheme="minorHAnsi"/>
            <w:u w:val="single"/>
          </w:rPr>
          <w:t>45/05</w:t>
        </w:r>
      </w:hyperlink>
      <w:r w:rsidRPr="00F37A7A">
        <w:rPr>
          <w:rFonts w:cstheme="minorHAnsi"/>
        </w:rPr>
        <w:t xml:space="preserve">, </w:t>
      </w:r>
      <w:hyperlink r:id="rId6" w:tgtFrame="_blank" w:tooltip="Pravilnik o spremembah in dopolnitvah Pravilnika o načinu in stopnjah odpisa neopredmetenih dolgoročnih sredstev in opredmetenih osnovnih sredstev" w:history="1">
        <w:r w:rsidRPr="00F37A7A">
          <w:rPr>
            <w:rFonts w:cstheme="minorHAnsi"/>
            <w:u w:val="single"/>
          </w:rPr>
          <w:t>138/06</w:t>
        </w:r>
      </w:hyperlink>
      <w:r w:rsidRPr="00F37A7A">
        <w:rPr>
          <w:rFonts w:cstheme="minorHAnsi"/>
        </w:rPr>
        <w:t xml:space="preserve">, </w:t>
      </w:r>
      <w:hyperlink r:id="rId7" w:tgtFrame="_blank" w:tooltip="Pravilnik o spremembi Pravilnika o načinu in stopnjah odpisa neopredmetenih sredstev in opredmetenih osnovnih sredstev" w:history="1">
        <w:r w:rsidRPr="00F37A7A">
          <w:rPr>
            <w:rFonts w:cstheme="minorHAnsi"/>
            <w:u w:val="single"/>
          </w:rPr>
          <w:t>120/07</w:t>
        </w:r>
      </w:hyperlink>
      <w:r w:rsidRPr="00F37A7A">
        <w:rPr>
          <w:rFonts w:cstheme="minorHAnsi"/>
        </w:rPr>
        <w:t xml:space="preserve">, </w:t>
      </w:r>
      <w:hyperlink r:id="rId8" w:tgtFrame="_blank" w:tooltip="Pravilnik o dopolnitvi in spremembah Pravilnika o načinu in stopnjah odpisa neopredmetenih sredstev in opredmetenih osnovnih sredstev" w:history="1">
        <w:r w:rsidRPr="00F37A7A">
          <w:rPr>
            <w:rFonts w:cstheme="minorHAnsi"/>
            <w:u w:val="single"/>
          </w:rPr>
          <w:t>48/09</w:t>
        </w:r>
      </w:hyperlink>
      <w:r w:rsidRPr="00F37A7A">
        <w:rPr>
          <w:rFonts w:cstheme="minorHAnsi"/>
        </w:rPr>
        <w:t xml:space="preserve">, </w:t>
      </w:r>
      <w:hyperlink r:id="rId9" w:tgtFrame="_blank" w:tooltip="Pravilnik o spremembah in dopolnitvi Pravilnika o načinu in stopnjah odpisa neopredmetenih sredstev in opredmetenih osnovnih sredstev" w:history="1">
        <w:r w:rsidRPr="00F37A7A">
          <w:rPr>
            <w:rFonts w:cstheme="minorHAnsi"/>
            <w:u w:val="single"/>
          </w:rPr>
          <w:t>112/09</w:t>
        </w:r>
      </w:hyperlink>
      <w:r w:rsidRPr="00F37A7A">
        <w:rPr>
          <w:rFonts w:cstheme="minorHAnsi"/>
        </w:rPr>
        <w:t xml:space="preserve">, </w:t>
      </w:r>
      <w:hyperlink r:id="rId10" w:tgtFrame="_blank" w:tooltip="Pravilnik o spremembah Pravilnika o načinu in stopnjah odpisa neopredmetenih sredstev in opredmetenih osnovnih sredstev" w:history="1">
        <w:r w:rsidRPr="00F37A7A">
          <w:rPr>
            <w:rFonts w:cstheme="minorHAnsi"/>
            <w:u w:val="single"/>
          </w:rPr>
          <w:t>58/10</w:t>
        </w:r>
      </w:hyperlink>
      <w:r w:rsidRPr="00F37A7A">
        <w:rPr>
          <w:rFonts w:cstheme="minorHAnsi"/>
        </w:rPr>
        <w:t xml:space="preserve">, </w:t>
      </w:r>
      <w:hyperlink r:id="rId11" w:tgtFrame="_blank" w:tooltip="Pravilnik o spremembah in dopolnitvi Pravilnika o načinu in stopnjah odpisa neopredmetenih sredstev in opredmetenih osnovnih sredstev" w:history="1">
        <w:r w:rsidRPr="00F37A7A">
          <w:rPr>
            <w:rFonts w:cstheme="minorHAnsi"/>
            <w:u w:val="single"/>
          </w:rPr>
          <w:t>108/13</w:t>
        </w:r>
      </w:hyperlink>
      <w:r w:rsidRPr="00F37A7A">
        <w:rPr>
          <w:rFonts w:cstheme="minorHAnsi"/>
        </w:rPr>
        <w:t xml:space="preserve"> in </w:t>
      </w:r>
      <w:hyperlink r:id="rId12" w:tgtFrame="_blank" w:tooltip="Pravilnik o dopolnitvah in spremembah Pravilnika o načinu in stopnjah odpisa neopredmetenih sredstev in opredmetenih osnovnih sredstev" w:history="1">
        <w:r w:rsidRPr="00F37A7A">
          <w:rPr>
            <w:rFonts w:cstheme="minorHAnsi"/>
            <w:u w:val="single"/>
          </w:rPr>
          <w:t>100/15</w:t>
        </w:r>
      </w:hyperlink>
      <w:r w:rsidRPr="00F37A7A">
        <w:rPr>
          <w:rFonts w:cstheme="minorHAnsi"/>
        </w:rPr>
        <w:t>)</w:t>
      </w:r>
      <w:r w:rsidRPr="00F37A7A">
        <w:rPr>
          <w:rFonts w:eastAsia="Times New Roman" w:cstheme="minorHAnsi"/>
          <w:lang w:eastAsia="sl-SI"/>
        </w:rPr>
        <w:t>.</w:t>
      </w:r>
      <w:bookmarkEnd w:id="1"/>
      <w:r w:rsidRPr="00F37A7A">
        <w:rPr>
          <w:rFonts w:ascii="Calibri" w:eastAsia="Times New Roman" w:hAnsi="Calibri" w:cs="Calibri"/>
          <w:lang w:eastAsia="sl-SI"/>
        </w:rPr>
        <w:t xml:space="preserve"> </w:t>
      </w:r>
      <w:r w:rsidRPr="00F37A7A">
        <w:rPr>
          <w:rFonts w:ascii="Calibri" w:eastAsia="Times New Roman" w:hAnsi="Calibri" w:cs="Calibri"/>
          <w:color w:val="000000"/>
          <w:lang w:eastAsia="sl-SI"/>
        </w:rPr>
        <w:t>Osnova za obračun je ocenjena  vrednosti obje</w:t>
      </w:r>
      <w:r w:rsidR="00883605">
        <w:rPr>
          <w:rFonts w:ascii="Calibri" w:eastAsia="Times New Roman" w:hAnsi="Calibri" w:cs="Calibri"/>
          <w:color w:val="000000"/>
          <w:lang w:eastAsia="sl-SI"/>
        </w:rPr>
        <w:t>k</w:t>
      </w:r>
      <w:r w:rsidRPr="00F37A7A">
        <w:rPr>
          <w:rFonts w:ascii="Calibri" w:eastAsia="Times New Roman" w:hAnsi="Calibri" w:cs="Calibri"/>
          <w:color w:val="000000"/>
          <w:lang w:eastAsia="sl-SI"/>
        </w:rPr>
        <w:t>ta ter opreme. Letna vrednost amortizacij</w:t>
      </w:r>
      <w:r w:rsidR="00883605">
        <w:rPr>
          <w:rFonts w:ascii="Calibri" w:eastAsia="Times New Roman" w:hAnsi="Calibri" w:cs="Calibri"/>
          <w:color w:val="000000"/>
          <w:lang w:eastAsia="sl-SI"/>
        </w:rPr>
        <w:t>e</w:t>
      </w:r>
      <w:r w:rsidRPr="00F37A7A">
        <w:rPr>
          <w:rFonts w:ascii="Calibri" w:eastAsia="Times New Roman" w:hAnsi="Calibri" w:cs="Calibri"/>
          <w:color w:val="000000"/>
          <w:lang w:eastAsia="sl-SI"/>
        </w:rPr>
        <w:t xml:space="preserve"> za objekt znaša 38.327,77 EUR in za opremo 24.543,84 EUR.</w:t>
      </w:r>
      <w:r w:rsidR="00BC11F6" w:rsidRPr="00F37A7A">
        <w:rPr>
          <w:rFonts w:ascii="Calibri" w:eastAsia="Times New Roman" w:hAnsi="Calibri" w:cs="Calibri"/>
          <w:color w:val="000000"/>
          <w:lang w:eastAsia="sl-SI"/>
        </w:rPr>
        <w:t xml:space="preserve"> Glede nato, da se bo investicija izgradnje financirala iz nepovratnih evropskih sredstev in sredstev proračuna RS,   v ceno storitev ni zajet strošek amortizacije za objekt, ampak izključno samo amortizacija za opremo.  </w:t>
      </w:r>
      <w:r w:rsidR="007105F6" w:rsidRPr="00F37A7A">
        <w:rPr>
          <w:rFonts w:ascii="Calibri" w:eastAsia="Times New Roman" w:hAnsi="Calibri" w:cs="Calibri"/>
          <w:color w:val="000000"/>
          <w:lang w:eastAsia="sl-SI"/>
        </w:rPr>
        <w:t xml:space="preserve">Skladno z navedenim bo amortizacija objekta bremenila neposredno </w:t>
      </w:r>
      <w:r w:rsidR="00E9725F">
        <w:rPr>
          <w:rFonts w:ascii="Calibri" w:eastAsia="Times New Roman" w:hAnsi="Calibri" w:cs="Calibri"/>
          <w:color w:val="000000"/>
          <w:lang w:eastAsia="sl-SI"/>
        </w:rPr>
        <w:t xml:space="preserve">prejeta </w:t>
      </w:r>
      <w:r w:rsidR="007105F6" w:rsidRPr="00F37A7A">
        <w:rPr>
          <w:rFonts w:ascii="Calibri" w:eastAsia="Times New Roman" w:hAnsi="Calibri" w:cs="Calibri"/>
          <w:color w:val="000000"/>
          <w:lang w:eastAsia="sl-SI"/>
        </w:rPr>
        <w:t xml:space="preserve">sredstva v upravljanju </w:t>
      </w:r>
      <w:r w:rsidR="00E9725F">
        <w:rPr>
          <w:rFonts w:ascii="Calibri" w:eastAsia="Times New Roman" w:hAnsi="Calibri" w:cs="Calibri"/>
          <w:color w:val="000000"/>
          <w:lang w:eastAsia="sl-SI"/>
        </w:rPr>
        <w:t xml:space="preserve">od lastnika </w:t>
      </w:r>
      <w:r w:rsidR="007105F6" w:rsidRPr="00F37A7A">
        <w:rPr>
          <w:rFonts w:ascii="Calibri" w:eastAsia="Times New Roman" w:hAnsi="Calibri" w:cs="Calibri"/>
          <w:color w:val="000000"/>
          <w:lang w:eastAsia="sl-SI"/>
        </w:rPr>
        <w:t>in ne tekoče le</w:t>
      </w:r>
      <w:r w:rsidR="007138D2" w:rsidRPr="00F37A7A">
        <w:rPr>
          <w:rFonts w:ascii="Calibri" w:eastAsia="Times New Roman" w:hAnsi="Calibri" w:cs="Calibri"/>
          <w:color w:val="000000"/>
          <w:lang w:eastAsia="sl-SI"/>
        </w:rPr>
        <w:t>t</w:t>
      </w:r>
      <w:r w:rsidR="007105F6" w:rsidRPr="00F37A7A">
        <w:rPr>
          <w:rFonts w:ascii="Calibri" w:eastAsia="Times New Roman" w:hAnsi="Calibri" w:cs="Calibri"/>
          <w:color w:val="000000"/>
          <w:lang w:eastAsia="sl-SI"/>
        </w:rPr>
        <w:t>ne stroške</w:t>
      </w:r>
      <w:r w:rsidR="00883605">
        <w:rPr>
          <w:rFonts w:ascii="Calibri" w:eastAsia="Times New Roman" w:hAnsi="Calibri" w:cs="Calibri"/>
          <w:color w:val="000000"/>
          <w:lang w:eastAsia="sl-SI"/>
        </w:rPr>
        <w:t xml:space="preserve"> poslovanja</w:t>
      </w:r>
      <w:r w:rsidR="007105F6" w:rsidRPr="00F37A7A">
        <w:rPr>
          <w:rFonts w:ascii="Calibri" w:eastAsia="Times New Roman" w:hAnsi="Calibri" w:cs="Calibri"/>
          <w:color w:val="000000"/>
          <w:lang w:eastAsia="sl-SI"/>
        </w:rPr>
        <w:t xml:space="preserve"> enote KO-RA.</w:t>
      </w:r>
    </w:p>
    <w:p w14:paraId="4AA5FDFC" w14:textId="320079E8" w:rsidR="00410012" w:rsidRPr="00F37A7A" w:rsidRDefault="00410012" w:rsidP="007138D2">
      <w:pPr>
        <w:spacing w:after="0" w:line="240" w:lineRule="auto"/>
        <w:jc w:val="both"/>
      </w:pPr>
    </w:p>
    <w:p w14:paraId="57518B8D" w14:textId="3731E2A4" w:rsidR="00151397" w:rsidRPr="00F37A7A" w:rsidRDefault="00151397" w:rsidP="00151397">
      <w:pPr>
        <w:spacing w:after="0" w:line="240" w:lineRule="auto"/>
        <w:ind w:left="357"/>
        <w:jc w:val="both"/>
      </w:pPr>
      <w:r w:rsidRPr="00F37A7A">
        <w:rPr>
          <w:b/>
          <w:bCs/>
        </w:rPr>
        <w:t xml:space="preserve">Materialni stroški </w:t>
      </w:r>
      <w:r w:rsidR="00A52FE2" w:rsidRPr="00F37A7A">
        <w:rPr>
          <w:b/>
          <w:bCs/>
        </w:rPr>
        <w:t>in storitve</w:t>
      </w:r>
      <w:r w:rsidR="00A52FE2" w:rsidRPr="00F37A7A">
        <w:t xml:space="preserve"> </w:t>
      </w:r>
      <w:r w:rsidRPr="00F37A7A">
        <w:t>bodo v strukturnem deležu predstavljali 2</w:t>
      </w:r>
      <w:r w:rsidR="00CC487D" w:rsidRPr="00F37A7A">
        <w:t>1</w:t>
      </w:r>
      <w:r w:rsidRPr="00F37A7A">
        <w:t>,</w:t>
      </w:r>
      <w:r w:rsidR="00286BC4">
        <w:t>1</w:t>
      </w:r>
      <w:r w:rsidRPr="00F37A7A">
        <w:t xml:space="preserve"> %. Težko je predvid</w:t>
      </w:r>
      <w:r w:rsidR="00A52FE2" w:rsidRPr="00F37A7A">
        <w:t>e</w:t>
      </w:r>
      <w:r w:rsidRPr="00F37A7A">
        <w:t xml:space="preserve">ti višino materialnih stroškov za dejavnost, ki je izključno vezana na kratkotrajne namestitve </w:t>
      </w:r>
      <w:r w:rsidR="00A52FE2" w:rsidRPr="00F37A7A">
        <w:t>in dnevno varstvo. Predvidoma bodo ti stroški nižji, ker bo objekt energetsko varčen in nov</w:t>
      </w:r>
      <w:r w:rsidR="00E9725F">
        <w:t>,</w:t>
      </w:r>
      <w:r w:rsidR="00A52FE2" w:rsidRPr="00F37A7A">
        <w:t xml:space="preserve"> brez predvidenih večjih</w:t>
      </w:r>
      <w:r w:rsidR="00883605">
        <w:t xml:space="preserve"> porab energentov in storitev</w:t>
      </w:r>
      <w:r w:rsidR="00A52FE2" w:rsidRPr="00F37A7A">
        <w:t xml:space="preserve"> vzdrževanj</w:t>
      </w:r>
      <w:r w:rsidR="00883605">
        <w:t>a</w:t>
      </w:r>
      <w:r w:rsidR="00A52FE2" w:rsidRPr="00F37A7A">
        <w:t xml:space="preserve">. Večji del materialnih stroškov predstavlja poraba hrane za uporabnike. </w:t>
      </w:r>
      <w:r w:rsidRPr="00F37A7A">
        <w:t xml:space="preserve"> </w:t>
      </w:r>
    </w:p>
    <w:p w14:paraId="1009F22C" w14:textId="689C3E39" w:rsidR="00A52FE2" w:rsidRPr="00F37A7A" w:rsidRDefault="00A52FE2" w:rsidP="00151397">
      <w:pPr>
        <w:spacing w:after="0" w:line="240" w:lineRule="auto"/>
        <w:ind w:left="357"/>
        <w:jc w:val="both"/>
      </w:pPr>
    </w:p>
    <w:p w14:paraId="4D0C1268" w14:textId="350FFF37" w:rsidR="00A52FE2" w:rsidRDefault="00A52FE2" w:rsidP="004F50BD">
      <w:pPr>
        <w:spacing w:after="0" w:line="240" w:lineRule="auto"/>
        <w:ind w:firstLine="357"/>
        <w:jc w:val="both"/>
      </w:pPr>
      <w:r w:rsidRPr="00F37A7A">
        <w:t xml:space="preserve">Za ostale stroške je predviden 1 % od vseh stroškov. </w:t>
      </w:r>
    </w:p>
    <w:p w14:paraId="41BEB443" w14:textId="77777777" w:rsidR="00883605" w:rsidRPr="00F37A7A" w:rsidRDefault="00883605" w:rsidP="004F50BD">
      <w:pPr>
        <w:spacing w:after="0" w:line="240" w:lineRule="auto"/>
        <w:ind w:firstLine="357"/>
        <w:jc w:val="both"/>
      </w:pPr>
    </w:p>
    <w:tbl>
      <w:tblPr>
        <w:tblpPr w:leftFromText="141" w:rightFromText="141" w:vertAnchor="text" w:horzAnchor="margin" w:tblpXSpec="center" w:tblpY="171"/>
        <w:tblW w:w="8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0"/>
        <w:gridCol w:w="3181"/>
        <w:gridCol w:w="402"/>
        <w:gridCol w:w="453"/>
        <w:gridCol w:w="411"/>
        <w:gridCol w:w="865"/>
        <w:gridCol w:w="415"/>
        <w:gridCol w:w="743"/>
        <w:gridCol w:w="846"/>
        <w:gridCol w:w="431"/>
      </w:tblGrid>
      <w:tr w:rsidR="00F37A7A" w:rsidRPr="004813DD" w14:paraId="44ADC0B0" w14:textId="77777777" w:rsidTr="00F37A7A">
        <w:trPr>
          <w:trHeight w:val="390"/>
        </w:trPr>
        <w:tc>
          <w:tcPr>
            <w:tcW w:w="82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center"/>
            <w:hideMark/>
          </w:tcPr>
          <w:p w14:paraId="6BD42574" w14:textId="77777777" w:rsidR="00F37A7A" w:rsidRPr="004813DD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l-SI"/>
              </w:rPr>
            </w:pPr>
            <w:r w:rsidRPr="004813DD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l-SI"/>
              </w:rPr>
              <w:t xml:space="preserve">PLANIRANI LETNI  PRIHODKI IN ODHODKI ZA ENOTO KO-RA </w:t>
            </w:r>
            <w:r w:rsidRPr="00E9725F">
              <w:rPr>
                <w:rFonts w:ascii="Calibri" w:eastAsia="Times New Roman" w:hAnsi="Calibri" w:cs="Calibri"/>
                <w:b/>
                <w:bCs/>
                <w:color w:val="FFFF00"/>
                <w:sz w:val="20"/>
                <w:szCs w:val="20"/>
                <w:lang w:eastAsia="sl-SI"/>
              </w:rPr>
              <w:t>– Tabela 1</w:t>
            </w:r>
          </w:p>
        </w:tc>
      </w:tr>
      <w:tr w:rsidR="00F37A7A" w:rsidRPr="00F37A7A" w14:paraId="5854FA14" w14:textId="77777777" w:rsidTr="00F37A7A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E8FE" w14:textId="77777777" w:rsidR="00F37A7A" w:rsidRPr="004813DD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sl-SI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5EF" w14:textId="77777777" w:rsidR="00F37A7A" w:rsidRPr="004813DD" w:rsidRDefault="00F37A7A" w:rsidP="00F37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ED9C" w14:textId="77777777" w:rsidR="00F37A7A" w:rsidRPr="004813DD" w:rsidRDefault="00F37A7A" w:rsidP="00F37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712" w14:textId="77777777" w:rsidR="00F37A7A" w:rsidRPr="004813DD" w:rsidRDefault="00F37A7A" w:rsidP="00F37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D882" w14:textId="77777777" w:rsidR="00F37A7A" w:rsidRPr="004813DD" w:rsidRDefault="00F37A7A" w:rsidP="00F37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CB31" w14:textId="77777777" w:rsidR="00F37A7A" w:rsidRPr="004813DD" w:rsidRDefault="00F37A7A" w:rsidP="00F37A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F37A7A" w:rsidRPr="00E9725F" w14:paraId="5D800351" w14:textId="77777777" w:rsidTr="00E9725F">
        <w:trPr>
          <w:trHeight w:val="1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F0AC4F4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B32AFDC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Vrsta prihodkov oziroma stroškov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91885B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28C13B" w14:textId="1D5DFD23" w:rsidR="00F37A7A" w:rsidRPr="003F2ED6" w:rsidRDefault="00883605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E97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Kratkotrajne</w:t>
            </w:r>
            <w:r w:rsidR="00F37A7A"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 namestitve     18 mest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89DAC9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Dnevno varstvo           14 mest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9B2FA7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SKUPAJ v EUR    KO-RA  32 mest</w:t>
            </w:r>
          </w:p>
        </w:tc>
      </w:tr>
      <w:tr w:rsidR="00F37A7A" w:rsidRPr="00E9725F" w14:paraId="6A61185D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C18C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1EBE9D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837BB5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D8D18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AB05B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9C61CE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37A7A" w:rsidRPr="00E9725F" w14:paraId="4C8E76FE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3A5" w14:textId="7A1A2DBF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  <w:r w:rsidR="00047F9F" w:rsidRPr="00E972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A)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AE16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PRIHODKI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3DDC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FFC8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73D8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1DA7" w14:textId="77777777" w:rsidR="00F37A7A" w:rsidRPr="003F2ED6" w:rsidRDefault="00F37A7A" w:rsidP="00F37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37A7A" w:rsidRPr="00E9725F" w14:paraId="69484988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77DAB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I.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0DB222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Skupaj prihodki  socialno varstv</w:t>
            </w:r>
            <w:r w:rsidRPr="00E97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77A987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65,3%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AF7E74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209.040,98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992FCE2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119.461,07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FC54A7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328.502,04</w:t>
            </w:r>
          </w:p>
        </w:tc>
      </w:tr>
      <w:tr w:rsidR="00F37A7A" w:rsidRPr="00E9725F" w14:paraId="58D95DC1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39CF7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II.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5D8884E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Skupaj prihodki zdravstvo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EF1F925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34,7%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EFCDFE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111.259,42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1BE630B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49.426,99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EA4155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160.686,41</w:t>
            </w:r>
          </w:p>
        </w:tc>
      </w:tr>
      <w:tr w:rsidR="00F37A7A" w:rsidRPr="00E9725F" w14:paraId="110854F0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9A0B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652C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264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461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284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B0D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37A7A" w:rsidRPr="00E9725F" w14:paraId="24547171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7AF2C0B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III.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3965F4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SKUPAJ PRIHODKI </w:t>
            </w:r>
            <w:r w:rsidRPr="00E9725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v EUR (I+II)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09382D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BCFDD3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320.300,40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625B93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168.888,06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5FDAAA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489.188,45</w:t>
            </w:r>
          </w:p>
        </w:tc>
      </w:tr>
      <w:tr w:rsidR="00F37A7A" w:rsidRPr="00E9725F" w14:paraId="5820A5A4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0D30B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D226B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E190B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3A15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1B1D2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F7AA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37A7A" w:rsidRPr="00E9725F" w14:paraId="2355312E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A07" w14:textId="5959EA6D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  <w:r w:rsidR="00047F9F" w:rsidRPr="00E972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B)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8C7F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ODHODKI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CB02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B12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211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E88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37A7A" w:rsidRPr="00E9725F" w14:paraId="4C4D2D7C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66E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12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Materialni stroški in storitve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30D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21,1%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A3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945F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E54B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103.444,62</w:t>
            </w:r>
          </w:p>
        </w:tc>
      </w:tr>
      <w:tr w:rsidR="00F37A7A" w:rsidRPr="00E9725F" w14:paraId="6FCBF574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D39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b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8CF7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Stroški amortizacije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C0D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AA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19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BA3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24.543,84</w:t>
            </w:r>
          </w:p>
        </w:tc>
      </w:tr>
      <w:tr w:rsidR="00F37A7A" w:rsidRPr="00E9725F" w14:paraId="7A89A459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49C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c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4E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Stroški plač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3812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72,9%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CAD4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FB03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D52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356.400,00</w:t>
            </w:r>
          </w:p>
        </w:tc>
      </w:tr>
      <w:tr w:rsidR="00F37A7A" w:rsidRPr="00E9725F" w14:paraId="12E8006B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811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FDD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Ostali stroški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0CB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555F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C4C6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C0AA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4.800,00</w:t>
            </w:r>
          </w:p>
        </w:tc>
      </w:tr>
      <w:tr w:rsidR="00F37A7A" w:rsidRPr="00E9725F" w14:paraId="42D913A4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964C75C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IV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A4100FE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 xml:space="preserve">SAKUPAJ STROŠKI V EUR </w:t>
            </w: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(</w:t>
            </w:r>
            <w:proofErr w:type="spellStart"/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a+b+c+d</w:t>
            </w:r>
            <w:proofErr w:type="spellEnd"/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CFF1AF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6777F2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1558D9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A261AA6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489.188,45</w:t>
            </w:r>
          </w:p>
        </w:tc>
      </w:tr>
      <w:tr w:rsidR="00F37A7A" w:rsidRPr="00E9725F" w14:paraId="7C26A5C9" w14:textId="77777777" w:rsidTr="00E9725F">
        <w:trPr>
          <w:trHeight w:val="4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368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44AD" w14:textId="19843BD3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E05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252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8B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F3E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F37A7A" w:rsidRPr="00E9725F" w14:paraId="22924005" w14:textId="77777777" w:rsidTr="00E9725F">
        <w:trPr>
          <w:trHeight w:val="1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1B30F2C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59EE43" w14:textId="670014B0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POSLOVI IZID  V EUR (III. - IV.)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E16741A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70FBB6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754F1C" w14:textId="77777777" w:rsidR="00F37A7A" w:rsidRPr="003F2ED6" w:rsidRDefault="00F37A7A" w:rsidP="00F37A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2689E6B" w14:textId="77777777" w:rsidR="00F37A7A" w:rsidRPr="003F2ED6" w:rsidRDefault="00F37A7A" w:rsidP="00F37A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F2E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l-SI"/>
              </w:rPr>
              <w:t>0,00</w:t>
            </w:r>
          </w:p>
        </w:tc>
      </w:tr>
    </w:tbl>
    <w:p w14:paraId="447CDA97" w14:textId="435B0DAD" w:rsidR="004813DD" w:rsidRPr="00E9725F" w:rsidRDefault="004813DD" w:rsidP="00883605">
      <w:pPr>
        <w:spacing w:after="0" w:line="240" w:lineRule="auto"/>
        <w:jc w:val="both"/>
        <w:rPr>
          <w:sz w:val="18"/>
          <w:szCs w:val="18"/>
        </w:rPr>
      </w:pPr>
    </w:p>
    <w:p w14:paraId="456074E3" w14:textId="77777777" w:rsidR="00E9725F" w:rsidRDefault="00E9725F" w:rsidP="0094311A">
      <w:pPr>
        <w:pStyle w:val="Odstavekseznama"/>
        <w:spacing w:after="0" w:line="240" w:lineRule="auto"/>
        <w:ind w:left="357"/>
        <w:jc w:val="both"/>
        <w:rPr>
          <w:b/>
          <w:bCs/>
        </w:rPr>
      </w:pPr>
    </w:p>
    <w:p w14:paraId="172878F2" w14:textId="5868BE7C" w:rsidR="00047F9F" w:rsidRPr="00047F9F" w:rsidRDefault="00047F9F" w:rsidP="0094311A">
      <w:pPr>
        <w:pStyle w:val="Odstavekseznama"/>
        <w:spacing w:after="0" w:line="240" w:lineRule="auto"/>
        <w:ind w:left="357"/>
        <w:jc w:val="both"/>
        <w:rPr>
          <w:b/>
          <w:bCs/>
        </w:rPr>
      </w:pPr>
      <w:r w:rsidRPr="00047F9F">
        <w:rPr>
          <w:b/>
          <w:bCs/>
        </w:rPr>
        <w:t>Poslovni izid:</w:t>
      </w:r>
    </w:p>
    <w:p w14:paraId="3CFD5C63" w14:textId="3FEF6C1A" w:rsidR="00047F9F" w:rsidRPr="00F37A7A" w:rsidRDefault="00047F9F" w:rsidP="0094311A">
      <w:pPr>
        <w:pStyle w:val="Odstavekseznama"/>
        <w:spacing w:after="0" w:line="240" w:lineRule="auto"/>
        <w:ind w:left="357"/>
        <w:jc w:val="both"/>
      </w:pPr>
      <w:r>
        <w:t xml:space="preserve">Enota KO-RA z izvajanjem dejavnosti javne služen ne  bo ustvarjala presežka prihodkov ali presežka odhodkov. Ustvarjeni prihodki bodo pokrivali vse stroške izključno zaradi </w:t>
      </w:r>
      <w:proofErr w:type="spellStart"/>
      <w:r>
        <w:t>sinergijskih</w:t>
      </w:r>
      <w:proofErr w:type="spellEnd"/>
      <w:r>
        <w:t xml:space="preserve"> učinkov, ki bodo doseženi na osnovi racionalne organizacije dela v sklopu celotnega zavod</w:t>
      </w:r>
      <w:r w:rsidR="00883605">
        <w:t>a</w:t>
      </w:r>
      <w:r>
        <w:t xml:space="preserve"> Koroškega doma starostnikov, ki že opravlja dejavnost v dveh enotah (v matični enoti v Dravogradu in poslovni enoti v Slovenj Gradcu).   </w:t>
      </w:r>
    </w:p>
    <w:sectPr w:rsidR="00047F9F" w:rsidRPr="00F3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74232"/>
    <w:multiLevelType w:val="hybridMultilevel"/>
    <w:tmpl w:val="08C828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05A4D"/>
    <w:multiLevelType w:val="hybridMultilevel"/>
    <w:tmpl w:val="242C1BD6"/>
    <w:lvl w:ilvl="0" w:tplc="5D6C8F4E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BF24679"/>
    <w:multiLevelType w:val="hybridMultilevel"/>
    <w:tmpl w:val="C64AB8D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479518E"/>
    <w:multiLevelType w:val="hybridMultilevel"/>
    <w:tmpl w:val="89B2110E"/>
    <w:lvl w:ilvl="0" w:tplc="2990E43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9DE7BC6"/>
    <w:multiLevelType w:val="hybridMultilevel"/>
    <w:tmpl w:val="7F7E8D06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C"/>
    <w:rsid w:val="00047F9F"/>
    <w:rsid w:val="000B6C59"/>
    <w:rsid w:val="00117EDE"/>
    <w:rsid w:val="00151397"/>
    <w:rsid w:val="002313EB"/>
    <w:rsid w:val="002517BB"/>
    <w:rsid w:val="00283BF5"/>
    <w:rsid w:val="00286BC4"/>
    <w:rsid w:val="00301EC3"/>
    <w:rsid w:val="00333A56"/>
    <w:rsid w:val="0033710C"/>
    <w:rsid w:val="003F2ED6"/>
    <w:rsid w:val="00410012"/>
    <w:rsid w:val="00444F35"/>
    <w:rsid w:val="00444F9D"/>
    <w:rsid w:val="004813DD"/>
    <w:rsid w:val="004C1EBA"/>
    <w:rsid w:val="004D014F"/>
    <w:rsid w:val="004E40C8"/>
    <w:rsid w:val="004F50BD"/>
    <w:rsid w:val="004F63A7"/>
    <w:rsid w:val="005755F1"/>
    <w:rsid w:val="00621502"/>
    <w:rsid w:val="00681578"/>
    <w:rsid w:val="006A5F08"/>
    <w:rsid w:val="007105F6"/>
    <w:rsid w:val="007138D2"/>
    <w:rsid w:val="00750CE8"/>
    <w:rsid w:val="00766C7B"/>
    <w:rsid w:val="007C5ED3"/>
    <w:rsid w:val="007F0C54"/>
    <w:rsid w:val="00800D5D"/>
    <w:rsid w:val="00813FE3"/>
    <w:rsid w:val="00883605"/>
    <w:rsid w:val="00890DD0"/>
    <w:rsid w:val="008B25CA"/>
    <w:rsid w:val="008D36A3"/>
    <w:rsid w:val="008F4D21"/>
    <w:rsid w:val="0094311A"/>
    <w:rsid w:val="00986949"/>
    <w:rsid w:val="009A66B7"/>
    <w:rsid w:val="009B1EAE"/>
    <w:rsid w:val="009E2B33"/>
    <w:rsid w:val="009F54A8"/>
    <w:rsid w:val="00A52FE2"/>
    <w:rsid w:val="00BC11F6"/>
    <w:rsid w:val="00BF4C07"/>
    <w:rsid w:val="00C5776E"/>
    <w:rsid w:val="00C94A2E"/>
    <w:rsid w:val="00CA05CA"/>
    <w:rsid w:val="00CC487D"/>
    <w:rsid w:val="00CD28CB"/>
    <w:rsid w:val="00CE1A27"/>
    <w:rsid w:val="00CE674B"/>
    <w:rsid w:val="00CF6E05"/>
    <w:rsid w:val="00D06677"/>
    <w:rsid w:val="00D40D6C"/>
    <w:rsid w:val="00D51E59"/>
    <w:rsid w:val="00DC45AF"/>
    <w:rsid w:val="00E02CC0"/>
    <w:rsid w:val="00E106C8"/>
    <w:rsid w:val="00E70677"/>
    <w:rsid w:val="00E9725F"/>
    <w:rsid w:val="00EF1DAD"/>
    <w:rsid w:val="00F37A7A"/>
    <w:rsid w:val="00F47F54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CB08"/>
  <w15:chartTrackingRefBased/>
  <w15:docId w15:val="{AB3851B6-D81F-41D7-8E28-D1972CF5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23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6093" TargetMode="External"/><Relationship Id="rId12" Type="http://schemas.openxmlformats.org/officeDocument/2006/relationships/hyperlink" Target="http://www.uradni-list.si/1/objava.jsp?sop=2015-01-3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6-01-5906" TargetMode="External"/><Relationship Id="rId11" Type="http://schemas.openxmlformats.org/officeDocument/2006/relationships/hyperlink" Target="http://www.uradni-list.si/1/objava.jsp?sop=2013-01-3958" TargetMode="External"/><Relationship Id="rId5" Type="http://schemas.openxmlformats.org/officeDocument/2006/relationships/hyperlink" Target="http://www.uradni-list.si/1/objava.jsp?sop=2005-01-1836" TargetMode="External"/><Relationship Id="rId10" Type="http://schemas.openxmlformats.org/officeDocument/2006/relationships/hyperlink" Target="http://www.uradni-list.si/1/objava.jsp?sop=2010-01-3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50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Kremzer</dc:creator>
  <cp:keywords/>
  <dc:description/>
  <cp:lastModifiedBy>Jože Kremzer</cp:lastModifiedBy>
  <cp:revision>2</cp:revision>
  <dcterms:created xsi:type="dcterms:W3CDTF">2020-07-28T15:41:00Z</dcterms:created>
  <dcterms:modified xsi:type="dcterms:W3CDTF">2020-07-28T15:41:00Z</dcterms:modified>
</cp:coreProperties>
</file>