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F9" w:rsidRPr="004D64EF" w:rsidRDefault="00803327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D64EF">
        <w:rPr>
          <w:rFonts w:ascii="Arial" w:hAnsi="Arial" w:cs="Arial"/>
          <w:sz w:val="20"/>
          <w:szCs w:val="20"/>
        </w:rPr>
        <w:t>Številka:</w:t>
      </w:r>
      <w:r w:rsidRPr="004D64EF">
        <w:rPr>
          <w:rFonts w:ascii="Arial" w:hAnsi="Arial" w:cs="Arial"/>
          <w:sz w:val="20"/>
          <w:szCs w:val="20"/>
        </w:rPr>
        <w:tab/>
      </w:r>
      <w:r w:rsidR="001F3CA5">
        <w:rPr>
          <w:rFonts w:ascii="Arial" w:hAnsi="Arial" w:cs="Arial"/>
          <w:sz w:val="20"/>
          <w:szCs w:val="20"/>
        </w:rPr>
        <w:t>354-80/2020-17</w:t>
      </w:r>
    </w:p>
    <w:p w:rsidR="00045BF9" w:rsidRPr="004D64EF" w:rsidRDefault="00803327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>Datum:</w:t>
      </w:r>
      <w:r w:rsidRPr="004D64EF">
        <w:rPr>
          <w:rFonts w:ascii="Arial" w:hAnsi="Arial" w:cs="Arial"/>
          <w:sz w:val="20"/>
          <w:szCs w:val="20"/>
        </w:rPr>
        <w:tab/>
      </w:r>
      <w:r w:rsidRPr="004D64EF">
        <w:rPr>
          <w:rFonts w:ascii="Arial" w:hAnsi="Arial" w:cs="Arial"/>
          <w:sz w:val="20"/>
          <w:szCs w:val="20"/>
        </w:rPr>
        <w:tab/>
      </w:r>
      <w:r w:rsidR="001F3CA5">
        <w:rPr>
          <w:rFonts w:ascii="Arial" w:hAnsi="Arial" w:cs="Arial"/>
          <w:sz w:val="20"/>
          <w:szCs w:val="20"/>
        </w:rPr>
        <w:t>1</w:t>
      </w:r>
      <w:r w:rsidR="005F09A6">
        <w:rPr>
          <w:rFonts w:ascii="Arial" w:hAnsi="Arial" w:cs="Arial"/>
          <w:sz w:val="20"/>
          <w:szCs w:val="20"/>
        </w:rPr>
        <w:t xml:space="preserve">. </w:t>
      </w:r>
      <w:r w:rsidR="001F3CA5">
        <w:rPr>
          <w:rFonts w:ascii="Arial" w:hAnsi="Arial" w:cs="Arial"/>
          <w:sz w:val="20"/>
          <w:szCs w:val="20"/>
        </w:rPr>
        <w:t>4</w:t>
      </w:r>
      <w:r w:rsidR="00BE1096">
        <w:rPr>
          <w:rFonts w:ascii="Arial" w:hAnsi="Arial" w:cs="Arial"/>
          <w:sz w:val="20"/>
          <w:szCs w:val="20"/>
        </w:rPr>
        <w:t>. 2021</w:t>
      </w:r>
    </w:p>
    <w:p w:rsidR="002377D0" w:rsidRPr="004D64EF" w:rsidRDefault="002377D0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35730" w:rsidRPr="00301A46" w:rsidRDefault="001D6956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01A46">
        <w:rPr>
          <w:rFonts w:ascii="Arial" w:hAnsi="Arial" w:cs="Arial"/>
          <w:sz w:val="20"/>
          <w:szCs w:val="20"/>
        </w:rPr>
        <w:t>Mestni svet</w:t>
      </w:r>
    </w:p>
    <w:p w:rsidR="00235730" w:rsidRPr="00301A46" w:rsidRDefault="001D6956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01A46">
        <w:rPr>
          <w:rFonts w:ascii="Arial" w:hAnsi="Arial" w:cs="Arial"/>
          <w:sz w:val="20"/>
          <w:szCs w:val="20"/>
        </w:rPr>
        <w:t>Mestne občine Ptuj</w:t>
      </w:r>
    </w:p>
    <w:p w:rsidR="00803327" w:rsidRPr="004D64EF" w:rsidRDefault="00803327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</w:p>
    <w:p w:rsidR="00B35970" w:rsidRPr="004D64EF" w:rsidRDefault="00B35970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6"/>
        <w:gridCol w:w="6587"/>
      </w:tblGrid>
      <w:tr w:rsidR="00CA20A5" w:rsidRPr="004D64EF" w:rsidTr="003C09E4">
        <w:tc>
          <w:tcPr>
            <w:tcW w:w="3336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4EF">
              <w:rPr>
                <w:rFonts w:ascii="Arial" w:hAnsi="Arial" w:cs="Arial"/>
                <w:b/>
                <w:sz w:val="20"/>
                <w:szCs w:val="20"/>
              </w:rPr>
              <w:t>ZADEVA:</w:t>
            </w:r>
          </w:p>
        </w:tc>
        <w:tc>
          <w:tcPr>
            <w:tcW w:w="6587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4EF">
              <w:rPr>
                <w:rFonts w:ascii="Arial" w:hAnsi="Arial" w:cs="Arial"/>
                <w:sz w:val="20"/>
                <w:szCs w:val="20"/>
              </w:rPr>
              <w:t>Predlog</w:t>
            </w:r>
            <w:r w:rsidRPr="004D64EF">
              <w:rPr>
                <w:rFonts w:ascii="Arial" w:hAnsi="Arial" w:cs="Arial"/>
                <w:bCs/>
                <w:sz w:val="20"/>
                <w:szCs w:val="20"/>
              </w:rPr>
              <w:t xml:space="preserve"> za obravnavo na </w:t>
            </w:r>
            <w:r w:rsidR="005F09A6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1F3CA5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61077B" w:rsidRPr="004D64EF">
              <w:rPr>
                <w:rFonts w:ascii="Arial" w:hAnsi="Arial" w:cs="Arial"/>
                <w:bCs/>
                <w:sz w:val="20"/>
                <w:szCs w:val="20"/>
              </w:rPr>
              <w:t>. redni</w:t>
            </w:r>
            <w:r w:rsidRPr="004D64EF">
              <w:rPr>
                <w:rFonts w:ascii="Arial" w:hAnsi="Arial" w:cs="Arial"/>
                <w:bCs/>
                <w:sz w:val="20"/>
                <w:szCs w:val="20"/>
              </w:rPr>
              <w:t xml:space="preserve"> seji Mestnega sveta Mestne občine Ptuj</w:t>
            </w:r>
          </w:p>
        </w:tc>
      </w:tr>
      <w:tr w:rsidR="00CA20A5" w:rsidRPr="004D64EF" w:rsidTr="003C09E4">
        <w:tc>
          <w:tcPr>
            <w:tcW w:w="3336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7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4D64EF" w:rsidTr="003C09E4">
        <w:tc>
          <w:tcPr>
            <w:tcW w:w="3336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64EF">
              <w:rPr>
                <w:rFonts w:ascii="Arial" w:hAnsi="Arial" w:cs="Arial"/>
                <w:b/>
                <w:sz w:val="20"/>
                <w:szCs w:val="20"/>
              </w:rPr>
              <w:t>NASLOV:</w:t>
            </w:r>
          </w:p>
        </w:tc>
        <w:tc>
          <w:tcPr>
            <w:tcW w:w="6587" w:type="dxa"/>
            <w:shd w:val="clear" w:color="auto" w:fill="auto"/>
          </w:tcPr>
          <w:p w:rsidR="005F09A6" w:rsidRPr="005F09A6" w:rsidRDefault="00CA20A5" w:rsidP="007647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09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Predlog Sklepa o potrditvi </w:t>
            </w:r>
            <w:r w:rsidR="00351CBA">
              <w:rPr>
                <w:rFonts w:ascii="Arial" w:hAnsi="Arial" w:cs="Arial"/>
                <w:b/>
                <w:bCs/>
                <w:sz w:val="20"/>
                <w:szCs w:val="20"/>
              </w:rPr>
              <w:t>Dokumenta identifikacije investicijskega projekta</w:t>
            </w:r>
            <w:r w:rsidR="00AE7C1E" w:rsidRPr="005F09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351CBA">
              <w:rPr>
                <w:rFonts w:ascii="Arial" w:hAnsi="Arial" w:cs="Arial"/>
                <w:b/>
                <w:bCs/>
                <w:sz w:val="20"/>
                <w:szCs w:val="20"/>
              </w:rPr>
              <w:t>DIIP</w:t>
            </w:r>
            <w:r w:rsidRPr="005F09A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351C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F09A6" w:rsidRPr="005F09A6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  <w:r w:rsidR="003A2C20">
              <w:rPr>
                <w:rFonts w:ascii="Arial" w:hAnsi="Arial" w:cs="Arial"/>
                <w:b/>
                <w:sz w:val="20"/>
                <w:szCs w:val="20"/>
              </w:rPr>
              <w:t>Ureditev infrastrukture na pokopališču«</w:t>
            </w:r>
          </w:p>
          <w:p w:rsidR="00AE7C1E" w:rsidRPr="004D64EF" w:rsidRDefault="00AE7C1E" w:rsidP="00AE7C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20A5" w:rsidRPr="004D64EF" w:rsidTr="003C09E4">
        <w:tc>
          <w:tcPr>
            <w:tcW w:w="3336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64EF">
              <w:rPr>
                <w:rFonts w:ascii="Arial" w:hAnsi="Arial" w:cs="Arial"/>
                <w:b/>
                <w:sz w:val="20"/>
                <w:szCs w:val="20"/>
              </w:rPr>
              <w:t>PRIPRAVIL:</w:t>
            </w:r>
          </w:p>
        </w:tc>
        <w:tc>
          <w:tcPr>
            <w:tcW w:w="6587" w:type="dxa"/>
            <w:shd w:val="clear" w:color="auto" w:fill="auto"/>
          </w:tcPr>
          <w:p w:rsidR="00B93CAD" w:rsidRPr="004D64EF" w:rsidRDefault="005B7F4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64EF">
              <w:rPr>
                <w:rFonts w:ascii="Arial" w:hAnsi="Arial" w:cs="Arial"/>
                <w:sz w:val="20"/>
                <w:szCs w:val="20"/>
              </w:rPr>
              <w:t>Oddelek za gospodarske dejavnosti</w:t>
            </w:r>
          </w:p>
          <w:p w:rsidR="00954703" w:rsidRPr="004D64EF" w:rsidRDefault="003A2C20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Majcen</w:t>
            </w:r>
            <w:r w:rsidR="00954703" w:rsidRPr="004D64EF">
              <w:rPr>
                <w:rFonts w:ascii="Arial" w:hAnsi="Arial" w:cs="Arial"/>
                <w:sz w:val="20"/>
                <w:szCs w:val="20"/>
              </w:rPr>
              <w:t>, svetoval</w:t>
            </w:r>
            <w:r w:rsidR="00351CBA">
              <w:rPr>
                <w:rFonts w:ascii="Arial" w:hAnsi="Arial" w:cs="Arial"/>
                <w:sz w:val="20"/>
                <w:szCs w:val="20"/>
              </w:rPr>
              <w:t>ec</w:t>
            </w:r>
          </w:p>
        </w:tc>
      </w:tr>
      <w:tr w:rsidR="00CA20A5" w:rsidRPr="004D64EF" w:rsidTr="003C09E4">
        <w:tc>
          <w:tcPr>
            <w:tcW w:w="3336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7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4D64EF" w:rsidTr="003C09E4">
        <w:tc>
          <w:tcPr>
            <w:tcW w:w="3336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D64EF">
              <w:rPr>
                <w:rFonts w:ascii="Arial" w:hAnsi="Arial" w:cs="Arial"/>
                <w:b/>
                <w:sz w:val="20"/>
                <w:szCs w:val="20"/>
              </w:rPr>
              <w:t xml:space="preserve">PRAVNA </w:t>
            </w:r>
          </w:p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64EF">
              <w:rPr>
                <w:rFonts w:ascii="Arial" w:hAnsi="Arial" w:cs="Arial"/>
                <w:b/>
                <w:sz w:val="20"/>
                <w:szCs w:val="20"/>
              </w:rPr>
              <w:t>PODLAGA:</w:t>
            </w:r>
          </w:p>
        </w:tc>
        <w:tc>
          <w:tcPr>
            <w:tcW w:w="6587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4EF">
              <w:rPr>
                <w:rFonts w:ascii="Arial" w:hAnsi="Arial" w:cs="Arial"/>
                <w:sz w:val="20"/>
                <w:szCs w:val="20"/>
              </w:rPr>
              <w:t>23. člen Statuta Mestne občine Ptuj (Uradni vestnik Mes</w:t>
            </w:r>
            <w:r w:rsidR="00FA5926">
              <w:rPr>
                <w:rFonts w:ascii="Arial" w:hAnsi="Arial" w:cs="Arial"/>
                <w:sz w:val="20"/>
                <w:szCs w:val="20"/>
              </w:rPr>
              <w:t>tne občine Ptuj, št. 9/07</w:t>
            </w:r>
            <w:r w:rsidR="00011398">
              <w:rPr>
                <w:rFonts w:ascii="Arial" w:hAnsi="Arial" w:cs="Arial"/>
                <w:sz w:val="20"/>
                <w:szCs w:val="20"/>
              </w:rPr>
              <w:t xml:space="preserve"> in 14/20</w:t>
            </w:r>
            <w:r w:rsidR="00FA5926">
              <w:rPr>
                <w:rFonts w:ascii="Arial" w:hAnsi="Arial" w:cs="Arial"/>
                <w:sz w:val="20"/>
                <w:szCs w:val="20"/>
              </w:rPr>
              <w:t>) in 79</w:t>
            </w:r>
            <w:r w:rsidRPr="004D64EF">
              <w:rPr>
                <w:rFonts w:ascii="Arial" w:hAnsi="Arial" w:cs="Arial"/>
                <w:sz w:val="20"/>
                <w:szCs w:val="20"/>
              </w:rPr>
              <w:t>. člen Poslovnika Mestnega sveta Mestne občine Ptuj (Uradni vestnik Mestne občine Ptuj</w:t>
            </w:r>
            <w:r w:rsidR="00FA5926">
              <w:rPr>
                <w:rFonts w:ascii="Arial" w:hAnsi="Arial" w:cs="Arial"/>
                <w:sz w:val="20"/>
                <w:szCs w:val="20"/>
              </w:rPr>
              <w:t>, št. 13/20</w:t>
            </w:r>
            <w:r w:rsidRPr="004D64E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4D64EF" w:rsidTr="003C09E4">
        <w:tc>
          <w:tcPr>
            <w:tcW w:w="3336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64EF">
              <w:rPr>
                <w:rFonts w:ascii="Arial" w:hAnsi="Arial" w:cs="Arial"/>
                <w:b/>
                <w:bCs/>
                <w:sz w:val="20"/>
                <w:szCs w:val="20"/>
              </w:rPr>
              <w:t>POROČEVALEC:</w:t>
            </w:r>
          </w:p>
        </w:tc>
        <w:tc>
          <w:tcPr>
            <w:tcW w:w="6587" w:type="dxa"/>
            <w:shd w:val="clear" w:color="auto" w:fill="auto"/>
          </w:tcPr>
          <w:p w:rsidR="00CA20A5" w:rsidRPr="004D64EF" w:rsidRDefault="005B7F4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64EF">
              <w:rPr>
                <w:rFonts w:ascii="Arial" w:hAnsi="Arial" w:cs="Arial"/>
                <w:bCs/>
                <w:sz w:val="20"/>
                <w:szCs w:val="20"/>
              </w:rPr>
              <w:t>Andrej Trunk</w:t>
            </w:r>
            <w:r w:rsidR="00CA20A5" w:rsidRPr="004D64EF">
              <w:rPr>
                <w:rFonts w:ascii="Arial" w:hAnsi="Arial" w:cs="Arial"/>
                <w:bCs/>
                <w:sz w:val="20"/>
                <w:szCs w:val="20"/>
              </w:rPr>
              <w:t xml:space="preserve">, vodja </w:t>
            </w:r>
            <w:r w:rsidR="003B5AEA" w:rsidRPr="004D64EF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4D64EF">
              <w:rPr>
                <w:rFonts w:ascii="Arial" w:hAnsi="Arial" w:cs="Arial"/>
                <w:bCs/>
                <w:sz w:val="20"/>
                <w:szCs w:val="20"/>
              </w:rPr>
              <w:t>ddelka za gospodarske dejavnosti</w:t>
            </w:r>
          </w:p>
        </w:tc>
      </w:tr>
      <w:tr w:rsidR="00CA20A5" w:rsidRPr="004D64EF" w:rsidTr="003C09E4">
        <w:tc>
          <w:tcPr>
            <w:tcW w:w="3336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7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20A5" w:rsidRPr="004D64EF" w:rsidTr="003C09E4">
        <w:tc>
          <w:tcPr>
            <w:tcW w:w="3336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4EF">
              <w:rPr>
                <w:rFonts w:ascii="Arial" w:hAnsi="Arial" w:cs="Arial"/>
                <w:b/>
                <w:bCs/>
                <w:sz w:val="20"/>
                <w:szCs w:val="20"/>
              </w:rPr>
              <w:t>PRISTOJNO</w:t>
            </w:r>
          </w:p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4EF">
              <w:rPr>
                <w:rFonts w:ascii="Arial" w:hAnsi="Arial" w:cs="Arial"/>
                <w:b/>
                <w:bCs/>
                <w:sz w:val="20"/>
                <w:szCs w:val="20"/>
              </w:rPr>
              <w:t>DELOVNO TELO:</w:t>
            </w:r>
          </w:p>
        </w:tc>
        <w:tc>
          <w:tcPr>
            <w:tcW w:w="6587" w:type="dxa"/>
            <w:shd w:val="clear" w:color="auto" w:fill="auto"/>
          </w:tcPr>
          <w:p w:rsidR="00BE1096" w:rsidRPr="00ED1A27" w:rsidRDefault="00BE1096" w:rsidP="00BE10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D1A27">
              <w:rPr>
                <w:rFonts w:ascii="Arial" w:hAnsi="Arial" w:cs="Arial"/>
                <w:bCs/>
                <w:sz w:val="20"/>
                <w:szCs w:val="20"/>
              </w:rPr>
              <w:t>Odbor za financ</w:t>
            </w:r>
            <w:r>
              <w:rPr>
                <w:rFonts w:ascii="Arial" w:hAnsi="Arial" w:cs="Arial"/>
                <w:bCs/>
                <w:sz w:val="20"/>
                <w:szCs w:val="20"/>
              </w:rPr>
              <w:t>e, Odbor za okolje in prostor ter</w:t>
            </w:r>
            <w:r w:rsidRPr="00ED1A27">
              <w:rPr>
                <w:rFonts w:ascii="Arial" w:hAnsi="Arial" w:cs="Arial"/>
                <w:bCs/>
                <w:sz w:val="20"/>
                <w:szCs w:val="20"/>
              </w:rPr>
              <w:t xml:space="preserve"> gospodarsko infrastrukturo, Odbor za gospodarstvo</w:t>
            </w:r>
          </w:p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CA20A5" w:rsidRPr="004D64EF" w:rsidTr="003C09E4">
        <w:tc>
          <w:tcPr>
            <w:tcW w:w="3336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7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4D64EF" w:rsidTr="003C09E4">
        <w:tc>
          <w:tcPr>
            <w:tcW w:w="3336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4EF">
              <w:rPr>
                <w:rFonts w:ascii="Arial" w:hAnsi="Arial" w:cs="Arial"/>
                <w:b/>
                <w:bCs/>
                <w:sz w:val="20"/>
                <w:szCs w:val="20"/>
              </w:rPr>
              <w:t>PREDLOG SKLEPA:</w:t>
            </w:r>
          </w:p>
        </w:tc>
        <w:tc>
          <w:tcPr>
            <w:tcW w:w="6587" w:type="dxa"/>
            <w:shd w:val="clear" w:color="auto" w:fill="auto"/>
          </w:tcPr>
          <w:p w:rsidR="00CA20A5" w:rsidRPr="005F09A6" w:rsidRDefault="00CA20A5" w:rsidP="00AE7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9A6">
              <w:rPr>
                <w:rFonts w:ascii="Arial" w:hAnsi="Arial" w:cs="Arial"/>
                <w:sz w:val="20"/>
                <w:szCs w:val="20"/>
              </w:rPr>
              <w:t xml:space="preserve">Mestni svet Mestne občine Ptuj sprejme predlog Sklepa o potrditvi </w:t>
            </w:r>
            <w:r w:rsidR="00351CBA" w:rsidRPr="00351CBA">
              <w:rPr>
                <w:rFonts w:ascii="Arial" w:hAnsi="Arial" w:cs="Arial"/>
                <w:sz w:val="20"/>
                <w:szCs w:val="20"/>
              </w:rPr>
              <w:t>Dokumenta identifikacije investicijskega projekta (DIIP) »</w:t>
            </w:r>
            <w:r w:rsidR="003A2C20">
              <w:rPr>
                <w:rFonts w:ascii="Arial" w:hAnsi="Arial" w:cs="Arial"/>
                <w:sz w:val="20"/>
                <w:szCs w:val="20"/>
              </w:rPr>
              <w:t>Ureditev infrastrukture na pokopališču</w:t>
            </w:r>
            <w:r w:rsidR="00351CBA" w:rsidRPr="00351CBA">
              <w:rPr>
                <w:rFonts w:ascii="Arial" w:hAnsi="Arial" w:cs="Arial"/>
                <w:sz w:val="20"/>
                <w:szCs w:val="20"/>
              </w:rPr>
              <w:t>«</w:t>
            </w:r>
            <w:r w:rsidR="00351C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65D0" w:rsidRPr="005F09A6">
              <w:rPr>
                <w:rFonts w:ascii="Arial" w:hAnsi="Arial" w:cs="Arial"/>
                <w:sz w:val="20"/>
                <w:szCs w:val="20"/>
              </w:rPr>
              <w:t>v predloženem besedilu.</w:t>
            </w:r>
          </w:p>
        </w:tc>
      </w:tr>
    </w:tbl>
    <w:p w:rsidR="006C105E" w:rsidRPr="004D64EF" w:rsidRDefault="006C105E" w:rsidP="00ED26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03327" w:rsidRPr="004D64EF" w:rsidRDefault="00803327" w:rsidP="00ED26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377D0" w:rsidRPr="004D64EF" w:rsidRDefault="002377D0" w:rsidP="00ED26F8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4D64EF">
        <w:rPr>
          <w:rFonts w:ascii="Arial" w:hAnsi="Arial" w:cs="Arial"/>
          <w:bCs/>
          <w:sz w:val="20"/>
          <w:szCs w:val="20"/>
        </w:rPr>
        <w:t>Nuška G</w:t>
      </w:r>
      <w:r w:rsidR="00646A9C" w:rsidRPr="004D64EF">
        <w:rPr>
          <w:rFonts w:ascii="Arial" w:hAnsi="Arial" w:cs="Arial"/>
          <w:bCs/>
          <w:sz w:val="20"/>
          <w:szCs w:val="20"/>
        </w:rPr>
        <w:t>ajšek</w:t>
      </w:r>
    </w:p>
    <w:p w:rsidR="00A25E01" w:rsidRDefault="00FA5926" w:rsidP="00AE7C1E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ž</w:t>
      </w:r>
      <w:r w:rsidR="00646A9C" w:rsidRPr="004D64EF">
        <w:rPr>
          <w:rFonts w:ascii="Arial" w:hAnsi="Arial" w:cs="Arial"/>
          <w:bCs/>
          <w:sz w:val="20"/>
          <w:szCs w:val="20"/>
        </w:rPr>
        <w:t>upanja</w:t>
      </w:r>
    </w:p>
    <w:p w:rsidR="008B7543" w:rsidRDefault="008B7543" w:rsidP="00AE7C1E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</w:p>
    <w:p w:rsidR="008B7543" w:rsidRPr="004D64EF" w:rsidRDefault="008B7543" w:rsidP="00AE7C1E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</w:p>
    <w:p w:rsidR="00D45094" w:rsidRPr="004D64EF" w:rsidRDefault="00D45094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FA5926" w:rsidRDefault="00FA5926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3E1B6A" w:rsidRDefault="003E1B6A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235730" w:rsidRPr="004D64EF" w:rsidRDefault="00235730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>Priloge:</w:t>
      </w:r>
    </w:p>
    <w:p w:rsidR="00351CBA" w:rsidRDefault="00351CBA" w:rsidP="00301A46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51CBA">
        <w:rPr>
          <w:rFonts w:ascii="Arial" w:hAnsi="Arial" w:cs="Arial"/>
          <w:sz w:val="20"/>
          <w:szCs w:val="20"/>
          <w:lang w:eastAsia="en-US"/>
        </w:rPr>
        <w:t>Dokument identifikacije investicijskega projekta</w:t>
      </w:r>
      <w:r w:rsidR="003E1B6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E1B6A" w:rsidRPr="00351CBA">
        <w:rPr>
          <w:rFonts w:ascii="Arial" w:hAnsi="Arial" w:cs="Arial"/>
          <w:sz w:val="20"/>
          <w:szCs w:val="20"/>
        </w:rPr>
        <w:t>(DIIP</w:t>
      </w:r>
      <w:r w:rsidR="003E1B6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351CBA">
        <w:rPr>
          <w:rFonts w:ascii="Arial" w:hAnsi="Arial" w:cs="Arial"/>
          <w:sz w:val="20"/>
          <w:szCs w:val="20"/>
          <w:lang w:eastAsia="en-US"/>
        </w:rPr>
        <w:t>»</w:t>
      </w:r>
      <w:r w:rsidR="003A2C20">
        <w:rPr>
          <w:rFonts w:ascii="Arial" w:hAnsi="Arial" w:cs="Arial"/>
          <w:sz w:val="20"/>
          <w:szCs w:val="20"/>
        </w:rPr>
        <w:t>Ureditev infrastrukture na pokopališču</w:t>
      </w:r>
      <w:r w:rsidRPr="00351CBA">
        <w:rPr>
          <w:rFonts w:ascii="Arial" w:hAnsi="Arial" w:cs="Arial"/>
          <w:sz w:val="20"/>
          <w:szCs w:val="20"/>
          <w:lang w:eastAsia="en-US"/>
        </w:rPr>
        <w:t>«</w:t>
      </w:r>
    </w:p>
    <w:p w:rsidR="005F09A6" w:rsidRPr="003E1B6A" w:rsidRDefault="00AE7C1E" w:rsidP="00226097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51CBA">
        <w:rPr>
          <w:rFonts w:ascii="Arial" w:hAnsi="Arial" w:cs="Arial"/>
          <w:sz w:val="20"/>
          <w:szCs w:val="20"/>
        </w:rPr>
        <w:t>P</w:t>
      </w:r>
      <w:r w:rsidR="00C310A9" w:rsidRPr="00351CBA">
        <w:rPr>
          <w:rFonts w:ascii="Arial" w:hAnsi="Arial" w:cs="Arial"/>
          <w:sz w:val="20"/>
          <w:szCs w:val="20"/>
        </w:rPr>
        <w:t xml:space="preserve">redlog Sklepa o potrditvi </w:t>
      </w:r>
      <w:r w:rsidR="00351CBA" w:rsidRPr="00351CBA">
        <w:rPr>
          <w:rFonts w:ascii="Arial" w:hAnsi="Arial" w:cs="Arial"/>
          <w:sz w:val="20"/>
          <w:szCs w:val="20"/>
        </w:rPr>
        <w:t>Dokumenta identifikacije investicijskega projekta (DIIP) »</w:t>
      </w:r>
      <w:r w:rsidR="003A2C20">
        <w:rPr>
          <w:rFonts w:ascii="Arial" w:hAnsi="Arial" w:cs="Arial"/>
          <w:sz w:val="20"/>
          <w:szCs w:val="20"/>
        </w:rPr>
        <w:t>Ureditev infrastrukture na pokopališču</w:t>
      </w:r>
      <w:r w:rsidR="00351CBA" w:rsidRPr="00351CBA">
        <w:rPr>
          <w:rFonts w:ascii="Arial" w:hAnsi="Arial" w:cs="Arial"/>
          <w:sz w:val="20"/>
          <w:szCs w:val="20"/>
        </w:rPr>
        <w:t>«</w:t>
      </w:r>
    </w:p>
    <w:p w:rsidR="003A2C20" w:rsidRDefault="003A2C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97B7B" w:rsidRPr="004D64EF" w:rsidRDefault="00197B7B" w:rsidP="00ED26F8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lastRenderedPageBreak/>
        <w:t>P</w:t>
      </w:r>
      <w:r w:rsidR="00FA5926" w:rsidRPr="004D64EF">
        <w:rPr>
          <w:rFonts w:ascii="Arial" w:hAnsi="Arial" w:cs="Arial"/>
          <w:sz w:val="20"/>
          <w:szCs w:val="20"/>
        </w:rPr>
        <w:t>redlog</w:t>
      </w:r>
    </w:p>
    <w:p w:rsidR="00197B7B" w:rsidRPr="004D64EF" w:rsidRDefault="001F3CA5" w:rsidP="00ED26F8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</w:t>
      </w:r>
      <w:r w:rsidR="00AE7C1E" w:rsidRPr="004D64EF">
        <w:rPr>
          <w:rFonts w:ascii="Arial" w:hAnsi="Arial" w:cs="Arial"/>
          <w:sz w:val="20"/>
          <w:szCs w:val="20"/>
        </w:rPr>
        <w:t xml:space="preserve"> </w:t>
      </w:r>
      <w:r w:rsidR="00197B7B" w:rsidRPr="004D64EF">
        <w:rPr>
          <w:rFonts w:ascii="Arial" w:hAnsi="Arial" w:cs="Arial"/>
          <w:sz w:val="20"/>
          <w:szCs w:val="20"/>
        </w:rPr>
        <w:t xml:space="preserve"> 202</w:t>
      </w:r>
      <w:r w:rsidR="00EB3028">
        <w:rPr>
          <w:rFonts w:ascii="Arial" w:hAnsi="Arial" w:cs="Arial"/>
          <w:sz w:val="20"/>
          <w:szCs w:val="20"/>
        </w:rPr>
        <w:t>1</w:t>
      </w:r>
    </w:p>
    <w:p w:rsidR="00197B7B" w:rsidRPr="004D64EF" w:rsidRDefault="00197B7B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7B7B" w:rsidRPr="004D64EF" w:rsidRDefault="009C3645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podlagi 11. in 18</w:t>
      </w:r>
      <w:r w:rsidR="00197B7B" w:rsidRPr="004D64EF">
        <w:rPr>
          <w:rFonts w:ascii="Arial" w:hAnsi="Arial" w:cs="Arial"/>
          <w:sz w:val="20"/>
          <w:szCs w:val="20"/>
        </w:rPr>
        <w:t>. člena Uredbe o enotni metodologiji za pripravo in obravnavo investicijske dokumentacije na področju javnih financ (Uradni list RS, št. 60/06, 54/10 in 27/16) in 12. člena Statuta Mestne občine Ptuj (Uradni vestnik Mestne občine Ptuj, št. 9/07</w:t>
      </w:r>
      <w:r w:rsidR="00FA5926">
        <w:rPr>
          <w:rFonts w:ascii="Arial" w:hAnsi="Arial" w:cs="Arial"/>
          <w:sz w:val="20"/>
          <w:szCs w:val="20"/>
        </w:rPr>
        <w:t xml:space="preserve"> in 14/20</w:t>
      </w:r>
      <w:r w:rsidR="00197B7B" w:rsidRPr="004D64EF">
        <w:rPr>
          <w:rFonts w:ascii="Arial" w:hAnsi="Arial" w:cs="Arial"/>
          <w:sz w:val="20"/>
          <w:szCs w:val="20"/>
        </w:rPr>
        <w:t>) je Mestni svet Mestne občine Ptuj na ___ seji, dne ___________, sprejel naslednji</w:t>
      </w:r>
    </w:p>
    <w:p w:rsidR="00197B7B" w:rsidRPr="004D64EF" w:rsidRDefault="00197B7B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7B7B" w:rsidRPr="004D64EF" w:rsidRDefault="00197B7B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7B7B" w:rsidRPr="008B7543" w:rsidRDefault="008B7543" w:rsidP="00ED26F8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8B7543">
        <w:rPr>
          <w:rFonts w:ascii="Arial" w:hAnsi="Arial" w:cs="Arial"/>
          <w:b/>
          <w:sz w:val="20"/>
          <w:szCs w:val="20"/>
        </w:rPr>
        <w:t>SKLEP</w:t>
      </w:r>
    </w:p>
    <w:p w:rsidR="00351CBA" w:rsidRDefault="008B7543" w:rsidP="00ED26F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B7543">
        <w:rPr>
          <w:rFonts w:ascii="Arial" w:hAnsi="Arial" w:cs="Arial"/>
          <w:b/>
          <w:sz w:val="20"/>
          <w:szCs w:val="20"/>
        </w:rPr>
        <w:t xml:space="preserve">O POTRDITVI </w:t>
      </w:r>
      <w:r w:rsidR="00351CBA" w:rsidRPr="00351CBA">
        <w:rPr>
          <w:rFonts w:ascii="Arial" w:hAnsi="Arial" w:cs="Arial"/>
          <w:b/>
          <w:sz w:val="20"/>
          <w:szCs w:val="20"/>
        </w:rPr>
        <w:t>DOKUMENT</w:t>
      </w:r>
      <w:r w:rsidR="00351CBA">
        <w:rPr>
          <w:rFonts w:ascii="Arial" w:hAnsi="Arial" w:cs="Arial"/>
          <w:b/>
          <w:sz w:val="20"/>
          <w:szCs w:val="20"/>
        </w:rPr>
        <w:t>A</w:t>
      </w:r>
      <w:r w:rsidR="00351CBA" w:rsidRPr="00351CBA">
        <w:rPr>
          <w:rFonts w:ascii="Arial" w:hAnsi="Arial" w:cs="Arial"/>
          <w:b/>
          <w:sz w:val="20"/>
          <w:szCs w:val="20"/>
        </w:rPr>
        <w:t xml:space="preserve"> IDENTIFIKACIJE INVESTICIJSKEGA PROJEKTA</w:t>
      </w:r>
      <w:r w:rsidRPr="008B7543">
        <w:rPr>
          <w:rFonts w:ascii="Arial" w:hAnsi="Arial" w:cs="Arial"/>
          <w:b/>
          <w:sz w:val="20"/>
          <w:szCs w:val="20"/>
        </w:rPr>
        <w:t xml:space="preserve"> (</w:t>
      </w:r>
      <w:r w:rsidR="00351CBA">
        <w:rPr>
          <w:rFonts w:ascii="Arial" w:hAnsi="Arial" w:cs="Arial"/>
          <w:b/>
          <w:sz w:val="20"/>
          <w:szCs w:val="20"/>
        </w:rPr>
        <w:t>DIIP</w:t>
      </w:r>
      <w:r w:rsidRPr="008B7543">
        <w:rPr>
          <w:rFonts w:ascii="Arial" w:hAnsi="Arial" w:cs="Arial"/>
          <w:b/>
          <w:sz w:val="20"/>
          <w:szCs w:val="20"/>
        </w:rPr>
        <w:t xml:space="preserve">) </w:t>
      </w:r>
    </w:p>
    <w:p w:rsidR="00243202" w:rsidRPr="008B7543" w:rsidRDefault="00351CBA" w:rsidP="00351CB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B7543">
        <w:rPr>
          <w:rFonts w:ascii="Arial" w:hAnsi="Arial" w:cs="Arial"/>
          <w:b/>
          <w:bCs/>
          <w:sz w:val="20"/>
          <w:szCs w:val="20"/>
        </w:rPr>
        <w:t>»</w:t>
      </w:r>
      <w:r w:rsidR="003A2C20">
        <w:rPr>
          <w:rFonts w:ascii="Arial" w:hAnsi="Arial" w:cs="Arial"/>
          <w:b/>
          <w:sz w:val="20"/>
          <w:szCs w:val="20"/>
        </w:rPr>
        <w:t>UREDITEV INFRASTRUKTURE NA POKOPALIŠČU</w:t>
      </w:r>
      <w:r w:rsidRPr="008B7543">
        <w:rPr>
          <w:rFonts w:ascii="Arial" w:hAnsi="Arial" w:cs="Arial"/>
          <w:b/>
          <w:sz w:val="20"/>
          <w:szCs w:val="20"/>
        </w:rPr>
        <w:t>«</w:t>
      </w:r>
    </w:p>
    <w:p w:rsidR="009E2C3B" w:rsidRPr="004D64EF" w:rsidRDefault="009E2C3B" w:rsidP="00ED26F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97B7B" w:rsidRPr="004D64EF" w:rsidRDefault="00197B7B" w:rsidP="00ED26F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D64EF">
        <w:rPr>
          <w:rFonts w:ascii="Arial" w:hAnsi="Arial" w:cs="Arial"/>
          <w:b/>
          <w:sz w:val="20"/>
          <w:szCs w:val="20"/>
        </w:rPr>
        <w:t>1.</w:t>
      </w:r>
    </w:p>
    <w:p w:rsidR="00197B7B" w:rsidRPr="004D64EF" w:rsidRDefault="00197B7B" w:rsidP="00351CB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 xml:space="preserve">Mestni svet Mestne občine Ptuj potrjuje </w:t>
      </w:r>
      <w:r w:rsidR="00351CBA" w:rsidRPr="00351CBA">
        <w:rPr>
          <w:rFonts w:ascii="Arial" w:hAnsi="Arial" w:cs="Arial"/>
          <w:sz w:val="20"/>
          <w:szCs w:val="20"/>
        </w:rPr>
        <w:t>Dokument identifikacije investicijskega projekta (DIIP) »</w:t>
      </w:r>
      <w:r w:rsidR="003A2C20">
        <w:rPr>
          <w:rFonts w:ascii="Arial" w:hAnsi="Arial" w:cs="Arial"/>
          <w:sz w:val="20"/>
          <w:szCs w:val="20"/>
        </w:rPr>
        <w:t>Ureditev infrastrukture na pokopališču</w:t>
      </w:r>
      <w:r w:rsidR="00351CBA" w:rsidRPr="00351CBA">
        <w:rPr>
          <w:rFonts w:ascii="Arial" w:hAnsi="Arial" w:cs="Arial"/>
          <w:sz w:val="20"/>
          <w:szCs w:val="20"/>
        </w:rPr>
        <w:t>«</w:t>
      </w:r>
      <w:r w:rsidR="009C3645">
        <w:rPr>
          <w:rFonts w:ascii="Arial" w:hAnsi="Arial" w:cs="Arial"/>
          <w:sz w:val="20"/>
          <w:szCs w:val="20"/>
        </w:rPr>
        <w:t>.</w:t>
      </w:r>
    </w:p>
    <w:p w:rsidR="00121538" w:rsidRDefault="00121538" w:rsidP="00ED26F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97B7B" w:rsidRPr="004D64EF" w:rsidRDefault="00197B7B" w:rsidP="00ED26F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D64EF">
        <w:rPr>
          <w:rFonts w:ascii="Arial" w:hAnsi="Arial" w:cs="Arial"/>
          <w:b/>
          <w:sz w:val="20"/>
          <w:szCs w:val="20"/>
        </w:rPr>
        <w:t>2.</w:t>
      </w:r>
    </w:p>
    <w:p w:rsidR="00197B7B" w:rsidRPr="004D64EF" w:rsidRDefault="009E2C3B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 xml:space="preserve">Projekt </w:t>
      </w:r>
      <w:r w:rsidR="008B7543">
        <w:rPr>
          <w:rFonts w:ascii="Arial" w:hAnsi="Arial" w:cs="Arial"/>
          <w:sz w:val="20"/>
          <w:szCs w:val="20"/>
        </w:rPr>
        <w:t>bo izveden s sredstvi proračuna Mestne občine Ptuj</w:t>
      </w:r>
      <w:r w:rsidR="00351CBA">
        <w:rPr>
          <w:rFonts w:ascii="Arial" w:hAnsi="Arial" w:cs="Arial"/>
          <w:sz w:val="20"/>
          <w:szCs w:val="20"/>
        </w:rPr>
        <w:t>.</w:t>
      </w:r>
    </w:p>
    <w:p w:rsidR="00197B7B" w:rsidRPr="004D64EF" w:rsidRDefault="00197B7B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7B7B" w:rsidRPr="004D64EF" w:rsidRDefault="00197B7B" w:rsidP="00ED26F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D64EF">
        <w:rPr>
          <w:rFonts w:ascii="Arial" w:hAnsi="Arial" w:cs="Arial"/>
          <w:b/>
          <w:sz w:val="20"/>
          <w:szCs w:val="20"/>
        </w:rPr>
        <w:t>3.</w:t>
      </w:r>
    </w:p>
    <w:p w:rsidR="00197B7B" w:rsidRPr="004D64EF" w:rsidRDefault="00197B7B" w:rsidP="00ED26F8">
      <w:pPr>
        <w:spacing w:line="276" w:lineRule="auto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>Ta sk</w:t>
      </w:r>
      <w:r w:rsidR="00FF2ED5" w:rsidRPr="004D64EF">
        <w:rPr>
          <w:rFonts w:ascii="Arial" w:hAnsi="Arial" w:cs="Arial"/>
          <w:sz w:val="20"/>
          <w:szCs w:val="20"/>
        </w:rPr>
        <w:t>lep začne veljati z dnem sprejem</w:t>
      </w:r>
      <w:r w:rsidRPr="004D64EF">
        <w:rPr>
          <w:rFonts w:ascii="Arial" w:hAnsi="Arial" w:cs="Arial"/>
          <w:sz w:val="20"/>
          <w:szCs w:val="20"/>
        </w:rPr>
        <w:t>a na Mestnem svetu Mestne občine Ptuj.</w:t>
      </w:r>
    </w:p>
    <w:p w:rsidR="00197B7B" w:rsidRPr="004D64EF" w:rsidRDefault="00197B7B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7B7B" w:rsidRPr="004D64EF" w:rsidRDefault="00197B7B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B7543" w:rsidRDefault="00197B7B" w:rsidP="00ED26F8">
      <w:pPr>
        <w:spacing w:line="276" w:lineRule="auto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 xml:space="preserve">Številka: </w:t>
      </w:r>
      <w:r w:rsidR="001F3CA5" w:rsidRPr="001F3CA5">
        <w:rPr>
          <w:rFonts w:ascii="Arial" w:hAnsi="Arial" w:cs="Arial"/>
          <w:sz w:val="20"/>
          <w:szCs w:val="20"/>
        </w:rPr>
        <w:t>354-80/2020-17</w:t>
      </w:r>
    </w:p>
    <w:p w:rsidR="00197B7B" w:rsidRPr="004D64EF" w:rsidRDefault="00197B7B" w:rsidP="00ED26F8">
      <w:pPr>
        <w:spacing w:line="276" w:lineRule="auto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 xml:space="preserve">Datum: </w:t>
      </w:r>
    </w:p>
    <w:p w:rsidR="00197B7B" w:rsidRPr="004D64EF" w:rsidRDefault="00197B7B" w:rsidP="00ED26F8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:rsidR="00BF58A3" w:rsidRPr="004D64EF" w:rsidRDefault="00BF58A3" w:rsidP="00D255E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BF58A3" w:rsidRPr="004D64EF" w:rsidRDefault="00BF58A3" w:rsidP="00BF58A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D64EF">
        <w:rPr>
          <w:rFonts w:ascii="Arial" w:hAnsi="Arial" w:cs="Arial"/>
          <w:b/>
          <w:sz w:val="20"/>
          <w:szCs w:val="20"/>
        </w:rPr>
        <w:t>Obrazložitev:</w:t>
      </w:r>
    </w:p>
    <w:p w:rsidR="00BF58A3" w:rsidRDefault="00BF58A3" w:rsidP="00BF58A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9C021E" w:rsidRPr="009C021E" w:rsidRDefault="009C021E" w:rsidP="00351C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021E">
        <w:rPr>
          <w:rFonts w:ascii="Arial" w:hAnsi="Arial" w:cs="Arial"/>
          <w:sz w:val="20"/>
          <w:szCs w:val="20"/>
        </w:rPr>
        <w:t xml:space="preserve">Predmet investicijskega projekta je </w:t>
      </w:r>
      <w:r w:rsidR="000760A1" w:rsidRPr="000760A1">
        <w:rPr>
          <w:rFonts w:ascii="Arial" w:hAnsi="Arial" w:cs="Arial"/>
          <w:sz w:val="20"/>
          <w:szCs w:val="20"/>
        </w:rPr>
        <w:t>dotrajanost, energetska neučinkovitost, pomanjkanje prostora ter neprimernost oz. nefunkcionalnost obstoječe mrliške vežice za namen, za katerega je zgrajena</w:t>
      </w:r>
      <w:r w:rsidR="000760A1">
        <w:rPr>
          <w:rFonts w:ascii="Arial" w:hAnsi="Arial" w:cs="Arial"/>
          <w:sz w:val="20"/>
          <w:szCs w:val="20"/>
        </w:rPr>
        <w:t xml:space="preserve">. </w:t>
      </w:r>
      <w:r w:rsidR="000760A1" w:rsidRPr="000760A1">
        <w:rPr>
          <w:rFonts w:ascii="Arial" w:hAnsi="Arial" w:cs="Arial"/>
          <w:sz w:val="20"/>
          <w:szCs w:val="20"/>
        </w:rPr>
        <w:t>Cilj investicije je rešitev starega in izgradnja novega objekta vežice s ploščadjo ter predaja objekta primarnemu namenu, ureditev ustreznega prostora za opravljanje dejavnosti ter ureditev okolice objekta, kar bo imelo več pozitivnih posledic na ožjo in širšo okolico pokopališča.</w:t>
      </w:r>
    </w:p>
    <w:p w:rsidR="009C021E" w:rsidRPr="009C021E" w:rsidRDefault="009C021E" w:rsidP="009C021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67B6B" w:rsidRPr="009C021E" w:rsidRDefault="00267B6B" w:rsidP="00267B6B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C021E">
        <w:rPr>
          <w:rFonts w:ascii="Arial" w:hAnsi="Arial" w:cs="Arial"/>
          <w:color w:val="auto"/>
          <w:sz w:val="20"/>
          <w:szCs w:val="20"/>
        </w:rPr>
        <w:t xml:space="preserve">Faza </w:t>
      </w:r>
      <w:r>
        <w:rPr>
          <w:rFonts w:ascii="Arial" w:hAnsi="Arial" w:cs="Arial"/>
          <w:color w:val="auto"/>
          <w:sz w:val="20"/>
          <w:szCs w:val="20"/>
        </w:rPr>
        <w:t>izdelave projektne dokumentacije</w:t>
      </w:r>
      <w:r w:rsidRPr="009C021E">
        <w:rPr>
          <w:rFonts w:ascii="Arial" w:hAnsi="Arial" w:cs="Arial"/>
          <w:color w:val="auto"/>
          <w:sz w:val="20"/>
          <w:szCs w:val="20"/>
        </w:rPr>
        <w:t xml:space="preserve"> je </w:t>
      </w:r>
      <w:r>
        <w:rPr>
          <w:rFonts w:ascii="Arial" w:hAnsi="Arial" w:cs="Arial"/>
          <w:color w:val="auto"/>
          <w:sz w:val="20"/>
          <w:szCs w:val="20"/>
        </w:rPr>
        <w:t>v teku</w:t>
      </w:r>
      <w:r w:rsidRPr="009C021E">
        <w:rPr>
          <w:rFonts w:ascii="Arial" w:hAnsi="Arial" w:cs="Arial"/>
          <w:color w:val="auto"/>
          <w:sz w:val="20"/>
          <w:szCs w:val="20"/>
        </w:rPr>
        <w:t xml:space="preserve">, gradbeno dovoljenje </w:t>
      </w:r>
      <w:r>
        <w:rPr>
          <w:rFonts w:ascii="Arial" w:hAnsi="Arial" w:cs="Arial"/>
          <w:color w:val="auto"/>
          <w:sz w:val="20"/>
          <w:szCs w:val="20"/>
        </w:rPr>
        <w:t>še ni</w:t>
      </w:r>
      <w:r w:rsidRPr="009C021E">
        <w:rPr>
          <w:rFonts w:ascii="Arial" w:hAnsi="Arial" w:cs="Arial"/>
          <w:color w:val="auto"/>
          <w:sz w:val="20"/>
          <w:szCs w:val="20"/>
        </w:rPr>
        <w:t xml:space="preserve"> pridobljeno.</w:t>
      </w:r>
    </w:p>
    <w:p w:rsidR="00267B6B" w:rsidRPr="009C021E" w:rsidRDefault="00267B6B" w:rsidP="00267B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67B6B" w:rsidRDefault="00267B6B" w:rsidP="00267B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021E">
        <w:rPr>
          <w:rFonts w:ascii="Arial" w:hAnsi="Arial" w:cs="Arial"/>
          <w:sz w:val="20"/>
          <w:szCs w:val="20"/>
        </w:rPr>
        <w:t xml:space="preserve">Vrednost investicijskega projekta znaša po stalnih cenah </w:t>
      </w:r>
      <w:r>
        <w:rPr>
          <w:rFonts w:ascii="Arial" w:hAnsi="Arial" w:cs="Arial"/>
          <w:sz w:val="20"/>
          <w:szCs w:val="20"/>
        </w:rPr>
        <w:t>865</w:t>
      </w:r>
      <w:r w:rsidRPr="000A2D8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997</w:t>
      </w:r>
      <w:r w:rsidRPr="000A2D8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48 </w:t>
      </w:r>
      <w:r w:rsidRPr="009C021E">
        <w:rPr>
          <w:rFonts w:ascii="Arial" w:hAnsi="Arial" w:cs="Arial"/>
          <w:sz w:val="20"/>
          <w:szCs w:val="20"/>
        </w:rPr>
        <w:t>EUR</w:t>
      </w:r>
      <w:r>
        <w:rPr>
          <w:rFonts w:ascii="Arial" w:hAnsi="Arial" w:cs="Arial"/>
          <w:sz w:val="20"/>
          <w:szCs w:val="20"/>
        </w:rPr>
        <w:t xml:space="preserve"> z DDV.</w:t>
      </w:r>
    </w:p>
    <w:p w:rsidR="00267B6B" w:rsidRDefault="00267B6B" w:rsidP="00267B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67B6B" w:rsidRPr="004D64EF" w:rsidRDefault="00267B6B" w:rsidP="00267B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60A1">
        <w:rPr>
          <w:rFonts w:ascii="Arial" w:hAnsi="Arial" w:cs="Arial"/>
          <w:sz w:val="20"/>
          <w:szCs w:val="20"/>
        </w:rPr>
        <w:t>Osnova za oceno vrednosti temeljijo na podlagi projektantsko ocenjenih vrednosti iz DGD projektne dokumentacije, katero je izdelalo podjetje Sokpro d.o.o., Gorišnica 56, 2272 Gorišnica.</w:t>
      </w:r>
    </w:p>
    <w:p w:rsidR="00267B6B" w:rsidRDefault="00267B6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267B6B" w:rsidRDefault="00267B6B" w:rsidP="00267B6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D64EF">
        <w:rPr>
          <w:rFonts w:ascii="Arial" w:hAnsi="Arial" w:cs="Arial"/>
          <w:b/>
          <w:sz w:val="20"/>
          <w:szCs w:val="20"/>
        </w:rPr>
        <w:lastRenderedPageBreak/>
        <w:t>Ocena celotnih investicijskih stroškov projekta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9"/>
        <w:gridCol w:w="3809"/>
        <w:gridCol w:w="1141"/>
        <w:gridCol w:w="1252"/>
        <w:gridCol w:w="1226"/>
        <w:gridCol w:w="1236"/>
      </w:tblGrid>
      <w:tr w:rsidR="00267B6B" w:rsidRPr="003A2C20" w:rsidTr="00D05225">
        <w:trPr>
          <w:trHeight w:val="300"/>
        </w:trPr>
        <w:tc>
          <w:tcPr>
            <w:tcW w:w="7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67B6B" w:rsidRPr="003A2C20" w:rsidRDefault="00267B6B" w:rsidP="00D0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67B6B" w:rsidRPr="003A2C20" w:rsidRDefault="00267B6B" w:rsidP="00D052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VSEBINA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67B6B" w:rsidRPr="003A2C20" w:rsidRDefault="00267B6B" w:rsidP="00D052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67B6B" w:rsidRPr="003A2C20" w:rsidRDefault="00267B6B" w:rsidP="00D052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VREDNOST</w:t>
            </w:r>
          </w:p>
        </w:tc>
        <w:tc>
          <w:tcPr>
            <w:tcW w:w="7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67B6B" w:rsidRPr="003A2C20" w:rsidRDefault="00267B6B" w:rsidP="00D052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DDV</w:t>
            </w:r>
          </w:p>
        </w:tc>
        <w:tc>
          <w:tcPr>
            <w:tcW w:w="7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67B6B" w:rsidRPr="003A2C20" w:rsidRDefault="00267B6B" w:rsidP="00D052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Skupaj </w:t>
            </w:r>
          </w:p>
        </w:tc>
      </w:tr>
      <w:tr w:rsidR="00267B6B" w:rsidRPr="003A2C20" w:rsidTr="00D05225">
        <w:trPr>
          <w:trHeight w:val="315"/>
        </w:trPr>
        <w:tc>
          <w:tcPr>
            <w:tcW w:w="7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7B6B" w:rsidRPr="003A2C20" w:rsidRDefault="00267B6B" w:rsidP="00D0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7B6B" w:rsidRPr="003A2C20" w:rsidRDefault="00267B6B" w:rsidP="00D052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7B6B" w:rsidRPr="003A2C20" w:rsidRDefault="00267B6B" w:rsidP="00D052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7B6B" w:rsidRPr="003A2C20" w:rsidRDefault="00267B6B" w:rsidP="00D052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7B6B" w:rsidRPr="003A2C20" w:rsidRDefault="00267B6B" w:rsidP="00D052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7B6B" w:rsidRPr="003A2C20" w:rsidRDefault="00267B6B" w:rsidP="00D052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7B6B" w:rsidRPr="003A2C20" w:rsidTr="00D05225">
        <w:trPr>
          <w:trHeight w:val="525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267B6B" w:rsidRPr="003A2C20" w:rsidRDefault="00267B6B" w:rsidP="00D052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Projektna dokumentacija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21.938,00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21.938,00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4.826,36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26.764,36</w:t>
            </w:r>
          </w:p>
        </w:tc>
      </w:tr>
      <w:tr w:rsidR="00267B6B" w:rsidRPr="003A2C20" w:rsidTr="00D05225">
        <w:trPr>
          <w:trHeight w:val="780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622722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267B6B" w:rsidP="00D0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IZP, DGD in PZI projektna dokumentacija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21.938,00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21.938,00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4.826,36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26.764,36</w:t>
            </w:r>
          </w:p>
        </w:tc>
      </w:tr>
      <w:tr w:rsidR="00267B6B" w:rsidRPr="003A2C20" w:rsidTr="00D05225">
        <w:trPr>
          <w:trHeight w:val="315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267B6B" w:rsidRPr="003A2C20" w:rsidRDefault="00267B6B" w:rsidP="00D052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Izvedbena dela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671.996,00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671.996,00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147.839,12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819.835,12</w:t>
            </w:r>
          </w:p>
        </w:tc>
      </w:tr>
      <w:tr w:rsidR="00267B6B" w:rsidRPr="003A2C20" w:rsidTr="00D05225">
        <w:trPr>
          <w:trHeight w:val="315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267B6B" w:rsidP="00D0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Rušitvena dela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7.230,00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7.230,00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1.590,60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8.820,60</w:t>
            </w:r>
          </w:p>
        </w:tc>
      </w:tr>
      <w:tr w:rsidR="00267B6B" w:rsidRPr="003A2C20" w:rsidTr="00D05225">
        <w:trPr>
          <w:trHeight w:val="315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267B6B" w:rsidP="00D0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Gradbena dela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227.142,00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227.142,00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49.971,24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277.113,24</w:t>
            </w:r>
          </w:p>
        </w:tc>
      </w:tr>
      <w:tr w:rsidR="00267B6B" w:rsidRPr="003A2C20" w:rsidTr="00D05225">
        <w:trPr>
          <w:trHeight w:val="315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267B6B" w:rsidP="00D0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Obrtniška dela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196.796,00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196.796,00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43.295,12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240.091,12</w:t>
            </w:r>
          </w:p>
        </w:tc>
      </w:tr>
      <w:tr w:rsidR="00267B6B" w:rsidRPr="003A2C20" w:rsidTr="00D05225">
        <w:trPr>
          <w:trHeight w:val="315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267B6B" w:rsidP="00D0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Oprema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17.600,00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97.600,00</w:t>
            </w:r>
          </w:p>
        </w:tc>
      </w:tr>
      <w:tr w:rsidR="00267B6B" w:rsidRPr="003A2C20" w:rsidTr="00D05225">
        <w:trPr>
          <w:trHeight w:val="315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267B6B" w:rsidP="00D0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Elektro inštalacije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46.987,00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46.987,00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10.337,14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57.324,14</w:t>
            </w:r>
          </w:p>
        </w:tc>
      </w:tr>
      <w:tr w:rsidR="00267B6B" w:rsidRPr="003A2C20" w:rsidTr="00D05225">
        <w:trPr>
          <w:trHeight w:val="315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267B6B" w:rsidP="00D0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Strojne inštalacije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62.451,00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62.451,00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13.739,22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76.190,22</w:t>
            </w:r>
          </w:p>
        </w:tc>
      </w:tr>
      <w:tr w:rsidR="00267B6B" w:rsidRPr="003A2C20" w:rsidTr="00D05225">
        <w:trPr>
          <w:trHeight w:val="315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267B6B" w:rsidP="00D0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Zunanja ureditev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51.390,00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51.390,00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11.305,80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62.695,80</w:t>
            </w:r>
          </w:p>
        </w:tc>
      </w:tr>
      <w:tr w:rsidR="00267B6B" w:rsidRPr="003A2C20" w:rsidTr="00D05225">
        <w:trPr>
          <w:trHeight w:val="315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267B6B" w:rsidRPr="003A2C20" w:rsidRDefault="00267B6B" w:rsidP="00D052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Nadzor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3A2C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</w:t>
            </w:r>
            <w:r w:rsidRPr="003A2C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14.900,00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3.278,00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18.178,00</w:t>
            </w:r>
          </w:p>
        </w:tc>
      </w:tr>
      <w:tr w:rsidR="00267B6B" w:rsidRPr="003A2C20" w:rsidTr="00D05225">
        <w:trPr>
          <w:trHeight w:val="315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267B6B" w:rsidP="00D0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Strokovni nadzor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12.900</w:t>
            </w: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12.900,00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2.838,00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15.738,00</w:t>
            </w:r>
          </w:p>
        </w:tc>
      </w:tr>
      <w:tr w:rsidR="00267B6B" w:rsidRPr="003A2C20" w:rsidTr="00D05225">
        <w:trPr>
          <w:trHeight w:val="315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267B6B" w:rsidP="00D0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Koordinator VZD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2.440,00</w:t>
            </w:r>
          </w:p>
        </w:tc>
      </w:tr>
      <w:tr w:rsidR="00267B6B" w:rsidRPr="003A2C20" w:rsidTr="00D05225">
        <w:trPr>
          <w:trHeight w:val="525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:rsidR="00267B6B" w:rsidRPr="003A2C20" w:rsidRDefault="00267B6B" w:rsidP="00D052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Informiranje in obveščanje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3A2C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3A2C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</w:t>
            </w:r>
            <w:r w:rsidRPr="003A2C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1.220</w:t>
            </w:r>
            <w:r w:rsidRPr="003A2C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267B6B" w:rsidRPr="003A2C20" w:rsidTr="00D05225">
        <w:trPr>
          <w:trHeight w:val="525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B6B" w:rsidRPr="003A2C20" w:rsidRDefault="00267B6B" w:rsidP="00D0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Informiranje in obveščanje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1.220</w:t>
            </w: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267B6B" w:rsidRPr="003A2C20" w:rsidTr="00D05225">
        <w:trPr>
          <w:trHeight w:val="315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67B6B" w:rsidRPr="003A2C20" w:rsidRDefault="00267B6B" w:rsidP="00D052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VREDNOST SKUPAJ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709.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834</w:t>
            </w:r>
            <w:r w:rsidRPr="003A2C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Pr="003A2C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834</w:t>
            </w:r>
            <w:r w:rsidRPr="003A2C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07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B6B" w:rsidRPr="003A2C20" w:rsidRDefault="00267B6B" w:rsidP="00D0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7B6B" w:rsidRPr="003A2C20" w:rsidTr="00D05225">
        <w:trPr>
          <w:trHeight w:val="315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67B6B" w:rsidRPr="003A2C20" w:rsidRDefault="00267B6B" w:rsidP="00D052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VREDNOST DDV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6.163,48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6.163,48</w:t>
            </w:r>
          </w:p>
        </w:tc>
        <w:tc>
          <w:tcPr>
            <w:tcW w:w="1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B6B" w:rsidRPr="003A2C20" w:rsidRDefault="00267B6B" w:rsidP="00D0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7B6B" w:rsidRPr="003A2C20" w:rsidTr="00D05225">
        <w:trPr>
          <w:trHeight w:val="315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67B6B" w:rsidRPr="003A2C20" w:rsidRDefault="00267B6B" w:rsidP="00D052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VREDNOST Z DDV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865.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997,48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67B6B" w:rsidRPr="003A2C20" w:rsidRDefault="00267B6B" w:rsidP="00D0522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865.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997</w:t>
            </w:r>
            <w:r w:rsidRPr="003A2C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B6B" w:rsidRPr="003A2C20" w:rsidRDefault="00267B6B" w:rsidP="00D0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C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267B6B" w:rsidRDefault="00267B6B" w:rsidP="00267B6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979"/>
        <w:gridCol w:w="1979"/>
        <w:gridCol w:w="1980"/>
      </w:tblGrid>
      <w:tr w:rsidR="00267B6B" w:rsidRPr="006C6FA6" w:rsidTr="00D05225">
        <w:trPr>
          <w:trHeight w:val="300"/>
          <w:jc w:val="center"/>
        </w:trPr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267B6B" w:rsidRPr="006C6FA6" w:rsidRDefault="00267B6B" w:rsidP="00D052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FA6">
              <w:rPr>
                <w:rFonts w:ascii="Arial" w:hAnsi="Arial" w:cs="Arial"/>
                <w:b/>
                <w:sz w:val="20"/>
                <w:szCs w:val="20"/>
              </w:rPr>
              <w:t>VIR FINANCIRANJA</w:t>
            </w:r>
          </w:p>
        </w:tc>
        <w:tc>
          <w:tcPr>
            <w:tcW w:w="1979" w:type="dxa"/>
            <w:shd w:val="clear" w:color="auto" w:fill="F2F2F2" w:themeFill="background1" w:themeFillShade="F2"/>
            <w:noWrap/>
            <w:vAlign w:val="center"/>
            <w:hideMark/>
          </w:tcPr>
          <w:p w:rsidR="00267B6B" w:rsidRPr="006C6FA6" w:rsidRDefault="00267B6B" w:rsidP="00D052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FA6">
              <w:rPr>
                <w:rFonts w:ascii="Arial" w:hAnsi="Arial" w:cs="Arial"/>
                <w:b/>
                <w:sz w:val="20"/>
                <w:szCs w:val="20"/>
              </w:rPr>
              <w:t>VREDNOST</w:t>
            </w:r>
          </w:p>
        </w:tc>
        <w:tc>
          <w:tcPr>
            <w:tcW w:w="1979" w:type="dxa"/>
            <w:shd w:val="clear" w:color="auto" w:fill="F2F2F2" w:themeFill="background1" w:themeFillShade="F2"/>
            <w:noWrap/>
            <w:vAlign w:val="center"/>
            <w:hideMark/>
          </w:tcPr>
          <w:p w:rsidR="00267B6B" w:rsidRPr="006C6FA6" w:rsidRDefault="00267B6B" w:rsidP="00D052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FA6">
              <w:rPr>
                <w:rFonts w:ascii="Arial" w:hAnsi="Arial" w:cs="Arial"/>
                <w:b/>
                <w:sz w:val="20"/>
                <w:szCs w:val="20"/>
              </w:rPr>
              <w:t>DDV</w:t>
            </w:r>
          </w:p>
        </w:tc>
        <w:tc>
          <w:tcPr>
            <w:tcW w:w="1980" w:type="dxa"/>
            <w:shd w:val="clear" w:color="auto" w:fill="F2F2F2" w:themeFill="background1" w:themeFillShade="F2"/>
            <w:noWrap/>
            <w:vAlign w:val="center"/>
            <w:hideMark/>
          </w:tcPr>
          <w:p w:rsidR="00267B6B" w:rsidRPr="006C6FA6" w:rsidRDefault="00267B6B" w:rsidP="00D052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FA6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</w:tc>
      </w:tr>
      <w:tr w:rsidR="00267B6B" w:rsidRPr="006C6FA6" w:rsidTr="00D05225">
        <w:trPr>
          <w:trHeight w:val="300"/>
          <w:jc w:val="center"/>
        </w:trPr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267B6B" w:rsidRPr="006C6FA6" w:rsidRDefault="00267B6B" w:rsidP="00D05225">
            <w:pPr>
              <w:rPr>
                <w:rFonts w:ascii="Arial" w:hAnsi="Arial" w:cs="Arial"/>
                <w:sz w:val="20"/>
                <w:szCs w:val="20"/>
              </w:rPr>
            </w:pPr>
            <w:r w:rsidRPr="006C6FA6">
              <w:rPr>
                <w:rFonts w:ascii="Arial" w:hAnsi="Arial" w:cs="Arial"/>
                <w:sz w:val="20"/>
                <w:szCs w:val="20"/>
              </w:rPr>
              <w:t>Mestna občina Ptuj</w:t>
            </w:r>
          </w:p>
        </w:tc>
        <w:tc>
          <w:tcPr>
            <w:tcW w:w="1979" w:type="dxa"/>
            <w:shd w:val="clear" w:color="auto" w:fill="FFFFFF" w:themeFill="background1"/>
            <w:noWrap/>
            <w:vAlign w:val="center"/>
            <w:hideMark/>
          </w:tcPr>
          <w:p w:rsidR="00267B6B" w:rsidRPr="006C6FA6" w:rsidRDefault="00267B6B" w:rsidP="00D05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A6">
              <w:rPr>
                <w:rFonts w:ascii="Arial" w:hAnsi="Arial" w:cs="Arial"/>
                <w:sz w:val="20"/>
                <w:szCs w:val="20"/>
              </w:rPr>
              <w:t>600.255,88</w:t>
            </w:r>
          </w:p>
        </w:tc>
        <w:tc>
          <w:tcPr>
            <w:tcW w:w="1979" w:type="dxa"/>
            <w:shd w:val="clear" w:color="auto" w:fill="FFFFFF" w:themeFill="background1"/>
            <w:noWrap/>
            <w:vAlign w:val="center"/>
            <w:hideMark/>
          </w:tcPr>
          <w:p w:rsidR="00267B6B" w:rsidRPr="006C6FA6" w:rsidRDefault="00267B6B" w:rsidP="00D05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A6">
              <w:rPr>
                <w:rFonts w:ascii="Arial" w:hAnsi="Arial" w:cs="Arial"/>
                <w:sz w:val="20"/>
                <w:szCs w:val="20"/>
              </w:rPr>
              <w:t>132.056,29</w:t>
            </w:r>
          </w:p>
        </w:tc>
        <w:tc>
          <w:tcPr>
            <w:tcW w:w="1980" w:type="dxa"/>
            <w:shd w:val="clear" w:color="auto" w:fill="F2F2F2" w:themeFill="background1" w:themeFillShade="F2"/>
            <w:noWrap/>
            <w:vAlign w:val="center"/>
            <w:hideMark/>
          </w:tcPr>
          <w:p w:rsidR="00267B6B" w:rsidRPr="006C6FA6" w:rsidRDefault="00267B6B" w:rsidP="00D05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A6">
              <w:rPr>
                <w:rFonts w:ascii="Arial" w:hAnsi="Arial" w:cs="Arial"/>
                <w:sz w:val="20"/>
                <w:szCs w:val="20"/>
              </w:rPr>
              <w:t>732.312,17</w:t>
            </w:r>
          </w:p>
        </w:tc>
      </w:tr>
      <w:tr w:rsidR="00267B6B" w:rsidRPr="006C6FA6" w:rsidTr="00D05225">
        <w:trPr>
          <w:trHeight w:val="300"/>
          <w:jc w:val="center"/>
        </w:trPr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267B6B" w:rsidRPr="006C6FA6" w:rsidRDefault="00267B6B" w:rsidP="00D05225">
            <w:pPr>
              <w:rPr>
                <w:rFonts w:ascii="Arial" w:hAnsi="Arial" w:cs="Arial"/>
                <w:sz w:val="20"/>
                <w:szCs w:val="20"/>
              </w:rPr>
            </w:pPr>
            <w:r w:rsidRPr="006C6FA6">
              <w:rPr>
                <w:rFonts w:ascii="Arial" w:hAnsi="Arial" w:cs="Arial"/>
                <w:sz w:val="20"/>
                <w:szCs w:val="20"/>
              </w:rPr>
              <w:t>Javne službe Ptuj d.o.o.</w:t>
            </w:r>
          </w:p>
        </w:tc>
        <w:tc>
          <w:tcPr>
            <w:tcW w:w="1979" w:type="dxa"/>
            <w:shd w:val="clear" w:color="auto" w:fill="FFFFFF" w:themeFill="background1"/>
            <w:noWrap/>
            <w:vAlign w:val="center"/>
            <w:hideMark/>
          </w:tcPr>
          <w:p w:rsidR="00267B6B" w:rsidRPr="006C6FA6" w:rsidRDefault="00267B6B" w:rsidP="00D05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A6">
              <w:rPr>
                <w:rFonts w:ascii="Arial" w:hAnsi="Arial" w:cs="Arial"/>
                <w:sz w:val="20"/>
                <w:szCs w:val="20"/>
              </w:rPr>
              <w:t>109.578,12</w:t>
            </w:r>
          </w:p>
        </w:tc>
        <w:tc>
          <w:tcPr>
            <w:tcW w:w="1979" w:type="dxa"/>
            <w:shd w:val="clear" w:color="auto" w:fill="FFFFFF" w:themeFill="background1"/>
            <w:noWrap/>
            <w:vAlign w:val="center"/>
            <w:hideMark/>
          </w:tcPr>
          <w:p w:rsidR="00267B6B" w:rsidRPr="006C6FA6" w:rsidRDefault="00267B6B" w:rsidP="00D05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A6">
              <w:rPr>
                <w:rFonts w:ascii="Arial" w:hAnsi="Arial" w:cs="Arial"/>
                <w:sz w:val="20"/>
                <w:szCs w:val="20"/>
              </w:rPr>
              <w:t>24.107,19</w:t>
            </w:r>
          </w:p>
        </w:tc>
        <w:tc>
          <w:tcPr>
            <w:tcW w:w="1980" w:type="dxa"/>
            <w:shd w:val="clear" w:color="auto" w:fill="F2F2F2" w:themeFill="background1" w:themeFillShade="F2"/>
            <w:noWrap/>
            <w:vAlign w:val="center"/>
            <w:hideMark/>
          </w:tcPr>
          <w:p w:rsidR="00267B6B" w:rsidRPr="006C6FA6" w:rsidRDefault="00267B6B" w:rsidP="00D05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A6">
              <w:rPr>
                <w:rFonts w:ascii="Arial" w:hAnsi="Arial" w:cs="Arial"/>
                <w:sz w:val="20"/>
                <w:szCs w:val="20"/>
              </w:rPr>
              <w:t>133.685,31</w:t>
            </w:r>
          </w:p>
        </w:tc>
      </w:tr>
      <w:tr w:rsidR="00267B6B" w:rsidRPr="006C6FA6" w:rsidTr="00D05225">
        <w:trPr>
          <w:trHeight w:val="300"/>
          <w:jc w:val="center"/>
        </w:trPr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267B6B" w:rsidRPr="006C6FA6" w:rsidRDefault="00267B6B" w:rsidP="00D052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FA6">
              <w:rPr>
                <w:rFonts w:ascii="Arial" w:hAnsi="Arial" w:cs="Arial"/>
                <w:b/>
                <w:bCs/>
                <w:sz w:val="20"/>
                <w:szCs w:val="20"/>
              </w:rPr>
              <w:t>SKUPNO</w:t>
            </w:r>
          </w:p>
        </w:tc>
        <w:tc>
          <w:tcPr>
            <w:tcW w:w="1979" w:type="dxa"/>
            <w:shd w:val="clear" w:color="auto" w:fill="F2F2F2" w:themeFill="background1" w:themeFillShade="F2"/>
            <w:noWrap/>
            <w:vAlign w:val="center"/>
            <w:hideMark/>
          </w:tcPr>
          <w:p w:rsidR="00267B6B" w:rsidRPr="006C6FA6" w:rsidRDefault="00267B6B" w:rsidP="00D052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FA6">
              <w:rPr>
                <w:rFonts w:ascii="Arial" w:hAnsi="Arial" w:cs="Arial"/>
                <w:b/>
                <w:bCs/>
                <w:sz w:val="20"/>
                <w:szCs w:val="20"/>
              </w:rPr>
              <w:t>709.834,00</w:t>
            </w:r>
          </w:p>
        </w:tc>
        <w:tc>
          <w:tcPr>
            <w:tcW w:w="1979" w:type="dxa"/>
            <w:shd w:val="clear" w:color="auto" w:fill="F2F2F2" w:themeFill="background1" w:themeFillShade="F2"/>
            <w:noWrap/>
            <w:vAlign w:val="center"/>
            <w:hideMark/>
          </w:tcPr>
          <w:p w:rsidR="00267B6B" w:rsidRPr="006C6FA6" w:rsidRDefault="00267B6B" w:rsidP="00D052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FA6">
              <w:rPr>
                <w:rFonts w:ascii="Arial" w:hAnsi="Arial" w:cs="Arial"/>
                <w:b/>
                <w:bCs/>
                <w:sz w:val="20"/>
                <w:szCs w:val="20"/>
              </w:rPr>
              <w:t>156.163,48</w:t>
            </w:r>
          </w:p>
        </w:tc>
        <w:tc>
          <w:tcPr>
            <w:tcW w:w="1980" w:type="dxa"/>
            <w:shd w:val="clear" w:color="auto" w:fill="F2F2F2" w:themeFill="background1" w:themeFillShade="F2"/>
            <w:noWrap/>
            <w:vAlign w:val="center"/>
            <w:hideMark/>
          </w:tcPr>
          <w:p w:rsidR="00267B6B" w:rsidRPr="006C6FA6" w:rsidRDefault="00267B6B" w:rsidP="00D052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FA6">
              <w:rPr>
                <w:rFonts w:ascii="Arial" w:hAnsi="Arial" w:cs="Arial"/>
                <w:b/>
                <w:bCs/>
                <w:sz w:val="20"/>
                <w:szCs w:val="20"/>
              </w:rPr>
              <w:t>865.997,48</w:t>
            </w:r>
          </w:p>
        </w:tc>
      </w:tr>
    </w:tbl>
    <w:p w:rsidR="00267B6B" w:rsidRDefault="00267B6B" w:rsidP="00267B6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67B6B" w:rsidRPr="006C6FA6" w:rsidRDefault="00267B6B" w:rsidP="00267B6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6FA6">
        <w:rPr>
          <w:rFonts w:ascii="Arial" w:hAnsi="Arial" w:cs="Arial"/>
          <w:sz w:val="20"/>
          <w:szCs w:val="20"/>
        </w:rPr>
        <w:t>Za izvedbo investicije bo MO Ptuj zagotovila lastna sredstva iz občinskega proračuna v višini 732.312,17 EUR. Sredstva so zagotovljena na proračunski postavki 6418 Ureditev infrastrukture na pokopališču v višini 500.000,00 EUR. Projekt je uvrščen v Načrt razvojnih programov 2021-2024 (NRP št. OB096-20-0056 Ureditev infrastrukture na pokopališču). Z rebalansom proračuna bo usklajena višina sredstev MO Ptuj.</w:t>
      </w:r>
    </w:p>
    <w:p w:rsidR="00267B6B" w:rsidRDefault="00267B6B" w:rsidP="00267B6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6FA6">
        <w:rPr>
          <w:rFonts w:ascii="Arial" w:hAnsi="Arial" w:cs="Arial"/>
          <w:sz w:val="20"/>
          <w:szCs w:val="20"/>
        </w:rPr>
        <w:t>Sredstva v višini 133.685,31 EUR bodo prispevale Javne službe Ptuj d.o.o., kot bodoči upravljavec predmeta investicije in izvajalec lokalne gospodarske službe upravljanja s pokopališči, urejanje in vzdrževanje pokopališč in pogrebne storitve.</w:t>
      </w:r>
    </w:p>
    <w:p w:rsidR="007526A9" w:rsidRDefault="007526A9" w:rsidP="009C021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7B7B" w:rsidRPr="004D64EF" w:rsidRDefault="00197B7B" w:rsidP="009C021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>Mestnemu svetu Mestne občine Ptuj predlagam, da predloženi dokument obravnava in sprejme predlagani sklep.</w:t>
      </w:r>
    </w:p>
    <w:p w:rsidR="00445845" w:rsidRPr="004D64EF" w:rsidRDefault="00445845" w:rsidP="009C021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43202" w:rsidRPr="004D64EF" w:rsidRDefault="00243202" w:rsidP="009C021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>Pripravil</w:t>
      </w:r>
      <w:r w:rsidR="00197B7B" w:rsidRPr="004D64EF">
        <w:rPr>
          <w:rFonts w:ascii="Arial" w:hAnsi="Arial" w:cs="Arial"/>
          <w:sz w:val="20"/>
          <w:szCs w:val="20"/>
        </w:rPr>
        <w:t>:</w:t>
      </w:r>
      <w:r w:rsidRPr="004D64EF">
        <w:rPr>
          <w:rFonts w:ascii="Arial" w:hAnsi="Arial" w:cs="Arial"/>
          <w:sz w:val="20"/>
          <w:szCs w:val="20"/>
        </w:rPr>
        <w:t xml:space="preserve"> </w:t>
      </w:r>
    </w:p>
    <w:p w:rsidR="00243202" w:rsidRPr="004D64EF" w:rsidRDefault="00232994" w:rsidP="009C021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Majcen</w:t>
      </w:r>
    </w:p>
    <w:p w:rsidR="00197B7B" w:rsidRPr="004D64EF" w:rsidRDefault="00197B7B" w:rsidP="009C021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b/>
          <w:sz w:val="20"/>
          <w:szCs w:val="20"/>
        </w:rPr>
        <w:tab/>
      </w:r>
      <w:r w:rsidRPr="004D64EF">
        <w:rPr>
          <w:rFonts w:ascii="Arial" w:hAnsi="Arial" w:cs="Arial"/>
          <w:b/>
          <w:sz w:val="20"/>
          <w:szCs w:val="20"/>
        </w:rPr>
        <w:tab/>
      </w:r>
      <w:r w:rsidRPr="004D64EF">
        <w:rPr>
          <w:rFonts w:ascii="Arial" w:hAnsi="Arial" w:cs="Arial"/>
          <w:b/>
          <w:sz w:val="20"/>
          <w:szCs w:val="20"/>
        </w:rPr>
        <w:tab/>
      </w:r>
      <w:r w:rsidRPr="004D64EF">
        <w:rPr>
          <w:rFonts w:ascii="Arial" w:hAnsi="Arial" w:cs="Arial"/>
          <w:b/>
          <w:sz w:val="20"/>
          <w:szCs w:val="20"/>
        </w:rPr>
        <w:tab/>
      </w:r>
      <w:r w:rsidRPr="004D64EF">
        <w:rPr>
          <w:rFonts w:ascii="Arial" w:hAnsi="Arial" w:cs="Arial"/>
          <w:b/>
          <w:sz w:val="20"/>
          <w:szCs w:val="20"/>
        </w:rPr>
        <w:tab/>
      </w:r>
      <w:r w:rsidRPr="004D64EF">
        <w:rPr>
          <w:rFonts w:ascii="Arial" w:hAnsi="Arial" w:cs="Arial"/>
          <w:b/>
          <w:sz w:val="20"/>
          <w:szCs w:val="20"/>
        </w:rPr>
        <w:tab/>
      </w:r>
      <w:r w:rsidRPr="004D64EF">
        <w:rPr>
          <w:rFonts w:ascii="Arial" w:hAnsi="Arial" w:cs="Arial"/>
          <w:b/>
          <w:sz w:val="20"/>
          <w:szCs w:val="20"/>
        </w:rPr>
        <w:tab/>
      </w:r>
      <w:r w:rsidRPr="004D64EF">
        <w:rPr>
          <w:rFonts w:ascii="Arial" w:hAnsi="Arial" w:cs="Arial"/>
          <w:b/>
          <w:sz w:val="20"/>
          <w:szCs w:val="20"/>
        </w:rPr>
        <w:tab/>
        <w:t xml:space="preserve">        </w:t>
      </w:r>
      <w:r w:rsidR="00243202" w:rsidRPr="004D64EF">
        <w:rPr>
          <w:rFonts w:ascii="Arial" w:hAnsi="Arial" w:cs="Arial"/>
          <w:b/>
          <w:sz w:val="20"/>
          <w:szCs w:val="20"/>
        </w:rPr>
        <w:t xml:space="preserve">         </w:t>
      </w:r>
      <w:r w:rsidR="001D6956" w:rsidRPr="004D64EF">
        <w:rPr>
          <w:rFonts w:ascii="Arial" w:hAnsi="Arial" w:cs="Arial"/>
          <w:b/>
          <w:sz w:val="20"/>
          <w:szCs w:val="20"/>
        </w:rPr>
        <w:t xml:space="preserve">    </w:t>
      </w:r>
      <w:r w:rsidR="001D6956" w:rsidRPr="004D64EF">
        <w:rPr>
          <w:rFonts w:ascii="Arial" w:hAnsi="Arial" w:cs="Arial"/>
          <w:sz w:val="20"/>
          <w:szCs w:val="20"/>
        </w:rPr>
        <w:t>Nuška Gajšek</w:t>
      </w:r>
    </w:p>
    <w:p w:rsidR="00107C68" w:rsidRPr="004D64EF" w:rsidRDefault="00197B7B" w:rsidP="009C021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ab/>
      </w:r>
      <w:r w:rsidRPr="004D64EF">
        <w:rPr>
          <w:rFonts w:ascii="Arial" w:hAnsi="Arial" w:cs="Arial"/>
          <w:sz w:val="20"/>
          <w:szCs w:val="20"/>
        </w:rPr>
        <w:tab/>
      </w:r>
      <w:r w:rsidRPr="004D64EF">
        <w:rPr>
          <w:rFonts w:ascii="Arial" w:hAnsi="Arial" w:cs="Arial"/>
          <w:sz w:val="20"/>
          <w:szCs w:val="20"/>
        </w:rPr>
        <w:tab/>
      </w:r>
      <w:r w:rsidRPr="004D64EF">
        <w:rPr>
          <w:rFonts w:ascii="Arial" w:hAnsi="Arial" w:cs="Arial"/>
          <w:sz w:val="20"/>
          <w:szCs w:val="20"/>
        </w:rPr>
        <w:tab/>
      </w:r>
      <w:r w:rsidRPr="004D64EF">
        <w:rPr>
          <w:rFonts w:ascii="Arial" w:hAnsi="Arial" w:cs="Arial"/>
          <w:sz w:val="20"/>
          <w:szCs w:val="20"/>
        </w:rPr>
        <w:tab/>
      </w:r>
      <w:r w:rsidRPr="004D64EF">
        <w:rPr>
          <w:rFonts w:ascii="Arial" w:hAnsi="Arial" w:cs="Arial"/>
          <w:sz w:val="20"/>
          <w:szCs w:val="20"/>
        </w:rPr>
        <w:tab/>
        <w:t xml:space="preserve">             </w:t>
      </w:r>
      <w:r w:rsidR="00243202" w:rsidRPr="004D64EF">
        <w:rPr>
          <w:rFonts w:ascii="Arial" w:hAnsi="Arial" w:cs="Arial"/>
          <w:sz w:val="20"/>
          <w:szCs w:val="20"/>
        </w:rPr>
        <w:t xml:space="preserve">                                       </w:t>
      </w:r>
      <w:r w:rsidR="003C09E4" w:rsidRPr="004D64EF">
        <w:rPr>
          <w:rFonts w:ascii="Arial" w:hAnsi="Arial" w:cs="Arial"/>
          <w:sz w:val="20"/>
          <w:szCs w:val="20"/>
        </w:rPr>
        <w:t>županja</w:t>
      </w:r>
    </w:p>
    <w:sectPr w:rsidR="00107C68" w:rsidRPr="004D64EF" w:rsidSect="00235730">
      <w:footerReference w:type="default" r:id="rId11"/>
      <w:headerReference w:type="first" r:id="rId12"/>
      <w:footerReference w:type="first" r:id="rId13"/>
      <w:type w:val="continuous"/>
      <w:pgSz w:w="12240" w:h="15840"/>
      <w:pgMar w:top="1134" w:right="1183" w:bottom="1134" w:left="1134" w:header="709" w:footer="283" w:gutter="0"/>
      <w:cols w:space="57" w:equalWidth="0">
        <w:col w:w="9923" w:space="57"/>
      </w:cols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371" w:rsidRDefault="00045371">
      <w:r>
        <w:separator/>
      </w:r>
    </w:p>
  </w:endnote>
  <w:endnote w:type="continuationSeparator" w:id="0">
    <w:p w:rsidR="00045371" w:rsidRDefault="0004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31" w:rsidRPr="001A610A" w:rsidRDefault="00236031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150922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150922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</w:p>
  <w:p w:rsidR="00236031" w:rsidRPr="001A610A" w:rsidRDefault="00236031" w:rsidP="001A610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31" w:rsidRPr="001A610A" w:rsidRDefault="00236031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150922">
      <w:rPr>
        <w:bCs/>
        <w:noProof/>
        <w:sz w:val="18"/>
        <w:szCs w:val="18"/>
      </w:rPr>
      <w:t>1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150922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</w:p>
  <w:p w:rsidR="00236031" w:rsidRPr="008073DB" w:rsidRDefault="00236031" w:rsidP="000D495A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371" w:rsidRDefault="00045371">
      <w:r>
        <w:separator/>
      </w:r>
    </w:p>
  </w:footnote>
  <w:footnote w:type="continuationSeparator" w:id="0">
    <w:p w:rsidR="00045371" w:rsidRDefault="00045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228"/>
      <w:gridCol w:w="6394"/>
    </w:tblGrid>
    <w:tr w:rsidR="00236031" w:rsidTr="006312C7">
      <w:tc>
        <w:tcPr>
          <w:tcW w:w="3228" w:type="dxa"/>
          <w:tcBorders>
            <w:bottom w:val="single" w:sz="12" w:space="0" w:color="999999"/>
          </w:tcBorders>
        </w:tcPr>
        <w:p w:rsidR="00236031" w:rsidRPr="006312C7" w:rsidRDefault="00236031" w:rsidP="006312C7">
          <w:pP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 wp14:anchorId="72B4A867" wp14:editId="72B4A868">
                <wp:extent cx="464820" cy="58166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36031" w:rsidRDefault="00236031" w:rsidP="000D495A"/>
        <w:p w:rsidR="00236031" w:rsidRPr="006312C7" w:rsidRDefault="00236031" w:rsidP="006312C7">
          <w:pPr>
            <w:jc w:val="center"/>
            <w:rPr>
              <w:b/>
              <w:sz w:val="22"/>
            </w:rPr>
          </w:pPr>
          <w:r w:rsidRPr="006312C7">
            <w:rPr>
              <w:b/>
              <w:sz w:val="22"/>
            </w:rPr>
            <w:t>MESTNA OBČINA PTUJ</w:t>
          </w:r>
        </w:p>
        <w:p w:rsidR="00236031" w:rsidRPr="00E63B77" w:rsidRDefault="00236031" w:rsidP="006312C7">
          <w:pPr>
            <w:jc w:val="center"/>
            <w:rPr>
              <w:sz w:val="22"/>
            </w:rPr>
          </w:pPr>
          <w:r w:rsidRPr="00E63B77">
            <w:rPr>
              <w:sz w:val="22"/>
            </w:rPr>
            <w:t>ŽUPANJA</w:t>
          </w:r>
        </w:p>
        <w:p w:rsidR="00236031" w:rsidRPr="006312C7" w:rsidRDefault="00236031" w:rsidP="006312C7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236031" w:rsidRDefault="00236031" w:rsidP="000D495A">
          <w:pPr>
            <w:pStyle w:val="Glava"/>
          </w:pPr>
        </w:p>
      </w:tc>
    </w:tr>
  </w:tbl>
  <w:p w:rsidR="00236031" w:rsidRDefault="0023603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EA7"/>
    <w:multiLevelType w:val="hybridMultilevel"/>
    <w:tmpl w:val="3CB2FBDC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41A9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5467"/>
    <w:multiLevelType w:val="hybridMultilevel"/>
    <w:tmpl w:val="416AE714"/>
    <w:lvl w:ilvl="0" w:tplc="BF9C7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2763"/>
    <w:multiLevelType w:val="hybridMultilevel"/>
    <w:tmpl w:val="D0FE3F6E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91986"/>
    <w:multiLevelType w:val="hybridMultilevel"/>
    <w:tmpl w:val="1F566A90"/>
    <w:lvl w:ilvl="0" w:tplc="5B761B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22EB"/>
    <w:multiLevelType w:val="hybridMultilevel"/>
    <w:tmpl w:val="08701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84139"/>
    <w:multiLevelType w:val="hybridMultilevel"/>
    <w:tmpl w:val="08448EE0"/>
    <w:lvl w:ilvl="0" w:tplc="BF1AD77C">
      <w:start w:val="5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50D2"/>
    <w:multiLevelType w:val="hybridMultilevel"/>
    <w:tmpl w:val="BE100BF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13949"/>
    <w:multiLevelType w:val="hybridMultilevel"/>
    <w:tmpl w:val="97867350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62F5C"/>
    <w:multiLevelType w:val="hybridMultilevel"/>
    <w:tmpl w:val="2D243440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10DE0"/>
    <w:multiLevelType w:val="hybridMultilevel"/>
    <w:tmpl w:val="05A2999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67015"/>
    <w:multiLevelType w:val="hybridMultilevel"/>
    <w:tmpl w:val="371E0CE0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010C9"/>
    <w:multiLevelType w:val="hybridMultilevel"/>
    <w:tmpl w:val="102CCE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4F1361"/>
    <w:multiLevelType w:val="hybridMultilevel"/>
    <w:tmpl w:val="2CC876C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C1A04"/>
    <w:multiLevelType w:val="hybridMultilevel"/>
    <w:tmpl w:val="76C4A2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E0857"/>
    <w:multiLevelType w:val="hybridMultilevel"/>
    <w:tmpl w:val="D79E6F94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54EDF"/>
    <w:multiLevelType w:val="hybridMultilevel"/>
    <w:tmpl w:val="4C70B64E"/>
    <w:lvl w:ilvl="0" w:tplc="8E668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396C7A8">
      <w:start w:val="10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A338F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F2E20"/>
    <w:multiLevelType w:val="hybridMultilevel"/>
    <w:tmpl w:val="CCA8DF3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56896"/>
    <w:multiLevelType w:val="hybridMultilevel"/>
    <w:tmpl w:val="1DB6241C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C3231"/>
    <w:multiLevelType w:val="hybridMultilevel"/>
    <w:tmpl w:val="CEA4E18A"/>
    <w:lvl w:ilvl="0" w:tplc="52308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70519"/>
    <w:multiLevelType w:val="hybridMultilevel"/>
    <w:tmpl w:val="6B5C177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97ED0"/>
    <w:multiLevelType w:val="hybridMultilevel"/>
    <w:tmpl w:val="747055A6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013C1"/>
    <w:multiLevelType w:val="hybridMultilevel"/>
    <w:tmpl w:val="3E2440A6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5257E"/>
    <w:multiLevelType w:val="hybridMultilevel"/>
    <w:tmpl w:val="5D10B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063AF"/>
    <w:multiLevelType w:val="hybridMultilevel"/>
    <w:tmpl w:val="19D673C0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861085"/>
    <w:multiLevelType w:val="hybridMultilevel"/>
    <w:tmpl w:val="D3E2FE52"/>
    <w:lvl w:ilvl="0" w:tplc="6E8C5A9C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D42DF8"/>
    <w:multiLevelType w:val="hybridMultilevel"/>
    <w:tmpl w:val="1152C82E"/>
    <w:lvl w:ilvl="0" w:tplc="1D5E128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A77F2"/>
    <w:multiLevelType w:val="hybridMultilevel"/>
    <w:tmpl w:val="45564044"/>
    <w:lvl w:ilvl="0" w:tplc="41B8B3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7658E"/>
    <w:multiLevelType w:val="hybridMultilevel"/>
    <w:tmpl w:val="DC704C6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529F8"/>
    <w:multiLevelType w:val="hybridMultilevel"/>
    <w:tmpl w:val="68BC88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C790D"/>
    <w:multiLevelType w:val="hybridMultilevel"/>
    <w:tmpl w:val="E5F2F566"/>
    <w:lvl w:ilvl="0" w:tplc="D4C8A1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9548E"/>
    <w:multiLevelType w:val="hybridMultilevel"/>
    <w:tmpl w:val="84B0E29E"/>
    <w:lvl w:ilvl="0" w:tplc="163659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E0EC9"/>
    <w:multiLevelType w:val="hybridMultilevel"/>
    <w:tmpl w:val="739465AC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B01805"/>
    <w:multiLevelType w:val="hybridMultilevel"/>
    <w:tmpl w:val="FC2A7AD6"/>
    <w:lvl w:ilvl="0" w:tplc="DB1C70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00C10"/>
    <w:multiLevelType w:val="hybridMultilevel"/>
    <w:tmpl w:val="0AA2445A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65D6D"/>
    <w:multiLevelType w:val="hybridMultilevel"/>
    <w:tmpl w:val="9A76489A"/>
    <w:lvl w:ilvl="0" w:tplc="3A9E46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36B66"/>
    <w:multiLevelType w:val="hybridMultilevel"/>
    <w:tmpl w:val="FE0A80C6"/>
    <w:lvl w:ilvl="0" w:tplc="9BB4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D4977"/>
    <w:multiLevelType w:val="hybridMultilevel"/>
    <w:tmpl w:val="1EA895C8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1"/>
  </w:num>
  <w:num w:numId="3">
    <w:abstractNumId w:val="28"/>
  </w:num>
  <w:num w:numId="4">
    <w:abstractNumId w:val="34"/>
  </w:num>
  <w:num w:numId="5">
    <w:abstractNumId w:val="12"/>
  </w:num>
  <w:num w:numId="6">
    <w:abstractNumId w:val="16"/>
  </w:num>
  <w:num w:numId="7">
    <w:abstractNumId w:val="25"/>
  </w:num>
  <w:num w:numId="8">
    <w:abstractNumId w:val="33"/>
  </w:num>
  <w:num w:numId="9">
    <w:abstractNumId w:val="32"/>
  </w:num>
  <w:num w:numId="10">
    <w:abstractNumId w:val="23"/>
  </w:num>
  <w:num w:numId="11">
    <w:abstractNumId w:val="21"/>
  </w:num>
  <w:num w:numId="12">
    <w:abstractNumId w:val="0"/>
  </w:num>
  <w:num w:numId="13">
    <w:abstractNumId w:val="26"/>
  </w:num>
  <w:num w:numId="14">
    <w:abstractNumId w:val="2"/>
  </w:num>
  <w:num w:numId="15">
    <w:abstractNumId w:val="22"/>
  </w:num>
  <w:num w:numId="16">
    <w:abstractNumId w:val="17"/>
  </w:num>
  <w:num w:numId="17">
    <w:abstractNumId w:val="18"/>
  </w:num>
  <w:num w:numId="18">
    <w:abstractNumId w:val="10"/>
  </w:num>
  <w:num w:numId="19">
    <w:abstractNumId w:val="8"/>
  </w:num>
  <w:num w:numId="20">
    <w:abstractNumId w:val="11"/>
  </w:num>
  <w:num w:numId="21">
    <w:abstractNumId w:val="27"/>
  </w:num>
  <w:num w:numId="22">
    <w:abstractNumId w:val="15"/>
  </w:num>
  <w:num w:numId="23">
    <w:abstractNumId w:val="1"/>
  </w:num>
  <w:num w:numId="24">
    <w:abstractNumId w:val="30"/>
  </w:num>
  <w:num w:numId="25">
    <w:abstractNumId w:val="36"/>
  </w:num>
  <w:num w:numId="26">
    <w:abstractNumId w:val="24"/>
  </w:num>
  <w:num w:numId="27">
    <w:abstractNumId w:val="5"/>
  </w:num>
  <w:num w:numId="28">
    <w:abstractNumId w:val="9"/>
  </w:num>
  <w:num w:numId="29">
    <w:abstractNumId w:val="29"/>
  </w:num>
  <w:num w:numId="30">
    <w:abstractNumId w:val="13"/>
  </w:num>
  <w:num w:numId="31">
    <w:abstractNumId w:val="19"/>
  </w:num>
  <w:num w:numId="32">
    <w:abstractNumId w:val="3"/>
  </w:num>
  <w:num w:numId="33">
    <w:abstractNumId w:val="7"/>
  </w:num>
  <w:num w:numId="34">
    <w:abstractNumId w:val="38"/>
  </w:num>
  <w:num w:numId="35">
    <w:abstractNumId w:val="35"/>
  </w:num>
  <w:num w:numId="36">
    <w:abstractNumId w:val="20"/>
  </w:num>
  <w:num w:numId="37">
    <w:abstractNumId w:val="6"/>
  </w:num>
  <w:num w:numId="38">
    <w:abstractNumId w:val="1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16DD"/>
    <w:rsid w:val="0000665F"/>
    <w:rsid w:val="00010CCB"/>
    <w:rsid w:val="00011398"/>
    <w:rsid w:val="00012D85"/>
    <w:rsid w:val="000163A3"/>
    <w:rsid w:val="000205D7"/>
    <w:rsid w:val="000256AA"/>
    <w:rsid w:val="00030F7B"/>
    <w:rsid w:val="00033D60"/>
    <w:rsid w:val="00034382"/>
    <w:rsid w:val="000431C7"/>
    <w:rsid w:val="000433DA"/>
    <w:rsid w:val="0004453A"/>
    <w:rsid w:val="00045371"/>
    <w:rsid w:val="00045BF9"/>
    <w:rsid w:val="000508E1"/>
    <w:rsid w:val="00053F88"/>
    <w:rsid w:val="00054B0C"/>
    <w:rsid w:val="0006097F"/>
    <w:rsid w:val="00061724"/>
    <w:rsid w:val="00063F48"/>
    <w:rsid w:val="00070005"/>
    <w:rsid w:val="00072E09"/>
    <w:rsid w:val="000760A1"/>
    <w:rsid w:val="00081080"/>
    <w:rsid w:val="00085D76"/>
    <w:rsid w:val="00087FB0"/>
    <w:rsid w:val="000913A8"/>
    <w:rsid w:val="000938CC"/>
    <w:rsid w:val="00095396"/>
    <w:rsid w:val="000A0CDC"/>
    <w:rsid w:val="000A2D89"/>
    <w:rsid w:val="000A5900"/>
    <w:rsid w:val="000A6490"/>
    <w:rsid w:val="000B0B1C"/>
    <w:rsid w:val="000B13B6"/>
    <w:rsid w:val="000B3338"/>
    <w:rsid w:val="000B7ED1"/>
    <w:rsid w:val="000C5394"/>
    <w:rsid w:val="000C5559"/>
    <w:rsid w:val="000C605B"/>
    <w:rsid w:val="000C6172"/>
    <w:rsid w:val="000D0CD1"/>
    <w:rsid w:val="000D22DB"/>
    <w:rsid w:val="000D495A"/>
    <w:rsid w:val="000E5E4A"/>
    <w:rsid w:val="000E6008"/>
    <w:rsid w:val="000E7F1E"/>
    <w:rsid w:val="000F06DC"/>
    <w:rsid w:val="000F1661"/>
    <w:rsid w:val="000F30F9"/>
    <w:rsid w:val="000F5B8F"/>
    <w:rsid w:val="000F7938"/>
    <w:rsid w:val="0010121A"/>
    <w:rsid w:val="001014C0"/>
    <w:rsid w:val="0010525F"/>
    <w:rsid w:val="00107C68"/>
    <w:rsid w:val="0011038B"/>
    <w:rsid w:val="00112646"/>
    <w:rsid w:val="0012117F"/>
    <w:rsid w:val="00121538"/>
    <w:rsid w:val="00121C80"/>
    <w:rsid w:val="00123FC6"/>
    <w:rsid w:val="0012677E"/>
    <w:rsid w:val="00131D8D"/>
    <w:rsid w:val="00131FC9"/>
    <w:rsid w:val="001424A5"/>
    <w:rsid w:val="001504FA"/>
    <w:rsid w:val="00150922"/>
    <w:rsid w:val="0015466F"/>
    <w:rsid w:val="00160D66"/>
    <w:rsid w:val="00164FDA"/>
    <w:rsid w:val="00181466"/>
    <w:rsid w:val="00185F23"/>
    <w:rsid w:val="00186E44"/>
    <w:rsid w:val="00187808"/>
    <w:rsid w:val="00192D0B"/>
    <w:rsid w:val="00193109"/>
    <w:rsid w:val="0019479F"/>
    <w:rsid w:val="00195C8F"/>
    <w:rsid w:val="00197B7B"/>
    <w:rsid w:val="001A0850"/>
    <w:rsid w:val="001A0D97"/>
    <w:rsid w:val="001A12E4"/>
    <w:rsid w:val="001A556C"/>
    <w:rsid w:val="001A5A7B"/>
    <w:rsid w:val="001A610A"/>
    <w:rsid w:val="001A6FA7"/>
    <w:rsid w:val="001A7063"/>
    <w:rsid w:val="001B2ECF"/>
    <w:rsid w:val="001B4160"/>
    <w:rsid w:val="001B6AA5"/>
    <w:rsid w:val="001C001D"/>
    <w:rsid w:val="001C1610"/>
    <w:rsid w:val="001D0640"/>
    <w:rsid w:val="001D2078"/>
    <w:rsid w:val="001D2FFF"/>
    <w:rsid w:val="001D6956"/>
    <w:rsid w:val="001E120D"/>
    <w:rsid w:val="001E1DFD"/>
    <w:rsid w:val="001E6954"/>
    <w:rsid w:val="001E772B"/>
    <w:rsid w:val="001F1FF8"/>
    <w:rsid w:val="001F3CA5"/>
    <w:rsid w:val="001F5ABB"/>
    <w:rsid w:val="00202AB6"/>
    <w:rsid w:val="00206324"/>
    <w:rsid w:val="00207250"/>
    <w:rsid w:val="0021206F"/>
    <w:rsid w:val="00225A7E"/>
    <w:rsid w:val="00226097"/>
    <w:rsid w:val="00231EA2"/>
    <w:rsid w:val="00232994"/>
    <w:rsid w:val="00235730"/>
    <w:rsid w:val="00236031"/>
    <w:rsid w:val="002377D0"/>
    <w:rsid w:val="00243202"/>
    <w:rsid w:val="00243DE4"/>
    <w:rsid w:val="00251A50"/>
    <w:rsid w:val="00252D75"/>
    <w:rsid w:val="00254C48"/>
    <w:rsid w:val="00260555"/>
    <w:rsid w:val="002607EA"/>
    <w:rsid w:val="002631A9"/>
    <w:rsid w:val="0026500E"/>
    <w:rsid w:val="00267B6B"/>
    <w:rsid w:val="00275FFE"/>
    <w:rsid w:val="00281D3A"/>
    <w:rsid w:val="00284125"/>
    <w:rsid w:val="00285794"/>
    <w:rsid w:val="002954FF"/>
    <w:rsid w:val="002B56FC"/>
    <w:rsid w:val="002B5E9C"/>
    <w:rsid w:val="002C2B87"/>
    <w:rsid w:val="002C4122"/>
    <w:rsid w:val="002C5CE3"/>
    <w:rsid w:val="002C777C"/>
    <w:rsid w:val="002D16AA"/>
    <w:rsid w:val="002D60E2"/>
    <w:rsid w:val="002E0A9B"/>
    <w:rsid w:val="002E1DD1"/>
    <w:rsid w:val="002E3D8D"/>
    <w:rsid w:val="002E5D4F"/>
    <w:rsid w:val="002F2966"/>
    <w:rsid w:val="002F4D8F"/>
    <w:rsid w:val="00301A46"/>
    <w:rsid w:val="00305FC9"/>
    <w:rsid w:val="00306236"/>
    <w:rsid w:val="003064C8"/>
    <w:rsid w:val="00313538"/>
    <w:rsid w:val="00313AF9"/>
    <w:rsid w:val="00324A82"/>
    <w:rsid w:val="003264F6"/>
    <w:rsid w:val="00326E90"/>
    <w:rsid w:val="00327948"/>
    <w:rsid w:val="0033086B"/>
    <w:rsid w:val="00333269"/>
    <w:rsid w:val="00335839"/>
    <w:rsid w:val="00340D67"/>
    <w:rsid w:val="00342112"/>
    <w:rsid w:val="003421A1"/>
    <w:rsid w:val="00343AE4"/>
    <w:rsid w:val="00351CBA"/>
    <w:rsid w:val="00353F0A"/>
    <w:rsid w:val="003561FC"/>
    <w:rsid w:val="003568D5"/>
    <w:rsid w:val="00357243"/>
    <w:rsid w:val="003629D5"/>
    <w:rsid w:val="00363C64"/>
    <w:rsid w:val="00376531"/>
    <w:rsid w:val="00377AE0"/>
    <w:rsid w:val="00377AE2"/>
    <w:rsid w:val="003960D9"/>
    <w:rsid w:val="00397442"/>
    <w:rsid w:val="003A2C20"/>
    <w:rsid w:val="003A550E"/>
    <w:rsid w:val="003B0CC4"/>
    <w:rsid w:val="003B1479"/>
    <w:rsid w:val="003B2539"/>
    <w:rsid w:val="003B5AEA"/>
    <w:rsid w:val="003C09E4"/>
    <w:rsid w:val="003C6285"/>
    <w:rsid w:val="003D4421"/>
    <w:rsid w:val="003D58C8"/>
    <w:rsid w:val="003E11C4"/>
    <w:rsid w:val="003E140F"/>
    <w:rsid w:val="003E1AFB"/>
    <w:rsid w:val="003E1B6A"/>
    <w:rsid w:val="003E3DA1"/>
    <w:rsid w:val="003F00FA"/>
    <w:rsid w:val="003F4094"/>
    <w:rsid w:val="003F75B8"/>
    <w:rsid w:val="00404491"/>
    <w:rsid w:val="004066D3"/>
    <w:rsid w:val="00413C05"/>
    <w:rsid w:val="004237A5"/>
    <w:rsid w:val="004256E6"/>
    <w:rsid w:val="0042591B"/>
    <w:rsid w:val="00433B39"/>
    <w:rsid w:val="00435B3C"/>
    <w:rsid w:val="00440E6D"/>
    <w:rsid w:val="00441612"/>
    <w:rsid w:val="00441AE0"/>
    <w:rsid w:val="0044259E"/>
    <w:rsid w:val="00445548"/>
    <w:rsid w:val="00445845"/>
    <w:rsid w:val="00450E00"/>
    <w:rsid w:val="00454172"/>
    <w:rsid w:val="00455932"/>
    <w:rsid w:val="00456A3F"/>
    <w:rsid w:val="00462250"/>
    <w:rsid w:val="004639B8"/>
    <w:rsid w:val="00465D9F"/>
    <w:rsid w:val="00472460"/>
    <w:rsid w:val="0047769B"/>
    <w:rsid w:val="004801FA"/>
    <w:rsid w:val="004855DE"/>
    <w:rsid w:val="004915F9"/>
    <w:rsid w:val="004975E9"/>
    <w:rsid w:val="0049763A"/>
    <w:rsid w:val="00497ACB"/>
    <w:rsid w:val="004A3ECD"/>
    <w:rsid w:val="004A69AF"/>
    <w:rsid w:val="004B5C5E"/>
    <w:rsid w:val="004B646A"/>
    <w:rsid w:val="004B77D2"/>
    <w:rsid w:val="004C317E"/>
    <w:rsid w:val="004C70D3"/>
    <w:rsid w:val="004D3F9F"/>
    <w:rsid w:val="004D52BF"/>
    <w:rsid w:val="004D64EF"/>
    <w:rsid w:val="004E047D"/>
    <w:rsid w:val="004E3779"/>
    <w:rsid w:val="004E7E1B"/>
    <w:rsid w:val="005002AC"/>
    <w:rsid w:val="00501AC1"/>
    <w:rsid w:val="00503C47"/>
    <w:rsid w:val="00505741"/>
    <w:rsid w:val="00520332"/>
    <w:rsid w:val="00521597"/>
    <w:rsid w:val="00521CAB"/>
    <w:rsid w:val="0052370C"/>
    <w:rsid w:val="00524DA9"/>
    <w:rsid w:val="00525D04"/>
    <w:rsid w:val="00527D73"/>
    <w:rsid w:val="005305C1"/>
    <w:rsid w:val="00530C69"/>
    <w:rsid w:val="005362AD"/>
    <w:rsid w:val="00541B35"/>
    <w:rsid w:val="00546DB9"/>
    <w:rsid w:val="00556008"/>
    <w:rsid w:val="00557905"/>
    <w:rsid w:val="0056542C"/>
    <w:rsid w:val="00570B26"/>
    <w:rsid w:val="00572596"/>
    <w:rsid w:val="00574DC8"/>
    <w:rsid w:val="00577659"/>
    <w:rsid w:val="00580D0D"/>
    <w:rsid w:val="005816E8"/>
    <w:rsid w:val="0058179E"/>
    <w:rsid w:val="0058301F"/>
    <w:rsid w:val="00583717"/>
    <w:rsid w:val="005905F5"/>
    <w:rsid w:val="0059330D"/>
    <w:rsid w:val="005A1834"/>
    <w:rsid w:val="005A5416"/>
    <w:rsid w:val="005A5DE4"/>
    <w:rsid w:val="005B1DFC"/>
    <w:rsid w:val="005B5CD5"/>
    <w:rsid w:val="005B7F45"/>
    <w:rsid w:val="005C3682"/>
    <w:rsid w:val="005C45D2"/>
    <w:rsid w:val="005C5383"/>
    <w:rsid w:val="005D6403"/>
    <w:rsid w:val="005E102E"/>
    <w:rsid w:val="005E1800"/>
    <w:rsid w:val="005E6B6E"/>
    <w:rsid w:val="005F09A6"/>
    <w:rsid w:val="005F11D7"/>
    <w:rsid w:val="005F1749"/>
    <w:rsid w:val="005F6C49"/>
    <w:rsid w:val="0060401A"/>
    <w:rsid w:val="006074AB"/>
    <w:rsid w:val="0061077B"/>
    <w:rsid w:val="006111FB"/>
    <w:rsid w:val="00622722"/>
    <w:rsid w:val="006234ED"/>
    <w:rsid w:val="00626378"/>
    <w:rsid w:val="006312C7"/>
    <w:rsid w:val="00631699"/>
    <w:rsid w:val="0063403B"/>
    <w:rsid w:val="00636AEC"/>
    <w:rsid w:val="00637873"/>
    <w:rsid w:val="00642763"/>
    <w:rsid w:val="00645294"/>
    <w:rsid w:val="006468CB"/>
    <w:rsid w:val="00646A9C"/>
    <w:rsid w:val="006532EE"/>
    <w:rsid w:val="006568BC"/>
    <w:rsid w:val="006633E3"/>
    <w:rsid w:val="0066495D"/>
    <w:rsid w:val="00670BB0"/>
    <w:rsid w:val="00672DBD"/>
    <w:rsid w:val="00677FB0"/>
    <w:rsid w:val="00680A6E"/>
    <w:rsid w:val="00682C13"/>
    <w:rsid w:val="00683CB7"/>
    <w:rsid w:val="0068582E"/>
    <w:rsid w:val="00690860"/>
    <w:rsid w:val="0069088F"/>
    <w:rsid w:val="0069098C"/>
    <w:rsid w:val="00695173"/>
    <w:rsid w:val="006974E6"/>
    <w:rsid w:val="0069782F"/>
    <w:rsid w:val="006A4597"/>
    <w:rsid w:val="006B2E1F"/>
    <w:rsid w:val="006C105E"/>
    <w:rsid w:val="006C25AA"/>
    <w:rsid w:val="006C6044"/>
    <w:rsid w:val="006C7BDF"/>
    <w:rsid w:val="006D0513"/>
    <w:rsid w:val="006D5663"/>
    <w:rsid w:val="006D5F0E"/>
    <w:rsid w:val="006D7318"/>
    <w:rsid w:val="006E30E0"/>
    <w:rsid w:val="006E5B13"/>
    <w:rsid w:val="006F0311"/>
    <w:rsid w:val="006F2BF7"/>
    <w:rsid w:val="006F5708"/>
    <w:rsid w:val="006F583F"/>
    <w:rsid w:val="006F729A"/>
    <w:rsid w:val="00710E7B"/>
    <w:rsid w:val="007160D0"/>
    <w:rsid w:val="00720043"/>
    <w:rsid w:val="0072192F"/>
    <w:rsid w:val="00722164"/>
    <w:rsid w:val="00722B31"/>
    <w:rsid w:val="00722F5D"/>
    <w:rsid w:val="00723DF4"/>
    <w:rsid w:val="007353A1"/>
    <w:rsid w:val="00736C58"/>
    <w:rsid w:val="007421E6"/>
    <w:rsid w:val="007526A9"/>
    <w:rsid w:val="00757472"/>
    <w:rsid w:val="007600EE"/>
    <w:rsid w:val="007647C4"/>
    <w:rsid w:val="0076679C"/>
    <w:rsid w:val="00773B26"/>
    <w:rsid w:val="00773B56"/>
    <w:rsid w:val="00773BAC"/>
    <w:rsid w:val="007749AD"/>
    <w:rsid w:val="00775A16"/>
    <w:rsid w:val="007767E8"/>
    <w:rsid w:val="00783CF9"/>
    <w:rsid w:val="0079000B"/>
    <w:rsid w:val="00791119"/>
    <w:rsid w:val="007B09E0"/>
    <w:rsid w:val="007B1D78"/>
    <w:rsid w:val="007B48C5"/>
    <w:rsid w:val="007B70FC"/>
    <w:rsid w:val="007B7C92"/>
    <w:rsid w:val="007C7C21"/>
    <w:rsid w:val="007D15BE"/>
    <w:rsid w:val="007D517B"/>
    <w:rsid w:val="007D6A3C"/>
    <w:rsid w:val="007E2929"/>
    <w:rsid w:val="007E71B6"/>
    <w:rsid w:val="007F0CB5"/>
    <w:rsid w:val="007F2049"/>
    <w:rsid w:val="007F2C8A"/>
    <w:rsid w:val="007F7192"/>
    <w:rsid w:val="00802A9F"/>
    <w:rsid w:val="00803327"/>
    <w:rsid w:val="0081168E"/>
    <w:rsid w:val="0081766C"/>
    <w:rsid w:val="00820E31"/>
    <w:rsid w:val="00823A64"/>
    <w:rsid w:val="008257DE"/>
    <w:rsid w:val="008259FB"/>
    <w:rsid w:val="00826491"/>
    <w:rsid w:val="00826B7B"/>
    <w:rsid w:val="008316F0"/>
    <w:rsid w:val="00831755"/>
    <w:rsid w:val="00832C1A"/>
    <w:rsid w:val="00841285"/>
    <w:rsid w:val="00841485"/>
    <w:rsid w:val="00844734"/>
    <w:rsid w:val="008450B9"/>
    <w:rsid w:val="00850F91"/>
    <w:rsid w:val="0085746C"/>
    <w:rsid w:val="00864D30"/>
    <w:rsid w:val="00870FA7"/>
    <w:rsid w:val="00877FAA"/>
    <w:rsid w:val="008843A2"/>
    <w:rsid w:val="0089041D"/>
    <w:rsid w:val="00892111"/>
    <w:rsid w:val="008928D0"/>
    <w:rsid w:val="008A20D5"/>
    <w:rsid w:val="008A28B7"/>
    <w:rsid w:val="008A6C91"/>
    <w:rsid w:val="008B454D"/>
    <w:rsid w:val="008B68A9"/>
    <w:rsid w:val="008B7543"/>
    <w:rsid w:val="008C1223"/>
    <w:rsid w:val="008D5C7F"/>
    <w:rsid w:val="008E369B"/>
    <w:rsid w:val="008E52F2"/>
    <w:rsid w:val="008E554E"/>
    <w:rsid w:val="008F04AD"/>
    <w:rsid w:val="008F094B"/>
    <w:rsid w:val="008F2606"/>
    <w:rsid w:val="008F3696"/>
    <w:rsid w:val="008F3BEB"/>
    <w:rsid w:val="0090061F"/>
    <w:rsid w:val="0090326E"/>
    <w:rsid w:val="009059FE"/>
    <w:rsid w:val="0090637D"/>
    <w:rsid w:val="00906A72"/>
    <w:rsid w:val="009100ED"/>
    <w:rsid w:val="00912F65"/>
    <w:rsid w:val="00920E88"/>
    <w:rsid w:val="00931D8F"/>
    <w:rsid w:val="00934C77"/>
    <w:rsid w:val="0093740E"/>
    <w:rsid w:val="00940B51"/>
    <w:rsid w:val="009419A2"/>
    <w:rsid w:val="00945D57"/>
    <w:rsid w:val="00950077"/>
    <w:rsid w:val="009523C0"/>
    <w:rsid w:val="00954703"/>
    <w:rsid w:val="00956B45"/>
    <w:rsid w:val="0096375F"/>
    <w:rsid w:val="00964291"/>
    <w:rsid w:val="00964BC5"/>
    <w:rsid w:val="0096734A"/>
    <w:rsid w:val="0097733B"/>
    <w:rsid w:val="009855D4"/>
    <w:rsid w:val="00987603"/>
    <w:rsid w:val="00993883"/>
    <w:rsid w:val="00995C04"/>
    <w:rsid w:val="00997B7C"/>
    <w:rsid w:val="009A7989"/>
    <w:rsid w:val="009B0397"/>
    <w:rsid w:val="009B440A"/>
    <w:rsid w:val="009B4D79"/>
    <w:rsid w:val="009B4F69"/>
    <w:rsid w:val="009C021E"/>
    <w:rsid w:val="009C3645"/>
    <w:rsid w:val="009C52A0"/>
    <w:rsid w:val="009C621C"/>
    <w:rsid w:val="009C74FC"/>
    <w:rsid w:val="009C7B89"/>
    <w:rsid w:val="009D0B58"/>
    <w:rsid w:val="009D35AB"/>
    <w:rsid w:val="009D5EBA"/>
    <w:rsid w:val="009E01B2"/>
    <w:rsid w:val="009E16B7"/>
    <w:rsid w:val="009E1F6C"/>
    <w:rsid w:val="009E2C3B"/>
    <w:rsid w:val="009E32CB"/>
    <w:rsid w:val="009E354E"/>
    <w:rsid w:val="009F0452"/>
    <w:rsid w:val="00A0003C"/>
    <w:rsid w:val="00A16E82"/>
    <w:rsid w:val="00A17CB2"/>
    <w:rsid w:val="00A218C8"/>
    <w:rsid w:val="00A23209"/>
    <w:rsid w:val="00A244CB"/>
    <w:rsid w:val="00A25E01"/>
    <w:rsid w:val="00A30610"/>
    <w:rsid w:val="00A334C8"/>
    <w:rsid w:val="00A350D1"/>
    <w:rsid w:val="00A35D98"/>
    <w:rsid w:val="00A3799E"/>
    <w:rsid w:val="00A4118C"/>
    <w:rsid w:val="00A47589"/>
    <w:rsid w:val="00A742A9"/>
    <w:rsid w:val="00A76812"/>
    <w:rsid w:val="00A86F05"/>
    <w:rsid w:val="00A905D1"/>
    <w:rsid w:val="00A90968"/>
    <w:rsid w:val="00A9256C"/>
    <w:rsid w:val="00A94D92"/>
    <w:rsid w:val="00A94DE2"/>
    <w:rsid w:val="00A9527F"/>
    <w:rsid w:val="00A960E2"/>
    <w:rsid w:val="00A966F7"/>
    <w:rsid w:val="00AA076B"/>
    <w:rsid w:val="00AA1784"/>
    <w:rsid w:val="00AA3195"/>
    <w:rsid w:val="00AA50FC"/>
    <w:rsid w:val="00AA5C5C"/>
    <w:rsid w:val="00AA68B0"/>
    <w:rsid w:val="00AB1BEC"/>
    <w:rsid w:val="00AB3075"/>
    <w:rsid w:val="00AB3556"/>
    <w:rsid w:val="00AB3D57"/>
    <w:rsid w:val="00AB7911"/>
    <w:rsid w:val="00AB7D71"/>
    <w:rsid w:val="00AC3D1B"/>
    <w:rsid w:val="00AC44DD"/>
    <w:rsid w:val="00AC5F71"/>
    <w:rsid w:val="00AD37D7"/>
    <w:rsid w:val="00AD647B"/>
    <w:rsid w:val="00AD6B90"/>
    <w:rsid w:val="00AD716E"/>
    <w:rsid w:val="00AE4FB0"/>
    <w:rsid w:val="00AE6CC5"/>
    <w:rsid w:val="00AE7C1E"/>
    <w:rsid w:val="00AF79E5"/>
    <w:rsid w:val="00B01803"/>
    <w:rsid w:val="00B04BAD"/>
    <w:rsid w:val="00B05F94"/>
    <w:rsid w:val="00B11D22"/>
    <w:rsid w:val="00B20B5B"/>
    <w:rsid w:val="00B2510F"/>
    <w:rsid w:val="00B31F17"/>
    <w:rsid w:val="00B3210F"/>
    <w:rsid w:val="00B3496D"/>
    <w:rsid w:val="00B3566A"/>
    <w:rsid w:val="00B35970"/>
    <w:rsid w:val="00B3642F"/>
    <w:rsid w:val="00B36AA1"/>
    <w:rsid w:val="00B40489"/>
    <w:rsid w:val="00B409A1"/>
    <w:rsid w:val="00B40CE4"/>
    <w:rsid w:val="00B41345"/>
    <w:rsid w:val="00B41C15"/>
    <w:rsid w:val="00B421BC"/>
    <w:rsid w:val="00B43984"/>
    <w:rsid w:val="00B44CAE"/>
    <w:rsid w:val="00B52578"/>
    <w:rsid w:val="00B53D05"/>
    <w:rsid w:val="00B56C06"/>
    <w:rsid w:val="00B61A0B"/>
    <w:rsid w:val="00B63E1F"/>
    <w:rsid w:val="00B65EA9"/>
    <w:rsid w:val="00B700AD"/>
    <w:rsid w:val="00B80A15"/>
    <w:rsid w:val="00B86A49"/>
    <w:rsid w:val="00B93CAD"/>
    <w:rsid w:val="00BA3088"/>
    <w:rsid w:val="00BA39C1"/>
    <w:rsid w:val="00BA4671"/>
    <w:rsid w:val="00BA62C3"/>
    <w:rsid w:val="00BB1DF4"/>
    <w:rsid w:val="00BB2C0A"/>
    <w:rsid w:val="00BC0084"/>
    <w:rsid w:val="00BC59BE"/>
    <w:rsid w:val="00BC776C"/>
    <w:rsid w:val="00BD387F"/>
    <w:rsid w:val="00BD761A"/>
    <w:rsid w:val="00BD7DFA"/>
    <w:rsid w:val="00BE1096"/>
    <w:rsid w:val="00BE6728"/>
    <w:rsid w:val="00BF58A3"/>
    <w:rsid w:val="00BF6312"/>
    <w:rsid w:val="00C0275B"/>
    <w:rsid w:val="00C11C95"/>
    <w:rsid w:val="00C1246F"/>
    <w:rsid w:val="00C12B3C"/>
    <w:rsid w:val="00C13C54"/>
    <w:rsid w:val="00C13E3D"/>
    <w:rsid w:val="00C14333"/>
    <w:rsid w:val="00C1469E"/>
    <w:rsid w:val="00C16176"/>
    <w:rsid w:val="00C163F9"/>
    <w:rsid w:val="00C165D0"/>
    <w:rsid w:val="00C310A9"/>
    <w:rsid w:val="00C333B2"/>
    <w:rsid w:val="00C3511C"/>
    <w:rsid w:val="00C56CB9"/>
    <w:rsid w:val="00C615AD"/>
    <w:rsid w:val="00C65A7B"/>
    <w:rsid w:val="00C76C89"/>
    <w:rsid w:val="00C777E2"/>
    <w:rsid w:val="00C80264"/>
    <w:rsid w:val="00C82764"/>
    <w:rsid w:val="00C913C1"/>
    <w:rsid w:val="00C927EC"/>
    <w:rsid w:val="00C93D7D"/>
    <w:rsid w:val="00C93DB2"/>
    <w:rsid w:val="00C94BB7"/>
    <w:rsid w:val="00C964FE"/>
    <w:rsid w:val="00C96940"/>
    <w:rsid w:val="00CA05BF"/>
    <w:rsid w:val="00CA20A5"/>
    <w:rsid w:val="00CA4F1D"/>
    <w:rsid w:val="00CB07DF"/>
    <w:rsid w:val="00CB221D"/>
    <w:rsid w:val="00CB61C6"/>
    <w:rsid w:val="00CC088F"/>
    <w:rsid w:val="00CC197A"/>
    <w:rsid w:val="00CC4815"/>
    <w:rsid w:val="00CC7E27"/>
    <w:rsid w:val="00CD1BBA"/>
    <w:rsid w:val="00CD364F"/>
    <w:rsid w:val="00CD54DA"/>
    <w:rsid w:val="00CE0C83"/>
    <w:rsid w:val="00CE21B6"/>
    <w:rsid w:val="00CE3303"/>
    <w:rsid w:val="00CE58AC"/>
    <w:rsid w:val="00CE5D21"/>
    <w:rsid w:val="00CF685B"/>
    <w:rsid w:val="00D07132"/>
    <w:rsid w:val="00D21C44"/>
    <w:rsid w:val="00D236D1"/>
    <w:rsid w:val="00D255E8"/>
    <w:rsid w:val="00D26745"/>
    <w:rsid w:val="00D417EF"/>
    <w:rsid w:val="00D4346E"/>
    <w:rsid w:val="00D45094"/>
    <w:rsid w:val="00D478C9"/>
    <w:rsid w:val="00D54D27"/>
    <w:rsid w:val="00D61A7A"/>
    <w:rsid w:val="00D75E64"/>
    <w:rsid w:val="00D7624C"/>
    <w:rsid w:val="00D769BD"/>
    <w:rsid w:val="00D7741E"/>
    <w:rsid w:val="00D850AA"/>
    <w:rsid w:val="00D851AD"/>
    <w:rsid w:val="00D851BE"/>
    <w:rsid w:val="00D86FB3"/>
    <w:rsid w:val="00D91B0A"/>
    <w:rsid w:val="00D95169"/>
    <w:rsid w:val="00D96616"/>
    <w:rsid w:val="00D96F44"/>
    <w:rsid w:val="00DB007D"/>
    <w:rsid w:val="00DB3556"/>
    <w:rsid w:val="00DB390F"/>
    <w:rsid w:val="00DB40B0"/>
    <w:rsid w:val="00DC34ED"/>
    <w:rsid w:val="00DC3BE0"/>
    <w:rsid w:val="00DC709E"/>
    <w:rsid w:val="00DD33DA"/>
    <w:rsid w:val="00DD752E"/>
    <w:rsid w:val="00DE3461"/>
    <w:rsid w:val="00DE5F60"/>
    <w:rsid w:val="00DF09C9"/>
    <w:rsid w:val="00DF17E4"/>
    <w:rsid w:val="00DF1FAA"/>
    <w:rsid w:val="00DF3C49"/>
    <w:rsid w:val="00DF45DB"/>
    <w:rsid w:val="00DF54DE"/>
    <w:rsid w:val="00DF5815"/>
    <w:rsid w:val="00DF626A"/>
    <w:rsid w:val="00DF6D96"/>
    <w:rsid w:val="00E06F5E"/>
    <w:rsid w:val="00E1089E"/>
    <w:rsid w:val="00E16880"/>
    <w:rsid w:val="00E21F68"/>
    <w:rsid w:val="00E2220D"/>
    <w:rsid w:val="00E23FC9"/>
    <w:rsid w:val="00E327B8"/>
    <w:rsid w:val="00E335BD"/>
    <w:rsid w:val="00E43015"/>
    <w:rsid w:val="00E46866"/>
    <w:rsid w:val="00E5245A"/>
    <w:rsid w:val="00E52DE1"/>
    <w:rsid w:val="00E53138"/>
    <w:rsid w:val="00E53946"/>
    <w:rsid w:val="00E611C7"/>
    <w:rsid w:val="00E63470"/>
    <w:rsid w:val="00E63B77"/>
    <w:rsid w:val="00E64CFE"/>
    <w:rsid w:val="00E6515C"/>
    <w:rsid w:val="00E76B6A"/>
    <w:rsid w:val="00E8143C"/>
    <w:rsid w:val="00E91754"/>
    <w:rsid w:val="00E91D49"/>
    <w:rsid w:val="00E928FF"/>
    <w:rsid w:val="00EA28FF"/>
    <w:rsid w:val="00EA3A3F"/>
    <w:rsid w:val="00EA3D7A"/>
    <w:rsid w:val="00EA5026"/>
    <w:rsid w:val="00EA5091"/>
    <w:rsid w:val="00EA695D"/>
    <w:rsid w:val="00EA7CE1"/>
    <w:rsid w:val="00EB11BF"/>
    <w:rsid w:val="00EB3028"/>
    <w:rsid w:val="00EB4D1E"/>
    <w:rsid w:val="00EB4D8C"/>
    <w:rsid w:val="00EB55DC"/>
    <w:rsid w:val="00EB5606"/>
    <w:rsid w:val="00EC06BB"/>
    <w:rsid w:val="00EC0A91"/>
    <w:rsid w:val="00EC0BBB"/>
    <w:rsid w:val="00ED26F8"/>
    <w:rsid w:val="00ED40BB"/>
    <w:rsid w:val="00ED5660"/>
    <w:rsid w:val="00ED6A29"/>
    <w:rsid w:val="00EE1760"/>
    <w:rsid w:val="00EE6DE5"/>
    <w:rsid w:val="00EE74FE"/>
    <w:rsid w:val="00EF2228"/>
    <w:rsid w:val="00EF5953"/>
    <w:rsid w:val="00EF632B"/>
    <w:rsid w:val="00F00B6E"/>
    <w:rsid w:val="00F0192B"/>
    <w:rsid w:val="00F01A97"/>
    <w:rsid w:val="00F0206D"/>
    <w:rsid w:val="00F146E1"/>
    <w:rsid w:val="00F14F1E"/>
    <w:rsid w:val="00F15373"/>
    <w:rsid w:val="00F20093"/>
    <w:rsid w:val="00F25E35"/>
    <w:rsid w:val="00F27A04"/>
    <w:rsid w:val="00F31E7D"/>
    <w:rsid w:val="00F32168"/>
    <w:rsid w:val="00F32AF9"/>
    <w:rsid w:val="00F32C84"/>
    <w:rsid w:val="00F4378E"/>
    <w:rsid w:val="00F53C6E"/>
    <w:rsid w:val="00F55FEC"/>
    <w:rsid w:val="00F56CEF"/>
    <w:rsid w:val="00F72868"/>
    <w:rsid w:val="00F773D3"/>
    <w:rsid w:val="00F81E82"/>
    <w:rsid w:val="00F84631"/>
    <w:rsid w:val="00F959C0"/>
    <w:rsid w:val="00FA5926"/>
    <w:rsid w:val="00FB5254"/>
    <w:rsid w:val="00FB61A0"/>
    <w:rsid w:val="00FC27DD"/>
    <w:rsid w:val="00FC3AE5"/>
    <w:rsid w:val="00FC6295"/>
    <w:rsid w:val="00FC6FFB"/>
    <w:rsid w:val="00FD6B53"/>
    <w:rsid w:val="00FD7D67"/>
    <w:rsid w:val="00FE14C2"/>
    <w:rsid w:val="00FE4944"/>
    <w:rsid w:val="00FF0167"/>
    <w:rsid w:val="00FF12AA"/>
    <w:rsid w:val="00FF2ED5"/>
    <w:rsid w:val="00FF3993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07FEE1C-EF9E-484D-85A7-51D66B4F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95A"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A905D1"/>
    <w:pPr>
      <w:spacing w:before="100" w:beforeAutospacing="1" w:after="100" w:afterAutospacing="1"/>
      <w:outlineLvl w:val="0"/>
    </w:pPr>
    <w:rPr>
      <w:b/>
      <w:bCs/>
      <w:color w:val="004276"/>
      <w:kern w:val="36"/>
      <w:sz w:val="30"/>
      <w:szCs w:val="3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D495A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D495A"/>
    <w:pPr>
      <w:tabs>
        <w:tab w:val="center" w:pos="4703"/>
        <w:tab w:val="right" w:pos="9406"/>
      </w:tabs>
    </w:pPr>
  </w:style>
  <w:style w:type="table" w:customStyle="1" w:styleId="Tabela-mrea">
    <w:name w:val="Tabela - mreža"/>
    <w:basedOn w:val="Navadnatabela"/>
    <w:rsid w:val="000D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0D495A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A905D1"/>
    <w:rPr>
      <w:b/>
      <w:bCs/>
      <w:color w:val="004276"/>
      <w:kern w:val="36"/>
      <w:sz w:val="30"/>
      <w:szCs w:val="30"/>
    </w:rPr>
  </w:style>
  <w:style w:type="character" w:styleId="Krepko">
    <w:name w:val="Strong"/>
    <w:uiPriority w:val="22"/>
    <w:qFormat/>
    <w:rsid w:val="00A905D1"/>
    <w:rPr>
      <w:b/>
      <w:bCs/>
    </w:rPr>
  </w:style>
  <w:style w:type="character" w:styleId="Poudarek">
    <w:name w:val="Emphasis"/>
    <w:uiPriority w:val="20"/>
    <w:qFormat/>
    <w:rsid w:val="00A905D1"/>
    <w:rPr>
      <w:i/>
      <w:iCs/>
    </w:rPr>
  </w:style>
  <w:style w:type="paragraph" w:styleId="Brezrazmikov">
    <w:name w:val="No Spacing"/>
    <w:uiPriority w:val="1"/>
    <w:qFormat/>
    <w:rsid w:val="003D4421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087F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087FB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13538"/>
    <w:pPr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E76B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aslovknjige">
    <w:name w:val="Book Title"/>
    <w:qFormat/>
    <w:rsid w:val="00E76B6A"/>
    <w:rPr>
      <w:b/>
      <w:bCs/>
      <w:smallCaps/>
      <w:spacing w:val="5"/>
    </w:rPr>
  </w:style>
  <w:style w:type="character" w:customStyle="1" w:styleId="GlavaZnak">
    <w:name w:val="Glava Znak"/>
    <w:link w:val="Glava"/>
    <w:rsid w:val="00C14333"/>
    <w:rPr>
      <w:sz w:val="24"/>
      <w:szCs w:val="24"/>
    </w:rPr>
  </w:style>
  <w:style w:type="paragraph" w:styleId="Telobesedila">
    <w:name w:val="Body Text"/>
    <w:basedOn w:val="Navaden"/>
    <w:link w:val="TelobesedilaZnak"/>
    <w:rsid w:val="007B1D78"/>
    <w:pPr>
      <w:jc w:val="both"/>
    </w:pPr>
    <w:rPr>
      <w:rFonts w:ascii="Calibri" w:hAnsi="Calibri"/>
      <w:sz w:val="28"/>
      <w:szCs w:val="20"/>
    </w:rPr>
  </w:style>
  <w:style w:type="character" w:customStyle="1" w:styleId="TelobesedilaZnak">
    <w:name w:val="Telo besedila Znak"/>
    <w:link w:val="Telobesedila"/>
    <w:rsid w:val="007B1D78"/>
    <w:rPr>
      <w:rFonts w:ascii="Calibri" w:hAnsi="Calibri"/>
      <w:sz w:val="28"/>
    </w:rPr>
  </w:style>
  <w:style w:type="paragraph" w:styleId="Telobesedila2">
    <w:name w:val="Body Text 2"/>
    <w:basedOn w:val="Navaden"/>
    <w:link w:val="Telobesedila2Znak"/>
    <w:rsid w:val="00351CBA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351C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1103">
                  <w:marLeft w:val="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single" w:sz="6" w:space="0" w:color="D2D2D2"/>
                      </w:divBdr>
                      <w:divsChild>
                        <w:div w:id="12138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5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570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1EB55B09B9F547A3E0AC7148C72F6F" ma:contentTypeVersion="0" ma:contentTypeDescription="Ustvari nov dokument." ma:contentTypeScope="" ma:versionID="991d1d9936ca5ad96f1ab1d249def18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6D45B-AD83-427A-B424-58AC4AE2F9B1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E305022-C2EF-44B5-9D04-FB86B9C127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C143B-B371-4A72-9A63-4AF505674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149A1AC-7BF1-42E4-AAF7-5EEC1018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643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Damijan Plajnšek</dc:creator>
  <cp:keywords/>
  <dc:description/>
  <cp:lastModifiedBy>Urška Fajt</cp:lastModifiedBy>
  <cp:revision>7</cp:revision>
  <cp:lastPrinted>2021-04-08T07:27:00Z</cp:lastPrinted>
  <dcterms:created xsi:type="dcterms:W3CDTF">2021-03-08T11:24:00Z</dcterms:created>
  <dcterms:modified xsi:type="dcterms:W3CDTF">2021-04-08T07:27:00Z</dcterms:modified>
</cp:coreProperties>
</file>