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7" w:rsidRPr="00F90169" w:rsidRDefault="00A22FA7" w:rsidP="006131E1">
      <w:pPr>
        <w:pStyle w:val="NoSpacing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A22FA7" w:rsidRDefault="00A22FA7" w:rsidP="00C76895">
      <w:pPr>
        <w:pStyle w:val="NoSpacing"/>
      </w:pPr>
    </w:p>
    <w:p w:rsidR="00A22FA7" w:rsidRDefault="00A22FA7" w:rsidP="00C76895">
      <w:pPr>
        <w:jc w:val="both"/>
      </w:pPr>
      <w:r>
        <w:t>Na podlagi 11. člena Zakona o stvarnem premoženju države in samoupravnih lokalnih skupnosti (Ur.l. RS, št. 86/10</w:t>
      </w:r>
      <w:bookmarkStart w:id="0" w:name="_GoBack"/>
      <w:bookmarkEnd w:id="0"/>
      <w:r>
        <w:t>) in 17. člena Statuta občine Šenčur (UVG, št. 2/11) je občinski svet na __. seji, dne __.__.____ sprejel</w:t>
      </w:r>
    </w:p>
    <w:p w:rsidR="00A22FA7" w:rsidRDefault="00A22FA7" w:rsidP="00C76895">
      <w:pPr>
        <w:pStyle w:val="NoSpacing"/>
      </w:pPr>
    </w:p>
    <w:p w:rsidR="00A22FA7" w:rsidRPr="00F90169" w:rsidRDefault="00A22FA7" w:rsidP="00C768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90169">
        <w:rPr>
          <w:b/>
          <w:sz w:val="28"/>
          <w:szCs w:val="28"/>
        </w:rPr>
        <w:t xml:space="preserve">. dopolnitev </w:t>
      </w:r>
      <w:r>
        <w:rPr>
          <w:b/>
          <w:sz w:val="28"/>
          <w:szCs w:val="28"/>
        </w:rPr>
        <w:t>Načrta ravnanja s stvarnim premoženjem Občine Šenčur v letu 2012</w:t>
      </w:r>
    </w:p>
    <w:p w:rsidR="00A22FA7" w:rsidRDefault="00A22FA7" w:rsidP="00C76895">
      <w:pPr>
        <w:pStyle w:val="NoSpacing"/>
      </w:pPr>
    </w:p>
    <w:p w:rsidR="00A22FA7" w:rsidRDefault="00A22FA7" w:rsidP="00C76895">
      <w:pPr>
        <w:pStyle w:val="NoSpacing"/>
        <w:jc w:val="center"/>
      </w:pPr>
      <w:r>
        <w:t>1.</w:t>
      </w:r>
    </w:p>
    <w:p w:rsidR="00A22FA7" w:rsidRDefault="00A22FA7" w:rsidP="00C76895">
      <w:pPr>
        <w:pStyle w:val="NoSpacing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1615"/>
        <w:gridCol w:w="1419"/>
        <w:gridCol w:w="991"/>
        <w:gridCol w:w="992"/>
        <w:gridCol w:w="1842"/>
        <w:gridCol w:w="1275"/>
        <w:gridCol w:w="770"/>
        <w:gridCol w:w="1078"/>
        <w:gridCol w:w="1700"/>
        <w:gridCol w:w="1700"/>
      </w:tblGrid>
      <w:tr w:rsidR="00A22FA7" w:rsidTr="005D7966">
        <w:trPr>
          <w:trHeight w:val="220"/>
        </w:trPr>
        <w:tc>
          <w:tcPr>
            <w:tcW w:w="2658" w:type="dxa"/>
            <w:gridSpan w:val="2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KATASTRSKA OBČINA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PODATKI O NEPREMIČNINI</w:t>
            </w:r>
          </w:p>
        </w:tc>
        <w:tc>
          <w:tcPr>
            <w:tcW w:w="1842" w:type="dxa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NAMENSKA RABA</w:t>
            </w:r>
          </w:p>
        </w:tc>
        <w:tc>
          <w:tcPr>
            <w:tcW w:w="1275" w:type="dxa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LOKACIJA</w:t>
            </w:r>
          </w:p>
        </w:tc>
        <w:tc>
          <w:tcPr>
            <w:tcW w:w="1848" w:type="dxa"/>
            <w:gridSpan w:val="2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ORIENTACIJSKA VREDNOST (eur)</w:t>
            </w:r>
          </w:p>
        </w:tc>
        <w:tc>
          <w:tcPr>
            <w:tcW w:w="1700" w:type="dxa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NAČIN RAZPOLAGANJA</w:t>
            </w:r>
          </w:p>
        </w:tc>
        <w:tc>
          <w:tcPr>
            <w:tcW w:w="1700" w:type="dxa"/>
            <w:shd w:val="clear" w:color="auto" w:fill="A6A6A6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LASTNIŠTVO</w:t>
            </w:r>
          </w:p>
        </w:tc>
      </w:tr>
      <w:tr w:rsidR="00A22FA7" w:rsidTr="005D7966">
        <w:trPr>
          <w:trHeight w:val="300"/>
        </w:trPr>
        <w:tc>
          <w:tcPr>
            <w:tcW w:w="1043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Zap. št.</w:t>
            </w:r>
          </w:p>
        </w:tc>
        <w:tc>
          <w:tcPr>
            <w:tcW w:w="1615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Parc. št. /       št. stavbe</w:t>
            </w:r>
          </w:p>
        </w:tc>
        <w:tc>
          <w:tcPr>
            <w:tcW w:w="1419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Vrsta rabe</w:t>
            </w:r>
          </w:p>
        </w:tc>
        <w:tc>
          <w:tcPr>
            <w:tcW w:w="991" w:type="dxa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Površina</w:t>
            </w:r>
          </w:p>
        </w:tc>
        <w:tc>
          <w:tcPr>
            <w:tcW w:w="992" w:type="dxa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del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m</w:t>
            </w:r>
            <w:r w:rsidRPr="005D7966">
              <w:rPr>
                <w:vertAlign w:val="superscript"/>
              </w:rPr>
              <w:t>2</w:t>
            </w:r>
          </w:p>
        </w:tc>
        <w:tc>
          <w:tcPr>
            <w:tcW w:w="1078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skupaj</w:t>
            </w:r>
          </w:p>
        </w:tc>
        <w:tc>
          <w:tcPr>
            <w:tcW w:w="1700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  <w:vMerge w:val="restart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rPr>
          <w:trHeight w:val="240"/>
        </w:trPr>
        <w:tc>
          <w:tcPr>
            <w:tcW w:w="1043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615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419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1" w:type="dxa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m</w:t>
            </w:r>
            <w:r w:rsidRPr="005D7966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m</w:t>
            </w:r>
            <w:r w:rsidRPr="005D7966">
              <w:rPr>
                <w:vertAlign w:val="superscript"/>
              </w:rPr>
              <w:t>2</w:t>
            </w:r>
          </w:p>
        </w:tc>
        <w:tc>
          <w:tcPr>
            <w:tcW w:w="1842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078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  <w:vMerge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615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 xml:space="preserve">2106 – Visoko 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</w:t>
            </w:r>
          </w:p>
        </w:tc>
        <w:tc>
          <w:tcPr>
            <w:tcW w:w="161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1816/2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pašnik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374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K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Hotemaže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8,5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3.179,00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Prodajna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2.</w:t>
            </w:r>
          </w:p>
        </w:tc>
        <w:tc>
          <w:tcPr>
            <w:tcW w:w="161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725/35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dvorišče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5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Hotemaže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0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 xml:space="preserve">Pogodba 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3.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725/14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stanovanjska stavba in dvorišče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223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Hotemaže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0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 xml:space="preserve">Pogodba 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615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2125- Voglje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 xml:space="preserve">107 - Dom vaščanov 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398,30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19,35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Na vasi 21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Najemna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615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2124 - Hrastje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163/6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Pašnik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42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Prebačevo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60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2.520,00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Prodajna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615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2107 - Luže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281/1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Travnik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250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K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Luže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5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1.250,00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Prodajna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Rezman Rok in Klemen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281/1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Travnik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250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K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Luže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5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1.250,00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Prodajna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Občina Šenčur</w:t>
            </w:r>
          </w:p>
        </w:tc>
      </w:tr>
      <w:tr w:rsidR="00A22FA7" w:rsidTr="005D7966">
        <w:tc>
          <w:tcPr>
            <w:tcW w:w="1043" w:type="dxa"/>
            <w:shd w:val="clear" w:color="auto" w:fill="D9D9D9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3.</w:t>
            </w:r>
          </w:p>
        </w:tc>
        <w:tc>
          <w:tcPr>
            <w:tcW w:w="1615" w:type="dxa"/>
            <w:shd w:val="clear" w:color="auto" w:fill="FFFFFF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776/0</w:t>
            </w:r>
          </w:p>
        </w:tc>
        <w:tc>
          <w:tcPr>
            <w:tcW w:w="1419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Pot</w:t>
            </w:r>
          </w:p>
        </w:tc>
        <w:tc>
          <w:tcPr>
            <w:tcW w:w="991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620</w:t>
            </w:r>
          </w:p>
        </w:tc>
        <w:tc>
          <w:tcPr>
            <w:tcW w:w="99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/</w:t>
            </w:r>
          </w:p>
        </w:tc>
        <w:tc>
          <w:tcPr>
            <w:tcW w:w="1842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K, S</w:t>
            </w:r>
          </w:p>
        </w:tc>
        <w:tc>
          <w:tcPr>
            <w:tcW w:w="1275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Srednja vas</w:t>
            </w:r>
          </w:p>
        </w:tc>
        <w:tc>
          <w:tcPr>
            <w:tcW w:w="77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8,5</w:t>
            </w:r>
          </w:p>
        </w:tc>
        <w:tc>
          <w:tcPr>
            <w:tcW w:w="1078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5.270,00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Prodajna pogodba</w:t>
            </w:r>
          </w:p>
        </w:tc>
        <w:tc>
          <w:tcPr>
            <w:tcW w:w="1700" w:type="dxa"/>
          </w:tcPr>
          <w:p w:rsidR="00A22FA7" w:rsidRPr="005D7966" w:rsidRDefault="00A22FA7" w:rsidP="005D7966">
            <w:pPr>
              <w:pStyle w:val="NoSpacing"/>
              <w:jc w:val="center"/>
            </w:pPr>
            <w:r w:rsidRPr="005D7966">
              <w:t>Bobnar Janez</w:t>
            </w:r>
          </w:p>
        </w:tc>
      </w:tr>
    </w:tbl>
    <w:p w:rsidR="00A22FA7" w:rsidRDefault="00A22FA7" w:rsidP="00C76895">
      <w:pPr>
        <w:pStyle w:val="NoSpacing"/>
      </w:pPr>
    </w:p>
    <w:p w:rsidR="00A22FA7" w:rsidRDefault="00A22FA7" w:rsidP="00C76895">
      <w:pPr>
        <w:pStyle w:val="NoSpacing"/>
        <w:jc w:val="center"/>
      </w:pPr>
      <w:r>
        <w:t>2.</w:t>
      </w:r>
    </w:p>
    <w:p w:rsidR="00A22FA7" w:rsidRDefault="00A22FA7" w:rsidP="00C76895">
      <w:pPr>
        <w:pStyle w:val="NoSpacing"/>
      </w:pPr>
      <w:r>
        <w:t>Prva dopolnitev Načrta ravnanja s stvarnim premoženjem Občine Šenčur v letu 2012 se objavi na spletni strani občine Šenčur in začne veljati naslednji dan po objavi.</w:t>
      </w:r>
    </w:p>
    <w:p w:rsidR="00A22FA7" w:rsidRDefault="00A22FA7" w:rsidP="00C76895">
      <w:pPr>
        <w:pStyle w:val="NoSpacing"/>
        <w:ind w:left="9912" w:firstLine="708"/>
      </w:pPr>
    </w:p>
    <w:p w:rsidR="00A22FA7" w:rsidRDefault="00A22FA7" w:rsidP="00C76895">
      <w:pPr>
        <w:pStyle w:val="NoSpacing"/>
        <w:ind w:left="9912" w:firstLine="708"/>
      </w:pPr>
      <w:r>
        <w:t>Občina Šenčur</w:t>
      </w:r>
    </w:p>
    <w:p w:rsidR="00A22FA7" w:rsidRDefault="00A22FA7" w:rsidP="00C76895">
      <w:pPr>
        <w:pStyle w:val="NoSpacing"/>
        <w:ind w:left="9912" w:firstLine="708"/>
      </w:pPr>
      <w:r>
        <w:t xml:space="preserve">       Župan</w:t>
      </w:r>
    </w:p>
    <w:p w:rsidR="00A22FA7" w:rsidRDefault="00A22FA7" w:rsidP="00C76895">
      <w:pPr>
        <w:pStyle w:val="NoSpacing"/>
        <w:ind w:left="9912" w:firstLine="708"/>
      </w:pPr>
      <w:r>
        <w:t xml:space="preserve">   Miro Kozelj</w:t>
      </w:r>
    </w:p>
    <w:sectPr w:rsidR="00A22FA7" w:rsidSect="00B86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0E"/>
    <w:rsid w:val="000018B9"/>
    <w:rsid w:val="00086008"/>
    <w:rsid w:val="000B6B08"/>
    <w:rsid w:val="000C5CEB"/>
    <w:rsid w:val="0025419D"/>
    <w:rsid w:val="003D0184"/>
    <w:rsid w:val="004204C2"/>
    <w:rsid w:val="004B73F8"/>
    <w:rsid w:val="005225FF"/>
    <w:rsid w:val="005B7D82"/>
    <w:rsid w:val="005C57DA"/>
    <w:rsid w:val="005D7966"/>
    <w:rsid w:val="005E6167"/>
    <w:rsid w:val="006131E1"/>
    <w:rsid w:val="0064508E"/>
    <w:rsid w:val="00723828"/>
    <w:rsid w:val="0073192D"/>
    <w:rsid w:val="007A514A"/>
    <w:rsid w:val="0087649A"/>
    <w:rsid w:val="008F4983"/>
    <w:rsid w:val="00934825"/>
    <w:rsid w:val="00945502"/>
    <w:rsid w:val="009A5F28"/>
    <w:rsid w:val="00A22FA7"/>
    <w:rsid w:val="00AB3630"/>
    <w:rsid w:val="00AC3AE6"/>
    <w:rsid w:val="00B8660E"/>
    <w:rsid w:val="00BA4A7F"/>
    <w:rsid w:val="00C74153"/>
    <w:rsid w:val="00C76895"/>
    <w:rsid w:val="00D2486E"/>
    <w:rsid w:val="00D25706"/>
    <w:rsid w:val="00D575AD"/>
    <w:rsid w:val="00D801AC"/>
    <w:rsid w:val="00DA65E5"/>
    <w:rsid w:val="00EB7C2E"/>
    <w:rsid w:val="00F765CA"/>
    <w:rsid w:val="00F9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660E"/>
    <w:rPr>
      <w:lang w:eastAsia="en-US"/>
    </w:rPr>
  </w:style>
  <w:style w:type="table" w:styleId="TableGrid">
    <w:name w:val="Table Grid"/>
    <w:basedOn w:val="TableNormal"/>
    <w:uiPriority w:val="99"/>
    <w:rsid w:val="00B86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Kavčič</dc:creator>
  <cp:keywords/>
  <dc:description/>
  <cp:lastModifiedBy>Marija Cankar</cp:lastModifiedBy>
  <cp:revision>12</cp:revision>
  <cp:lastPrinted>2012-04-03T07:59:00Z</cp:lastPrinted>
  <dcterms:created xsi:type="dcterms:W3CDTF">2012-03-13T13:05:00Z</dcterms:created>
  <dcterms:modified xsi:type="dcterms:W3CDTF">2012-04-03T11:51:00Z</dcterms:modified>
</cp:coreProperties>
</file>